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应收账款管理实战手册</w:t>
      </w:r>
    </w:p>
    <w:p>
      <w:pPr>
        <w:pStyle w:val="Subtitle"/>
        <w:jc w:val="center"/>
      </w:pPr>
      <w:r>
        <w:t>总账会计 财务主管 财务经理工作版</w:t>
      </w:r>
    </w:p>
    <w:p/>
    <w:p>
      <w:pPr>
        <w:jc w:val="center"/>
      </w:pPr>
      <w:r>
        <w:rPr>
          <w:b/>
        </w:rPr>
        <w:t>版本日期 2026年9月11日</w:t>
      </w:r>
    </w:p>
    <w:p/>
    <w:p>
      <w:pPr>
        <w:spacing w:after="100" w:line="300" w:lineRule="auto"/>
      </w:pPr>
      <w:r>
        <w:t>本手册从客户准入、信用审批、销售放行、收入与应收确认、对账催收、回款核销、争议处理、预期信用损失到坏账核销，完整说明财务主管如何把应收账款从账面余额转化为可管理的经营事项。</w:t>
      </w:r>
    </w:p>
    <w:p>
      <w:pPr>
        <w:spacing w:after="100" w:line="300" w:lineRule="auto"/>
      </w:pPr>
      <w:r>
        <w:rPr>
          <w:b/>
        </w:rPr>
        <w:t>核心结论：</w:t>
      </w:r>
      <w:r>
        <w:t>应收管理的目标不是单纯压低应收余额，而是在可接受的信用风险下支持有质量的销售，并让收入按约转化为现金。</w:t>
      </w:r>
    </w:p>
    <w:p>
      <w:r>
        <w:br w:type="page"/>
      </w:r>
    </w:p>
    <w:p>
      <w:pPr>
        <w:pStyle w:val="Heading1"/>
        <w:keepNext/>
      </w:pPr>
      <w:r>
        <w:t>目录</w:t>
      </w:r>
    </w:p>
    <w:p>
      <w:r/>
      <w:fldSimple w:instr="TOC \o &quot;1-3&quot; \h \z \u"/>
    </w:p>
    <w:p>
      <w:r>
        <w:br w:type="page"/>
      </w:r>
    </w:p>
    <w:p>
      <w:pPr>
        <w:pStyle w:val="Heading1"/>
        <w:keepNext/>
      </w:pPr>
      <w:r>
        <w:t>第一章 应收账款管理全景</w:t>
      </w:r>
    </w:p>
    <w:p>
      <w:pPr>
        <w:pStyle w:val="Heading2"/>
        <w:keepNext/>
      </w:pPr>
      <w:r>
        <w:t>1.1 应收管理管什么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304"/>
            <w:shd w:fill="17365D"/>
            <w:vAlign w:val="center"/>
          </w:tcPr>
          <w:p>
            <w:r>
              <w:rPr>
                <w:b/>
                <w:color w:val="FFFFFF"/>
                <w:sz w:val="18"/>
              </w:rPr>
              <w:t>对象</w:t>
            </w:r>
          </w:p>
        </w:tc>
        <w:tc>
          <w:tcPr>
            <w:tcW w:type="dxa" w:w="3685"/>
            <w:shd w:fill="17365D"/>
            <w:vAlign w:val="center"/>
          </w:tcPr>
          <w:p>
            <w:r>
              <w:rPr>
                <w:b/>
                <w:color w:val="FFFFFF"/>
                <w:sz w:val="18"/>
              </w:rPr>
              <w:t>核算关注</w:t>
            </w:r>
          </w:p>
        </w:tc>
        <w:tc>
          <w:tcPr>
            <w:tcW w:type="dxa" w:w="3912"/>
            <w:shd w:fill="17365D"/>
            <w:vAlign w:val="center"/>
          </w:tcPr>
          <w:p>
            <w:r>
              <w:rPr>
                <w:b/>
                <w:color w:val="FFFFFF"/>
                <w:sz w:val="18"/>
              </w:rPr>
              <w:t>管理关注</w:t>
            </w:r>
          </w:p>
        </w:tc>
      </w:tr>
      <w:tr>
        <w:tc>
          <w:tcPr>
            <w:tcW w:type="dxa" w:w="1304"/>
            <w:vAlign w:val="center"/>
          </w:tcPr>
          <w:p>
            <w:pPr>
              <w:spacing w:after="20" w:line="252" w:lineRule="auto"/>
            </w:pPr>
            <w:r>
              <w:rPr>
                <w:rFonts w:ascii="Microsoft YaHei" w:hAnsi="Microsoft YaHei"/>
                <w:sz w:val="18"/>
              </w:rPr>
              <w:t>客户</w:t>
            </w:r>
          </w:p>
        </w:tc>
        <w:tc>
          <w:tcPr>
            <w:tcW w:type="dxa" w:w="3685"/>
            <w:vAlign w:val="center"/>
          </w:tcPr>
          <w:p>
            <w:pPr>
              <w:spacing w:after="20" w:line="252" w:lineRule="auto"/>
            </w:pPr>
            <w:r>
              <w:rPr>
                <w:rFonts w:ascii="Microsoft YaHei" w:hAnsi="Microsoft YaHei"/>
                <w:sz w:val="18"/>
              </w:rPr>
              <w:t>名称、主体和辅助核算</w:t>
            </w:r>
          </w:p>
        </w:tc>
        <w:tc>
          <w:tcPr>
            <w:tcW w:type="dxa" w:w="3912"/>
            <w:vAlign w:val="center"/>
          </w:tcPr>
          <w:p>
            <w:pPr>
              <w:spacing w:after="20" w:line="252" w:lineRule="auto"/>
            </w:pPr>
            <w:r>
              <w:rPr>
                <w:rFonts w:ascii="Microsoft YaHei" w:hAnsi="Microsoft YaHei"/>
                <w:sz w:val="18"/>
              </w:rPr>
              <w:t>偿付能力、信用变化和集中度</w:t>
            </w:r>
          </w:p>
        </w:tc>
      </w:tr>
      <w:tr>
        <w:tc>
          <w:tcPr>
            <w:tcW w:type="dxa" w:w="1304"/>
            <w:vAlign w:val="center"/>
            <w:shd w:fill="F4F7FA"/>
          </w:tcPr>
          <w:p>
            <w:pPr>
              <w:spacing w:after="20" w:line="252" w:lineRule="auto"/>
            </w:pPr>
            <w:r>
              <w:rPr>
                <w:rFonts w:ascii="Microsoft YaHei" w:hAnsi="Microsoft YaHei"/>
                <w:sz w:val="18"/>
              </w:rPr>
              <w:t>合同与订单</w:t>
            </w:r>
          </w:p>
        </w:tc>
        <w:tc>
          <w:tcPr>
            <w:tcW w:type="dxa" w:w="3685"/>
            <w:vAlign w:val="center"/>
            <w:shd w:fill="F4F7FA"/>
          </w:tcPr>
          <w:p>
            <w:pPr>
              <w:spacing w:after="20" w:line="252" w:lineRule="auto"/>
            </w:pPr>
            <w:r>
              <w:rPr>
                <w:rFonts w:ascii="Microsoft YaHei" w:hAnsi="Microsoft YaHei"/>
                <w:sz w:val="18"/>
              </w:rPr>
              <w:t>应收确认和金额</w:t>
            </w:r>
          </w:p>
        </w:tc>
        <w:tc>
          <w:tcPr>
            <w:tcW w:type="dxa" w:w="3912"/>
            <w:vAlign w:val="center"/>
            <w:shd w:fill="F4F7FA"/>
          </w:tcPr>
          <w:p>
            <w:pPr>
              <w:spacing w:after="20" w:line="252" w:lineRule="auto"/>
            </w:pPr>
            <w:r>
              <w:rPr>
                <w:rFonts w:ascii="Microsoft YaHei" w:hAnsi="Microsoft YaHei"/>
                <w:sz w:val="18"/>
              </w:rPr>
              <w:t>账期、付款条件、验收与违约条款</w:t>
            </w:r>
          </w:p>
        </w:tc>
      </w:tr>
      <w:tr>
        <w:tc>
          <w:tcPr>
            <w:tcW w:type="dxa" w:w="1304"/>
            <w:vAlign w:val="center"/>
          </w:tcPr>
          <w:p>
            <w:pPr>
              <w:spacing w:after="20" w:line="252" w:lineRule="auto"/>
            </w:pPr>
            <w:r>
              <w:rPr>
                <w:rFonts w:ascii="Microsoft YaHei" w:hAnsi="Microsoft YaHei"/>
                <w:sz w:val="18"/>
              </w:rPr>
              <w:t>应收余额</w:t>
            </w:r>
          </w:p>
        </w:tc>
        <w:tc>
          <w:tcPr>
            <w:tcW w:type="dxa" w:w="3685"/>
            <w:vAlign w:val="center"/>
          </w:tcPr>
          <w:p>
            <w:pPr>
              <w:spacing w:after="20" w:line="252" w:lineRule="auto"/>
            </w:pPr>
            <w:r>
              <w:rPr>
                <w:rFonts w:ascii="Microsoft YaHei" w:hAnsi="Microsoft YaHei"/>
                <w:sz w:val="18"/>
              </w:rPr>
              <w:t>发生、收款和核销</w:t>
            </w:r>
          </w:p>
        </w:tc>
        <w:tc>
          <w:tcPr>
            <w:tcW w:type="dxa" w:w="3912"/>
            <w:vAlign w:val="center"/>
          </w:tcPr>
          <w:p>
            <w:pPr>
              <w:spacing w:after="20" w:line="252" w:lineRule="auto"/>
            </w:pPr>
            <w:r>
              <w:rPr>
                <w:rFonts w:ascii="Microsoft YaHei" w:hAnsi="Microsoft YaHei"/>
                <w:sz w:val="18"/>
              </w:rPr>
              <w:t>是否逾期、争议、风险和责任人</w:t>
            </w:r>
          </w:p>
        </w:tc>
      </w:tr>
      <w:tr>
        <w:tc>
          <w:tcPr>
            <w:tcW w:type="dxa" w:w="1304"/>
            <w:vAlign w:val="center"/>
            <w:shd w:fill="F4F7FA"/>
          </w:tcPr>
          <w:p>
            <w:pPr>
              <w:spacing w:after="20" w:line="252" w:lineRule="auto"/>
            </w:pPr>
            <w:r>
              <w:rPr>
                <w:rFonts w:ascii="Microsoft YaHei" w:hAnsi="Microsoft YaHei"/>
                <w:sz w:val="18"/>
              </w:rPr>
              <w:t>现金回收</w:t>
            </w:r>
          </w:p>
        </w:tc>
        <w:tc>
          <w:tcPr>
            <w:tcW w:type="dxa" w:w="3685"/>
            <w:vAlign w:val="center"/>
            <w:shd w:fill="F4F7FA"/>
          </w:tcPr>
          <w:p>
            <w:pPr>
              <w:spacing w:after="20" w:line="252" w:lineRule="auto"/>
            </w:pPr>
            <w:r>
              <w:rPr>
                <w:rFonts w:ascii="Microsoft YaHei" w:hAnsi="Microsoft YaHei"/>
                <w:sz w:val="18"/>
              </w:rPr>
              <w:t>银行到账和核销</w:t>
            </w:r>
          </w:p>
        </w:tc>
        <w:tc>
          <w:tcPr>
            <w:tcW w:type="dxa" w:w="3912"/>
            <w:vAlign w:val="center"/>
            <w:shd w:fill="F4F7FA"/>
          </w:tcPr>
          <w:p>
            <w:pPr>
              <w:spacing w:after="20" w:line="252" w:lineRule="auto"/>
            </w:pPr>
            <w:r>
              <w:rPr>
                <w:rFonts w:ascii="Microsoft YaHei" w:hAnsi="Microsoft YaHei"/>
                <w:sz w:val="18"/>
              </w:rPr>
              <w:t>回款预测、未认领和现金安排</w:t>
            </w:r>
          </w:p>
        </w:tc>
      </w:tr>
      <w:tr>
        <w:tc>
          <w:tcPr>
            <w:tcW w:type="dxa" w:w="1304"/>
            <w:vAlign w:val="center"/>
          </w:tcPr>
          <w:p>
            <w:pPr>
              <w:spacing w:after="20" w:line="252" w:lineRule="auto"/>
            </w:pPr>
            <w:r>
              <w:rPr>
                <w:rFonts w:ascii="Microsoft YaHei" w:hAnsi="Microsoft YaHei"/>
                <w:sz w:val="18"/>
              </w:rPr>
              <w:t>坏账准备</w:t>
            </w:r>
          </w:p>
        </w:tc>
        <w:tc>
          <w:tcPr>
            <w:tcW w:type="dxa" w:w="3685"/>
            <w:vAlign w:val="center"/>
          </w:tcPr>
          <w:p>
            <w:pPr>
              <w:spacing w:after="20" w:line="252" w:lineRule="auto"/>
            </w:pPr>
            <w:r>
              <w:rPr>
                <w:rFonts w:ascii="Microsoft YaHei" w:hAnsi="Microsoft YaHei"/>
                <w:sz w:val="18"/>
              </w:rPr>
              <w:t>预期信用损失入账</w:t>
            </w:r>
          </w:p>
        </w:tc>
        <w:tc>
          <w:tcPr>
            <w:tcW w:type="dxa" w:w="3912"/>
            <w:vAlign w:val="center"/>
          </w:tcPr>
          <w:p>
            <w:pPr>
              <w:spacing w:after="20" w:line="252" w:lineRule="auto"/>
            </w:pPr>
            <w:r>
              <w:rPr>
                <w:rFonts w:ascii="Microsoft YaHei" w:hAnsi="Microsoft YaHei"/>
                <w:sz w:val="18"/>
              </w:rPr>
              <w:t>风险分层、模型假设和个别评估</w:t>
            </w:r>
          </w:p>
        </w:tc>
      </w:tr>
      <w:tr>
        <w:tc>
          <w:tcPr>
            <w:tcW w:type="dxa" w:w="1304"/>
            <w:vAlign w:val="center"/>
            <w:shd w:fill="F4F7FA"/>
          </w:tcPr>
          <w:p>
            <w:pPr>
              <w:spacing w:after="20" w:line="252" w:lineRule="auto"/>
            </w:pPr>
            <w:r>
              <w:rPr>
                <w:rFonts w:ascii="Microsoft YaHei" w:hAnsi="Microsoft YaHei"/>
                <w:sz w:val="18"/>
              </w:rPr>
              <w:t>历史坏账</w:t>
            </w:r>
          </w:p>
        </w:tc>
        <w:tc>
          <w:tcPr>
            <w:tcW w:type="dxa" w:w="3685"/>
            <w:vAlign w:val="center"/>
            <w:shd w:fill="F4F7FA"/>
          </w:tcPr>
          <w:p>
            <w:pPr>
              <w:spacing w:after="20" w:line="252" w:lineRule="auto"/>
            </w:pPr>
            <w:r>
              <w:rPr>
                <w:rFonts w:ascii="Microsoft YaHei" w:hAnsi="Microsoft YaHei"/>
                <w:sz w:val="18"/>
              </w:rPr>
              <w:t>核销和收回</w:t>
            </w:r>
          </w:p>
        </w:tc>
        <w:tc>
          <w:tcPr>
            <w:tcW w:type="dxa" w:w="3912"/>
            <w:vAlign w:val="center"/>
            <w:shd w:fill="F4F7FA"/>
          </w:tcPr>
          <w:p>
            <w:pPr>
              <w:spacing w:after="20" w:line="252" w:lineRule="auto"/>
            </w:pPr>
            <w:r>
              <w:rPr>
                <w:rFonts w:ascii="Microsoft YaHei" w:hAnsi="Microsoft YaHei"/>
                <w:sz w:val="18"/>
              </w:rPr>
              <w:t>账销案存、追索和责任复盘</w:t>
            </w:r>
          </w:p>
        </w:tc>
      </w:tr>
    </w:tbl>
    <w:p>
      <w:pPr>
        <w:spacing w:after="40"/>
      </w:pPr>
    </w:p>
    <w:p>
      <w:pPr>
        <w:pStyle w:val="Heading2"/>
        <w:keepNext/>
      </w:pPr>
      <w:r>
        <w:t>1.2 业务闭环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680"/>
            <w:shd w:fill="17365D"/>
            <w:vAlign w:val="center"/>
          </w:tcPr>
          <w:p>
            <w:r>
              <w:rPr>
                <w:b/>
                <w:color w:val="FFFFFF"/>
                <w:sz w:val="17"/>
              </w:rPr>
              <w:t>节点</w:t>
            </w:r>
          </w:p>
        </w:tc>
        <w:tc>
          <w:tcPr>
            <w:tcW w:type="dxa" w:w="6917"/>
            <w:shd w:fill="17365D"/>
            <w:vAlign w:val="center"/>
          </w:tcPr>
          <w:p>
            <w:r>
              <w:rPr>
                <w:b/>
                <w:color w:val="FFFFFF"/>
                <w:sz w:val="17"/>
              </w:rPr>
              <w:t>动作</w:t>
            </w:r>
          </w:p>
        </w:tc>
        <w:tc>
          <w:tcPr>
            <w:tcW w:type="dxa" w:w="1247"/>
            <w:shd w:fill="17365D"/>
            <w:vAlign w:val="center"/>
          </w:tcPr>
          <w:p>
            <w:r>
              <w:rPr>
                <w:b/>
                <w:color w:val="FFFFFF"/>
                <w:sz w:val="17"/>
              </w:rPr>
              <w:t>管理结果</w:t>
            </w:r>
          </w:p>
        </w:tc>
      </w:tr>
      <w:tr>
        <w:tc>
          <w:tcPr>
            <w:tcW w:type="dxa" w:w="680"/>
            <w:vAlign w:val="center"/>
          </w:tcPr>
          <w:p>
            <w:pPr>
              <w:spacing w:after="20" w:line="252" w:lineRule="auto"/>
            </w:pPr>
            <w:r>
              <w:rPr>
                <w:rFonts w:ascii="Microsoft YaHei" w:hAnsi="Microsoft YaHei"/>
                <w:sz w:val="17"/>
              </w:rPr>
              <w:t>1</w:t>
            </w:r>
          </w:p>
        </w:tc>
        <w:tc>
          <w:tcPr>
            <w:tcW w:type="dxa" w:w="6917"/>
            <w:vAlign w:val="center"/>
          </w:tcPr>
          <w:p>
            <w:pPr>
              <w:spacing w:after="20" w:line="252" w:lineRule="auto"/>
            </w:pPr>
            <w:r>
              <w:rPr>
                <w:rFonts w:ascii="Microsoft YaHei" w:hAnsi="Microsoft YaHei"/>
                <w:sz w:val="17"/>
              </w:rPr>
              <w:t>客户准入和信用调查</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2</w:t>
            </w:r>
          </w:p>
        </w:tc>
        <w:tc>
          <w:tcPr>
            <w:tcW w:type="dxa" w:w="6917"/>
            <w:vAlign w:val="center"/>
            <w:shd w:fill="F4F7FA"/>
          </w:tcPr>
          <w:p>
            <w:pPr>
              <w:spacing w:after="20" w:line="252" w:lineRule="auto"/>
            </w:pPr>
            <w:r>
              <w:rPr>
                <w:rFonts w:ascii="Microsoft YaHei" w:hAnsi="Microsoft YaHei"/>
                <w:sz w:val="17"/>
              </w:rPr>
              <w:t>信用额度与账期审批</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3</w:t>
            </w:r>
          </w:p>
        </w:tc>
        <w:tc>
          <w:tcPr>
            <w:tcW w:type="dxa" w:w="6917"/>
            <w:vAlign w:val="center"/>
          </w:tcPr>
          <w:p>
            <w:pPr>
              <w:spacing w:after="20" w:line="252" w:lineRule="auto"/>
            </w:pPr>
            <w:r>
              <w:rPr>
                <w:rFonts w:ascii="Microsoft YaHei" w:hAnsi="Microsoft YaHei"/>
                <w:sz w:val="17"/>
              </w:rPr>
              <w:t>销售合同和订单</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4</w:t>
            </w:r>
          </w:p>
        </w:tc>
        <w:tc>
          <w:tcPr>
            <w:tcW w:type="dxa" w:w="6917"/>
            <w:vAlign w:val="center"/>
            <w:shd w:fill="F4F7FA"/>
          </w:tcPr>
          <w:p>
            <w:pPr>
              <w:spacing w:after="20" w:line="252" w:lineRule="auto"/>
            </w:pPr>
            <w:r>
              <w:rPr>
                <w:rFonts w:ascii="Microsoft YaHei" w:hAnsi="Microsoft YaHei"/>
                <w:sz w:val="17"/>
              </w:rPr>
              <w:t>信用检查与发货放行</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5</w:t>
            </w:r>
          </w:p>
        </w:tc>
        <w:tc>
          <w:tcPr>
            <w:tcW w:type="dxa" w:w="6917"/>
            <w:vAlign w:val="center"/>
          </w:tcPr>
          <w:p>
            <w:pPr>
              <w:spacing w:after="20" w:line="252" w:lineRule="auto"/>
            </w:pPr>
            <w:r>
              <w:rPr>
                <w:rFonts w:ascii="Microsoft YaHei" w:hAnsi="Microsoft YaHei"/>
                <w:sz w:val="17"/>
              </w:rPr>
              <w:t>履约、验收和开票</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6</w:t>
            </w:r>
          </w:p>
        </w:tc>
        <w:tc>
          <w:tcPr>
            <w:tcW w:type="dxa" w:w="6917"/>
            <w:vAlign w:val="center"/>
            <w:shd w:fill="F4F7FA"/>
          </w:tcPr>
          <w:p>
            <w:pPr>
              <w:spacing w:after="20" w:line="252" w:lineRule="auto"/>
            </w:pPr>
            <w:r>
              <w:rPr>
                <w:rFonts w:ascii="Microsoft YaHei" w:hAnsi="Microsoft YaHei"/>
                <w:sz w:val="17"/>
              </w:rPr>
              <w:t>收入及应收确认</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7</w:t>
            </w:r>
          </w:p>
        </w:tc>
        <w:tc>
          <w:tcPr>
            <w:tcW w:type="dxa" w:w="6917"/>
            <w:vAlign w:val="center"/>
          </w:tcPr>
          <w:p>
            <w:pPr>
              <w:spacing w:after="20" w:line="252" w:lineRule="auto"/>
            </w:pPr>
            <w:r>
              <w:rPr>
                <w:rFonts w:ascii="Microsoft YaHei" w:hAnsi="Microsoft YaHei"/>
                <w:sz w:val="17"/>
              </w:rPr>
              <w:t>客户对账和到期提醒</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8</w:t>
            </w:r>
          </w:p>
        </w:tc>
        <w:tc>
          <w:tcPr>
            <w:tcW w:type="dxa" w:w="6917"/>
            <w:vAlign w:val="center"/>
            <w:shd w:fill="F4F7FA"/>
          </w:tcPr>
          <w:p>
            <w:pPr>
              <w:spacing w:after="20" w:line="252" w:lineRule="auto"/>
            </w:pPr>
            <w:r>
              <w:rPr>
                <w:rFonts w:ascii="Microsoft YaHei" w:hAnsi="Microsoft YaHei"/>
                <w:sz w:val="17"/>
              </w:rPr>
              <w:t>逾期催收与争议解决</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9</w:t>
            </w:r>
          </w:p>
        </w:tc>
        <w:tc>
          <w:tcPr>
            <w:tcW w:type="dxa" w:w="6917"/>
            <w:vAlign w:val="center"/>
          </w:tcPr>
          <w:p>
            <w:pPr>
              <w:spacing w:after="20" w:line="252" w:lineRule="auto"/>
            </w:pPr>
            <w:r>
              <w:rPr>
                <w:rFonts w:ascii="Microsoft YaHei" w:hAnsi="Microsoft YaHei"/>
                <w:sz w:val="17"/>
              </w:rPr>
              <w:t>银行到账和回款认领</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10</w:t>
            </w:r>
          </w:p>
        </w:tc>
        <w:tc>
          <w:tcPr>
            <w:tcW w:type="dxa" w:w="6917"/>
            <w:vAlign w:val="center"/>
            <w:shd w:fill="F4F7FA"/>
          </w:tcPr>
          <w:p>
            <w:pPr>
              <w:spacing w:after="20" w:line="252" w:lineRule="auto"/>
            </w:pPr>
            <w:r>
              <w:rPr>
                <w:rFonts w:ascii="Microsoft YaHei" w:hAnsi="Microsoft YaHei"/>
                <w:sz w:val="17"/>
              </w:rPr>
              <w:t>应收核销</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11</w:t>
            </w:r>
          </w:p>
        </w:tc>
        <w:tc>
          <w:tcPr>
            <w:tcW w:type="dxa" w:w="6917"/>
            <w:vAlign w:val="center"/>
          </w:tcPr>
          <w:p>
            <w:pPr>
              <w:spacing w:after="20" w:line="252" w:lineRule="auto"/>
            </w:pPr>
            <w:r>
              <w:rPr>
                <w:rFonts w:ascii="Microsoft YaHei" w:hAnsi="Microsoft YaHei"/>
                <w:sz w:val="17"/>
              </w:rPr>
              <w:t>ECL计提或坏账核销</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12</w:t>
            </w:r>
          </w:p>
        </w:tc>
        <w:tc>
          <w:tcPr>
            <w:tcW w:type="dxa" w:w="6917"/>
            <w:vAlign w:val="center"/>
            <w:shd w:fill="F4F7FA"/>
          </w:tcPr>
          <w:p>
            <w:pPr>
              <w:spacing w:after="20" w:line="252" w:lineRule="auto"/>
            </w:pPr>
            <w:r>
              <w:rPr>
                <w:rFonts w:ascii="Microsoft YaHei" w:hAnsi="Microsoft YaHei"/>
                <w:sz w:val="17"/>
              </w:rPr>
              <w:t>复盘信用政策并关闭Issue</w:t>
            </w:r>
          </w:p>
        </w:tc>
        <w:tc>
          <w:tcPr>
            <w:tcW w:type="dxa" w:w="1247"/>
            <w:vAlign w:val="center"/>
            <w:shd w:fill="F4F7FA"/>
          </w:tcPr>
          <w:p>
            <w:pPr>
              <w:spacing w:after="20" w:line="252" w:lineRule="auto"/>
            </w:pPr>
            <w:r>
              <w:rPr>
                <w:rFonts w:ascii="Microsoft YaHei" w:hAnsi="Microsoft YaHei"/>
                <w:sz w:val="17"/>
              </w:rPr>
              <w:t>关闭</w:t>
            </w:r>
          </w:p>
        </w:tc>
      </w:tr>
    </w:tbl>
    <w:p>
      <w:pPr>
        <w:spacing w:after="40"/>
      </w:pPr>
    </w:p>
    <w:p>
      <w:pPr>
        <w:pStyle w:val="Heading2"/>
        <w:keepNext/>
      </w:pPr>
      <w:r>
        <w:t>1.3 四类要求必须分开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474"/>
            <w:shd w:fill="17365D"/>
            <w:vAlign w:val="center"/>
          </w:tcPr>
          <w:p>
            <w:r>
              <w:rPr>
                <w:b/>
                <w:color w:val="FFFFFF"/>
                <w:sz w:val="17"/>
              </w:rPr>
              <w:t>类型</w:t>
            </w:r>
          </w:p>
        </w:tc>
        <w:tc>
          <w:tcPr>
            <w:tcW w:type="dxa" w:w="3402"/>
            <w:shd w:fill="17365D"/>
            <w:vAlign w:val="center"/>
          </w:tcPr>
          <w:p>
            <w:r>
              <w:rPr>
                <w:b/>
                <w:color w:val="FFFFFF"/>
                <w:sz w:val="17"/>
              </w:rPr>
              <w:t>内容</w:t>
            </w:r>
          </w:p>
        </w:tc>
        <w:tc>
          <w:tcPr>
            <w:tcW w:type="dxa" w:w="4025"/>
            <w:shd w:fill="17365D"/>
            <w:vAlign w:val="center"/>
          </w:tcPr>
          <w:p>
            <w:r>
              <w:rPr>
                <w:b/>
                <w:color w:val="FFFFFF"/>
                <w:sz w:val="17"/>
              </w:rPr>
              <w:t>例子</w:t>
            </w:r>
          </w:p>
        </w:tc>
      </w:tr>
      <w:tr>
        <w:tc>
          <w:tcPr>
            <w:tcW w:type="dxa" w:w="1474"/>
            <w:vAlign w:val="center"/>
          </w:tcPr>
          <w:p>
            <w:pPr>
              <w:spacing w:after="20" w:line="252" w:lineRule="auto"/>
            </w:pPr>
            <w:r>
              <w:rPr>
                <w:rFonts w:ascii="Microsoft YaHei" w:hAnsi="Microsoft YaHei"/>
                <w:sz w:val="17"/>
              </w:rPr>
              <w:t>会计准则</w:t>
            </w:r>
          </w:p>
        </w:tc>
        <w:tc>
          <w:tcPr>
            <w:tcW w:type="dxa" w:w="3402"/>
            <w:vAlign w:val="center"/>
          </w:tcPr>
          <w:p>
            <w:pPr>
              <w:spacing w:after="20" w:line="252" w:lineRule="auto"/>
            </w:pPr>
            <w:r>
              <w:rPr>
                <w:rFonts w:ascii="Microsoft YaHei" w:hAnsi="Microsoft YaHei"/>
                <w:sz w:val="17"/>
              </w:rPr>
              <w:t>决定收入、应收、合同资产和预期信用损失的确认计量</w:t>
            </w:r>
          </w:p>
        </w:tc>
        <w:tc>
          <w:tcPr>
            <w:tcW w:type="dxa" w:w="4025"/>
            <w:vAlign w:val="center"/>
          </w:tcPr>
          <w:p>
            <w:pPr>
              <w:spacing w:after="20" w:line="252" w:lineRule="auto"/>
            </w:pPr>
            <w:r>
              <w:rPr>
                <w:rFonts w:ascii="Microsoft YaHei" w:hAnsi="Microsoft YaHei"/>
                <w:sz w:val="17"/>
              </w:rPr>
              <w:t>不能用企业内部账龄政策替代准则判断</w:t>
            </w:r>
          </w:p>
        </w:tc>
      </w:tr>
      <w:tr>
        <w:tc>
          <w:tcPr>
            <w:tcW w:type="dxa" w:w="1474"/>
            <w:vAlign w:val="center"/>
            <w:shd w:fill="F4F7FA"/>
          </w:tcPr>
          <w:p>
            <w:pPr>
              <w:spacing w:after="20" w:line="252" w:lineRule="auto"/>
            </w:pPr>
            <w:r>
              <w:rPr>
                <w:rFonts w:ascii="Microsoft YaHei" w:hAnsi="Microsoft YaHei"/>
                <w:sz w:val="17"/>
              </w:rPr>
              <w:t>法律要求</w:t>
            </w:r>
          </w:p>
        </w:tc>
        <w:tc>
          <w:tcPr>
            <w:tcW w:type="dxa" w:w="3402"/>
            <w:vAlign w:val="center"/>
            <w:shd w:fill="F4F7FA"/>
          </w:tcPr>
          <w:p>
            <w:pPr>
              <w:spacing w:after="20" w:line="252" w:lineRule="auto"/>
            </w:pPr>
            <w:r>
              <w:rPr>
                <w:rFonts w:ascii="Microsoft YaHei" w:hAnsi="Microsoft YaHei"/>
                <w:sz w:val="17"/>
              </w:rPr>
              <w:t>合同权利、诉讼时效和证据效力</w:t>
            </w:r>
          </w:p>
        </w:tc>
        <w:tc>
          <w:tcPr>
            <w:tcW w:type="dxa" w:w="4025"/>
            <w:vAlign w:val="center"/>
            <w:shd w:fill="F4F7FA"/>
          </w:tcPr>
          <w:p>
            <w:pPr>
              <w:spacing w:after="20" w:line="252" w:lineRule="auto"/>
            </w:pPr>
            <w:r>
              <w:rPr>
                <w:rFonts w:ascii="Microsoft YaHei" w:hAnsi="Microsoft YaHei"/>
                <w:sz w:val="17"/>
              </w:rPr>
              <w:t>一般诉讼时效期间为三年，但要结合具体事实</w:t>
            </w:r>
          </w:p>
        </w:tc>
      </w:tr>
      <w:tr>
        <w:tc>
          <w:tcPr>
            <w:tcW w:type="dxa" w:w="1474"/>
            <w:vAlign w:val="center"/>
          </w:tcPr>
          <w:p>
            <w:pPr>
              <w:spacing w:after="20" w:line="252" w:lineRule="auto"/>
            </w:pPr>
            <w:r>
              <w:rPr>
                <w:rFonts w:ascii="Microsoft YaHei" w:hAnsi="Microsoft YaHei"/>
                <w:sz w:val="17"/>
              </w:rPr>
              <w:t>常见实务</w:t>
            </w:r>
          </w:p>
        </w:tc>
        <w:tc>
          <w:tcPr>
            <w:tcW w:type="dxa" w:w="3402"/>
            <w:vAlign w:val="center"/>
          </w:tcPr>
          <w:p>
            <w:pPr>
              <w:spacing w:after="20" w:line="252" w:lineRule="auto"/>
            </w:pPr>
            <w:r>
              <w:rPr>
                <w:rFonts w:ascii="Microsoft YaHei" w:hAnsi="Microsoft YaHei"/>
                <w:sz w:val="17"/>
              </w:rPr>
              <w:t>信用分级、催收会议、对账和冻结发货</w:t>
            </w:r>
          </w:p>
        </w:tc>
        <w:tc>
          <w:tcPr>
            <w:tcW w:type="dxa" w:w="4025"/>
            <w:vAlign w:val="center"/>
          </w:tcPr>
          <w:p>
            <w:pPr>
              <w:spacing w:after="20" w:line="252" w:lineRule="auto"/>
            </w:pPr>
            <w:r>
              <w:rPr>
                <w:rFonts w:ascii="Microsoft YaHei" w:hAnsi="Microsoft YaHei"/>
                <w:sz w:val="17"/>
              </w:rPr>
              <w:t>行业习惯不等于强制规定</w:t>
            </w:r>
          </w:p>
        </w:tc>
      </w:tr>
      <w:tr>
        <w:tc>
          <w:tcPr>
            <w:tcW w:type="dxa" w:w="1474"/>
            <w:vAlign w:val="center"/>
            <w:shd w:fill="F4F7FA"/>
          </w:tcPr>
          <w:p>
            <w:pPr>
              <w:spacing w:after="20" w:line="252" w:lineRule="auto"/>
            </w:pPr>
            <w:r>
              <w:rPr>
                <w:rFonts w:ascii="Microsoft YaHei" w:hAnsi="Microsoft YaHei"/>
                <w:sz w:val="17"/>
              </w:rPr>
              <w:t>企业政策</w:t>
            </w:r>
          </w:p>
        </w:tc>
        <w:tc>
          <w:tcPr>
            <w:tcW w:type="dxa" w:w="3402"/>
            <w:vAlign w:val="center"/>
            <w:shd w:fill="F4F7FA"/>
          </w:tcPr>
          <w:p>
            <w:pPr>
              <w:spacing w:after="20" w:line="252" w:lineRule="auto"/>
            </w:pPr>
            <w:r>
              <w:rPr>
                <w:rFonts w:ascii="Microsoft YaHei" w:hAnsi="Microsoft YaHei"/>
                <w:sz w:val="17"/>
              </w:rPr>
              <w:t>额度、账期、审批层级和停发货阈值</w:t>
            </w:r>
          </w:p>
        </w:tc>
        <w:tc>
          <w:tcPr>
            <w:tcW w:type="dxa" w:w="4025"/>
            <w:vAlign w:val="center"/>
            <w:shd w:fill="F4F7FA"/>
          </w:tcPr>
          <w:p>
            <w:pPr>
              <w:spacing w:after="20" w:line="252" w:lineRule="auto"/>
            </w:pPr>
            <w:r>
              <w:rPr>
                <w:rFonts w:ascii="Microsoft YaHei" w:hAnsi="Microsoft YaHei"/>
                <w:sz w:val="17"/>
              </w:rPr>
              <w:t>应结合规模、风险和系统能力制定</w:t>
            </w:r>
          </w:p>
        </w:tc>
      </w:tr>
    </w:tbl>
    <w:p>
      <w:pPr>
        <w:spacing w:after="40"/>
      </w:pPr>
    </w:p>
    <w:p>
      <w:pPr>
        <w:pStyle w:val="Heading1"/>
        <w:keepNext/>
      </w:pPr>
      <w:r>
        <w:t>第二章 岗位责任与跨部门协同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1701"/>
            <w:shd w:fill="17365D"/>
            <w:vAlign w:val="center"/>
          </w:tcPr>
          <w:p>
            <w:r>
              <w:rPr>
                <w:b/>
                <w:color w:val="FFFFFF"/>
                <w:sz w:val="16"/>
              </w:rPr>
              <w:t>事项</w:t>
            </w:r>
          </w:p>
        </w:tc>
        <w:tc>
          <w:tcPr>
            <w:tcW w:type="dxa" w:w="1701"/>
            <w:shd w:fill="17365D"/>
            <w:vAlign w:val="center"/>
          </w:tcPr>
          <w:p>
            <w:r>
              <w:rPr>
                <w:b/>
                <w:color w:val="FFFFFF"/>
                <w:sz w:val="16"/>
              </w:rPr>
              <w:t>执行人</w:t>
            </w:r>
          </w:p>
        </w:tc>
        <w:tc>
          <w:tcPr>
            <w:tcW w:type="dxa" w:w="2381"/>
            <w:shd w:fill="17365D"/>
            <w:vAlign w:val="center"/>
          </w:tcPr>
          <w:p>
            <w:r>
              <w:rPr>
                <w:b/>
                <w:color w:val="FFFFFF"/>
                <w:sz w:val="16"/>
              </w:rPr>
              <w:t>财务主管</w:t>
            </w:r>
          </w:p>
        </w:tc>
        <w:tc>
          <w:tcPr>
            <w:tcW w:type="dxa" w:w="1587"/>
            <w:shd w:fill="17365D"/>
            <w:vAlign w:val="center"/>
          </w:tcPr>
          <w:p>
            <w:r>
              <w:rPr>
                <w:b/>
                <w:color w:val="FFFFFF"/>
                <w:sz w:val="16"/>
              </w:rPr>
              <w:t>协同方</w:t>
            </w:r>
          </w:p>
        </w:tc>
        <w:tc>
          <w:tcPr>
            <w:tcW w:type="dxa" w:w="1531"/>
            <w:shd w:fill="17365D"/>
            <w:vAlign w:val="center"/>
          </w:tcPr>
          <w:p>
            <w:r>
              <w:rPr>
                <w:b/>
                <w:color w:val="FFFFFF"/>
                <w:sz w:val="16"/>
              </w:rPr>
              <w:t>批准人</w:t>
            </w:r>
          </w:p>
        </w:tc>
      </w:tr>
      <w:tr>
        <w:tc>
          <w:tcPr>
            <w:tcW w:type="dxa" w:w="1701"/>
            <w:vAlign w:val="center"/>
          </w:tcPr>
          <w:p>
            <w:pPr>
              <w:spacing w:after="20" w:line="252" w:lineRule="auto"/>
            </w:pPr>
            <w:r>
              <w:rPr>
                <w:rFonts w:ascii="Microsoft YaHei" w:hAnsi="Microsoft YaHei"/>
                <w:sz w:val="16"/>
              </w:rPr>
              <w:t>客户准入</w:t>
            </w:r>
          </w:p>
        </w:tc>
        <w:tc>
          <w:tcPr>
            <w:tcW w:type="dxa" w:w="1701"/>
            <w:vAlign w:val="center"/>
          </w:tcPr>
          <w:p>
            <w:pPr>
              <w:spacing w:after="20" w:line="252" w:lineRule="auto"/>
            </w:pPr>
            <w:r>
              <w:rPr>
                <w:rFonts w:ascii="Microsoft YaHei" w:hAnsi="Microsoft YaHei"/>
                <w:sz w:val="16"/>
              </w:rPr>
              <w:t>销售</w:t>
            </w:r>
          </w:p>
        </w:tc>
        <w:tc>
          <w:tcPr>
            <w:tcW w:type="dxa" w:w="2381"/>
            <w:vAlign w:val="center"/>
          </w:tcPr>
          <w:p>
            <w:pPr>
              <w:spacing w:after="20" w:line="252" w:lineRule="auto"/>
            </w:pPr>
            <w:r>
              <w:rPr>
                <w:rFonts w:ascii="Microsoft YaHei" w:hAnsi="Microsoft YaHei"/>
                <w:sz w:val="16"/>
              </w:rPr>
              <w:t>信用管理/财务</w:t>
            </w:r>
          </w:p>
        </w:tc>
        <w:tc>
          <w:tcPr>
            <w:tcW w:type="dxa" w:w="1587"/>
            <w:vAlign w:val="center"/>
          </w:tcPr>
          <w:p>
            <w:pPr>
              <w:spacing w:after="20" w:line="252" w:lineRule="auto"/>
            </w:pPr>
            <w:r>
              <w:rPr>
                <w:rFonts w:ascii="Microsoft YaHei" w:hAnsi="Microsoft YaHei"/>
                <w:sz w:val="16"/>
              </w:rPr>
              <w:t>法务、税务</w:t>
            </w:r>
          </w:p>
        </w:tc>
        <w:tc>
          <w:tcPr>
            <w:tcW w:type="dxa" w:w="1531"/>
            <w:vAlign w:val="center"/>
          </w:tcPr>
          <w:p>
            <w:pPr>
              <w:spacing w:after="20" w:line="252" w:lineRule="auto"/>
            </w:pPr>
            <w:r>
              <w:rPr>
                <w:rFonts w:ascii="Microsoft YaHei" w:hAnsi="Microsoft YaHei"/>
                <w:sz w:val="16"/>
              </w:rPr>
              <w:t>财务经理</w:t>
            </w:r>
          </w:p>
        </w:tc>
      </w:tr>
      <w:tr>
        <w:tc>
          <w:tcPr>
            <w:tcW w:type="dxa" w:w="1701"/>
            <w:vAlign w:val="center"/>
            <w:shd w:fill="F4F7FA"/>
          </w:tcPr>
          <w:p>
            <w:pPr>
              <w:spacing w:after="20" w:line="252" w:lineRule="auto"/>
            </w:pPr>
            <w:r>
              <w:rPr>
                <w:rFonts w:ascii="Microsoft YaHei" w:hAnsi="Microsoft YaHei"/>
                <w:sz w:val="16"/>
              </w:rPr>
              <w:t>信用额度</w:t>
            </w:r>
          </w:p>
        </w:tc>
        <w:tc>
          <w:tcPr>
            <w:tcW w:type="dxa" w:w="1701"/>
            <w:vAlign w:val="center"/>
            <w:shd w:fill="F4F7FA"/>
          </w:tcPr>
          <w:p>
            <w:pPr>
              <w:spacing w:after="20" w:line="252" w:lineRule="auto"/>
            </w:pPr>
            <w:r>
              <w:rPr>
                <w:rFonts w:ascii="Microsoft YaHei" w:hAnsi="Microsoft YaHei"/>
                <w:sz w:val="16"/>
              </w:rPr>
              <w:t>销售提供资料</w:t>
            </w:r>
          </w:p>
        </w:tc>
        <w:tc>
          <w:tcPr>
            <w:tcW w:type="dxa" w:w="2381"/>
            <w:vAlign w:val="center"/>
            <w:shd w:fill="F4F7FA"/>
          </w:tcPr>
          <w:p>
            <w:pPr>
              <w:spacing w:after="20" w:line="252" w:lineRule="auto"/>
            </w:pPr>
            <w:r>
              <w:rPr>
                <w:rFonts w:ascii="Microsoft YaHei" w:hAnsi="Microsoft YaHei"/>
                <w:sz w:val="16"/>
              </w:rPr>
              <w:t>财务分析</w:t>
            </w:r>
          </w:p>
        </w:tc>
        <w:tc>
          <w:tcPr>
            <w:tcW w:type="dxa" w:w="1587"/>
            <w:vAlign w:val="center"/>
            <w:shd w:fill="F4F7FA"/>
          </w:tcPr>
          <w:p>
            <w:pPr>
              <w:spacing w:after="20" w:line="252" w:lineRule="auto"/>
            </w:pPr>
            <w:r>
              <w:rPr>
                <w:rFonts w:ascii="Microsoft YaHei" w:hAnsi="Microsoft YaHei"/>
                <w:sz w:val="16"/>
              </w:rPr>
              <w:t>销售总监</w:t>
            </w:r>
          </w:p>
        </w:tc>
        <w:tc>
          <w:tcPr>
            <w:tcW w:type="dxa" w:w="1531"/>
            <w:vAlign w:val="center"/>
            <w:shd w:fill="F4F7FA"/>
          </w:tcPr>
          <w:p>
            <w:pPr>
              <w:spacing w:after="20" w:line="252" w:lineRule="auto"/>
            </w:pPr>
            <w:r>
              <w:rPr>
                <w:rFonts w:ascii="Microsoft YaHei" w:hAnsi="Microsoft YaHei"/>
                <w:sz w:val="16"/>
              </w:rPr>
              <w:t>按权限审批</w:t>
            </w:r>
          </w:p>
        </w:tc>
      </w:tr>
      <w:tr>
        <w:tc>
          <w:tcPr>
            <w:tcW w:type="dxa" w:w="1701"/>
            <w:vAlign w:val="center"/>
          </w:tcPr>
          <w:p>
            <w:pPr>
              <w:spacing w:after="20" w:line="252" w:lineRule="auto"/>
            </w:pPr>
            <w:r>
              <w:rPr>
                <w:rFonts w:ascii="Microsoft YaHei" w:hAnsi="Microsoft YaHei"/>
                <w:sz w:val="16"/>
              </w:rPr>
              <w:t>合同和账期</w:t>
            </w:r>
          </w:p>
        </w:tc>
        <w:tc>
          <w:tcPr>
            <w:tcW w:type="dxa" w:w="1701"/>
            <w:vAlign w:val="center"/>
          </w:tcPr>
          <w:p>
            <w:pPr>
              <w:spacing w:after="20" w:line="252" w:lineRule="auto"/>
            </w:pPr>
            <w:r>
              <w:rPr>
                <w:rFonts w:ascii="Microsoft YaHei" w:hAnsi="Microsoft YaHei"/>
                <w:sz w:val="16"/>
              </w:rPr>
              <w:t>销售/法务</w:t>
            </w:r>
          </w:p>
        </w:tc>
        <w:tc>
          <w:tcPr>
            <w:tcW w:type="dxa" w:w="2381"/>
            <w:vAlign w:val="center"/>
          </w:tcPr>
          <w:p>
            <w:pPr>
              <w:spacing w:after="20" w:line="252" w:lineRule="auto"/>
            </w:pPr>
            <w:r>
              <w:rPr>
                <w:rFonts w:ascii="Microsoft YaHei" w:hAnsi="Microsoft YaHei"/>
                <w:sz w:val="16"/>
              </w:rPr>
              <w:t>财务审核财务条款</w:t>
            </w:r>
          </w:p>
        </w:tc>
        <w:tc>
          <w:tcPr>
            <w:tcW w:type="dxa" w:w="1587"/>
            <w:vAlign w:val="center"/>
          </w:tcPr>
          <w:p>
            <w:pPr>
              <w:spacing w:after="20" w:line="252" w:lineRule="auto"/>
            </w:pPr>
            <w:r>
              <w:rPr>
                <w:rFonts w:ascii="Microsoft YaHei" w:hAnsi="Microsoft YaHei"/>
                <w:sz w:val="16"/>
              </w:rPr>
              <w:t>税务、交付部门</w:t>
            </w:r>
          </w:p>
        </w:tc>
        <w:tc>
          <w:tcPr>
            <w:tcW w:type="dxa" w:w="1531"/>
            <w:vAlign w:val="center"/>
          </w:tcPr>
          <w:p>
            <w:pPr>
              <w:spacing w:after="20" w:line="252" w:lineRule="auto"/>
            </w:pPr>
            <w:r>
              <w:rPr>
                <w:rFonts w:ascii="Microsoft YaHei" w:hAnsi="Microsoft YaHei"/>
                <w:sz w:val="16"/>
              </w:rPr>
              <w:t>授权人</w:t>
            </w:r>
          </w:p>
        </w:tc>
      </w:tr>
      <w:tr>
        <w:tc>
          <w:tcPr>
            <w:tcW w:type="dxa" w:w="1701"/>
            <w:vAlign w:val="center"/>
            <w:shd w:fill="F4F7FA"/>
          </w:tcPr>
          <w:p>
            <w:pPr>
              <w:spacing w:after="20" w:line="252" w:lineRule="auto"/>
            </w:pPr>
            <w:r>
              <w:rPr>
                <w:rFonts w:ascii="Microsoft YaHei" w:hAnsi="Microsoft YaHei"/>
                <w:sz w:val="16"/>
              </w:rPr>
              <w:t>发货放行</w:t>
            </w:r>
          </w:p>
        </w:tc>
        <w:tc>
          <w:tcPr>
            <w:tcW w:type="dxa" w:w="1701"/>
            <w:vAlign w:val="center"/>
            <w:shd w:fill="F4F7FA"/>
          </w:tcPr>
          <w:p>
            <w:pPr>
              <w:spacing w:after="20" w:line="252" w:lineRule="auto"/>
            </w:pPr>
            <w:r>
              <w:rPr>
                <w:rFonts w:ascii="Microsoft YaHei" w:hAnsi="Microsoft YaHei"/>
                <w:sz w:val="16"/>
              </w:rPr>
              <w:t>仓库/销售</w:t>
            </w:r>
          </w:p>
        </w:tc>
        <w:tc>
          <w:tcPr>
            <w:tcW w:type="dxa" w:w="2381"/>
            <w:vAlign w:val="center"/>
            <w:shd w:fill="F4F7FA"/>
          </w:tcPr>
          <w:p>
            <w:pPr>
              <w:spacing w:after="20" w:line="252" w:lineRule="auto"/>
            </w:pPr>
            <w:r>
              <w:rPr>
                <w:rFonts w:ascii="Microsoft YaHei" w:hAnsi="Microsoft YaHei"/>
                <w:sz w:val="16"/>
              </w:rPr>
              <w:t>系统按额度校验</w:t>
            </w:r>
          </w:p>
        </w:tc>
        <w:tc>
          <w:tcPr>
            <w:tcW w:type="dxa" w:w="1587"/>
            <w:vAlign w:val="center"/>
            <w:shd w:fill="F4F7FA"/>
          </w:tcPr>
          <w:p>
            <w:pPr>
              <w:spacing w:after="20" w:line="252" w:lineRule="auto"/>
            </w:pPr>
            <w:r>
              <w:rPr>
                <w:rFonts w:ascii="Microsoft YaHei" w:hAnsi="Microsoft YaHei"/>
                <w:sz w:val="16"/>
              </w:rPr>
              <w:t>AR/信用管理</w:t>
            </w:r>
          </w:p>
        </w:tc>
        <w:tc>
          <w:tcPr>
            <w:tcW w:type="dxa" w:w="1531"/>
            <w:vAlign w:val="center"/>
            <w:shd w:fill="F4F7FA"/>
          </w:tcPr>
          <w:p>
            <w:pPr>
              <w:spacing w:after="20" w:line="252" w:lineRule="auto"/>
            </w:pPr>
            <w:r>
              <w:rPr>
                <w:rFonts w:ascii="Microsoft YaHei" w:hAnsi="Microsoft YaHei"/>
                <w:sz w:val="16"/>
              </w:rPr>
              <w:t>例外审批人</w:t>
            </w:r>
          </w:p>
        </w:tc>
      </w:tr>
      <w:tr>
        <w:tc>
          <w:tcPr>
            <w:tcW w:type="dxa" w:w="1701"/>
            <w:vAlign w:val="center"/>
          </w:tcPr>
          <w:p>
            <w:pPr>
              <w:spacing w:after="20" w:line="252" w:lineRule="auto"/>
            </w:pPr>
            <w:r>
              <w:rPr>
                <w:rFonts w:ascii="Microsoft YaHei" w:hAnsi="Microsoft YaHei"/>
                <w:sz w:val="16"/>
              </w:rPr>
              <w:t>收入和应收</w:t>
            </w:r>
          </w:p>
        </w:tc>
        <w:tc>
          <w:tcPr>
            <w:tcW w:type="dxa" w:w="1701"/>
            <w:vAlign w:val="center"/>
          </w:tcPr>
          <w:p>
            <w:pPr>
              <w:spacing w:after="20" w:line="252" w:lineRule="auto"/>
            </w:pPr>
            <w:r>
              <w:rPr>
                <w:rFonts w:ascii="Microsoft YaHei" w:hAnsi="Microsoft YaHei"/>
                <w:sz w:val="16"/>
              </w:rPr>
              <w:t>总账/AR</w:t>
            </w:r>
          </w:p>
        </w:tc>
        <w:tc>
          <w:tcPr>
            <w:tcW w:type="dxa" w:w="2381"/>
            <w:vAlign w:val="center"/>
          </w:tcPr>
          <w:p>
            <w:pPr>
              <w:spacing w:after="20" w:line="252" w:lineRule="auto"/>
            </w:pPr>
            <w:r>
              <w:rPr>
                <w:rFonts w:ascii="Microsoft YaHei" w:hAnsi="Microsoft YaHei"/>
                <w:sz w:val="16"/>
              </w:rPr>
              <w:t>财务主管复核</w:t>
            </w:r>
          </w:p>
        </w:tc>
        <w:tc>
          <w:tcPr>
            <w:tcW w:type="dxa" w:w="1587"/>
            <w:vAlign w:val="center"/>
          </w:tcPr>
          <w:p>
            <w:pPr>
              <w:spacing w:after="20" w:line="252" w:lineRule="auto"/>
            </w:pPr>
            <w:r>
              <w:rPr>
                <w:rFonts w:ascii="Microsoft YaHei" w:hAnsi="Microsoft YaHei"/>
                <w:sz w:val="16"/>
              </w:rPr>
              <w:t>销售、项目</w:t>
            </w:r>
          </w:p>
        </w:tc>
        <w:tc>
          <w:tcPr>
            <w:tcW w:type="dxa" w:w="1531"/>
            <w:vAlign w:val="center"/>
          </w:tcPr>
          <w:p>
            <w:pPr>
              <w:spacing w:after="20" w:line="252" w:lineRule="auto"/>
            </w:pPr>
            <w:r>
              <w:rPr>
                <w:rFonts w:ascii="Microsoft YaHei" w:hAnsi="Microsoft YaHei"/>
                <w:sz w:val="16"/>
              </w:rPr>
              <w:t>财务经理重大判断</w:t>
            </w:r>
          </w:p>
        </w:tc>
      </w:tr>
      <w:tr>
        <w:tc>
          <w:tcPr>
            <w:tcW w:type="dxa" w:w="1701"/>
            <w:vAlign w:val="center"/>
            <w:shd w:fill="F4F7FA"/>
          </w:tcPr>
          <w:p>
            <w:pPr>
              <w:spacing w:after="20" w:line="252" w:lineRule="auto"/>
            </w:pPr>
            <w:r>
              <w:rPr>
                <w:rFonts w:ascii="Microsoft YaHei" w:hAnsi="Microsoft YaHei"/>
                <w:sz w:val="16"/>
              </w:rPr>
              <w:t>催收</w:t>
            </w:r>
          </w:p>
        </w:tc>
        <w:tc>
          <w:tcPr>
            <w:tcW w:type="dxa" w:w="1701"/>
            <w:vAlign w:val="center"/>
            <w:shd w:fill="F4F7FA"/>
          </w:tcPr>
          <w:p>
            <w:pPr>
              <w:spacing w:after="20" w:line="252" w:lineRule="auto"/>
            </w:pPr>
            <w:r>
              <w:rPr>
                <w:rFonts w:ascii="Microsoft YaHei" w:hAnsi="Microsoft YaHei"/>
                <w:sz w:val="16"/>
              </w:rPr>
              <w:t>销售Owner</w:t>
            </w:r>
          </w:p>
        </w:tc>
        <w:tc>
          <w:tcPr>
            <w:tcW w:type="dxa" w:w="2381"/>
            <w:vAlign w:val="center"/>
            <w:shd w:fill="F4F7FA"/>
          </w:tcPr>
          <w:p>
            <w:pPr>
              <w:spacing w:after="20" w:line="252" w:lineRule="auto"/>
            </w:pPr>
            <w:r>
              <w:rPr>
                <w:rFonts w:ascii="Microsoft YaHei" w:hAnsi="Microsoft YaHei"/>
                <w:sz w:val="16"/>
              </w:rPr>
              <w:t>AR提供清单并跟踪</w:t>
            </w:r>
          </w:p>
        </w:tc>
        <w:tc>
          <w:tcPr>
            <w:tcW w:type="dxa" w:w="1587"/>
            <w:vAlign w:val="center"/>
            <w:shd w:fill="F4F7FA"/>
          </w:tcPr>
          <w:p>
            <w:pPr>
              <w:spacing w:after="20" w:line="252" w:lineRule="auto"/>
            </w:pPr>
            <w:r>
              <w:rPr>
                <w:rFonts w:ascii="Microsoft YaHei" w:hAnsi="Microsoft YaHei"/>
                <w:sz w:val="16"/>
              </w:rPr>
              <w:t>法务</w:t>
            </w:r>
          </w:p>
        </w:tc>
        <w:tc>
          <w:tcPr>
            <w:tcW w:type="dxa" w:w="1531"/>
            <w:vAlign w:val="center"/>
            <w:shd w:fill="F4F7FA"/>
          </w:tcPr>
          <w:p>
            <w:pPr>
              <w:spacing w:after="20" w:line="252" w:lineRule="auto"/>
            </w:pPr>
            <w:r>
              <w:rPr>
                <w:rFonts w:ascii="Microsoft YaHei" w:hAnsi="Microsoft YaHei"/>
                <w:sz w:val="16"/>
              </w:rPr>
              <w:t>销售负责人</w:t>
            </w:r>
          </w:p>
        </w:tc>
      </w:tr>
      <w:tr>
        <w:tc>
          <w:tcPr>
            <w:tcW w:type="dxa" w:w="1701"/>
            <w:vAlign w:val="center"/>
          </w:tcPr>
          <w:p>
            <w:pPr>
              <w:spacing w:after="20" w:line="252" w:lineRule="auto"/>
            </w:pPr>
            <w:r>
              <w:rPr>
                <w:rFonts w:ascii="Microsoft YaHei" w:hAnsi="Microsoft YaHei"/>
                <w:sz w:val="16"/>
              </w:rPr>
              <w:t>回款认领</w:t>
            </w:r>
          </w:p>
        </w:tc>
        <w:tc>
          <w:tcPr>
            <w:tcW w:type="dxa" w:w="1701"/>
            <w:vAlign w:val="center"/>
          </w:tcPr>
          <w:p>
            <w:pPr>
              <w:spacing w:after="20" w:line="252" w:lineRule="auto"/>
            </w:pPr>
            <w:r>
              <w:rPr>
                <w:rFonts w:ascii="Microsoft YaHei" w:hAnsi="Microsoft YaHei"/>
                <w:sz w:val="16"/>
              </w:rPr>
              <w:t>资金/AR</w:t>
            </w:r>
          </w:p>
        </w:tc>
        <w:tc>
          <w:tcPr>
            <w:tcW w:type="dxa" w:w="2381"/>
            <w:vAlign w:val="center"/>
          </w:tcPr>
          <w:p>
            <w:pPr>
              <w:spacing w:after="20" w:line="252" w:lineRule="auto"/>
            </w:pPr>
            <w:r>
              <w:rPr>
                <w:rFonts w:ascii="Microsoft YaHei" w:hAnsi="Microsoft YaHei"/>
                <w:sz w:val="16"/>
              </w:rPr>
              <w:t>财务主管复核未认领</w:t>
            </w:r>
          </w:p>
        </w:tc>
        <w:tc>
          <w:tcPr>
            <w:tcW w:type="dxa" w:w="1587"/>
            <w:vAlign w:val="center"/>
          </w:tcPr>
          <w:p>
            <w:pPr>
              <w:spacing w:after="20" w:line="252" w:lineRule="auto"/>
            </w:pPr>
            <w:r>
              <w:rPr>
                <w:rFonts w:ascii="Microsoft YaHei" w:hAnsi="Microsoft YaHei"/>
                <w:sz w:val="16"/>
              </w:rPr>
              <w:t>销售</w:t>
            </w:r>
          </w:p>
        </w:tc>
        <w:tc>
          <w:tcPr>
            <w:tcW w:type="dxa" w:w="1531"/>
            <w:vAlign w:val="center"/>
          </w:tcPr>
          <w:p>
            <w:pPr>
              <w:spacing w:after="20" w:line="252" w:lineRule="auto"/>
            </w:pPr>
            <w:r>
              <w:rPr>
                <w:rFonts w:ascii="Microsoft YaHei" w:hAnsi="Microsoft YaHei"/>
                <w:sz w:val="16"/>
              </w:rPr>
              <w:t>财务经理重大异常</w:t>
            </w:r>
          </w:p>
        </w:tc>
      </w:tr>
      <w:tr>
        <w:tc>
          <w:tcPr>
            <w:tcW w:type="dxa" w:w="1701"/>
            <w:vAlign w:val="center"/>
            <w:shd w:fill="F4F7FA"/>
          </w:tcPr>
          <w:p>
            <w:pPr>
              <w:spacing w:after="20" w:line="252" w:lineRule="auto"/>
            </w:pPr>
            <w:r>
              <w:rPr>
                <w:rFonts w:ascii="Microsoft YaHei" w:hAnsi="Microsoft YaHei"/>
                <w:sz w:val="16"/>
              </w:rPr>
              <w:t>坏账准备</w:t>
            </w:r>
          </w:p>
        </w:tc>
        <w:tc>
          <w:tcPr>
            <w:tcW w:type="dxa" w:w="1701"/>
            <w:vAlign w:val="center"/>
            <w:shd w:fill="F4F7FA"/>
          </w:tcPr>
          <w:p>
            <w:pPr>
              <w:spacing w:after="20" w:line="252" w:lineRule="auto"/>
            </w:pPr>
            <w:r>
              <w:rPr>
                <w:rFonts w:ascii="Microsoft YaHei" w:hAnsi="Microsoft YaHei"/>
                <w:sz w:val="16"/>
              </w:rPr>
              <w:t>总账编制</w:t>
            </w:r>
          </w:p>
        </w:tc>
        <w:tc>
          <w:tcPr>
            <w:tcW w:type="dxa" w:w="2381"/>
            <w:vAlign w:val="center"/>
            <w:shd w:fill="F4F7FA"/>
          </w:tcPr>
          <w:p>
            <w:pPr>
              <w:spacing w:after="20" w:line="252" w:lineRule="auto"/>
            </w:pPr>
            <w:r>
              <w:rPr>
                <w:rFonts w:ascii="Microsoft YaHei" w:hAnsi="Microsoft YaHei"/>
                <w:sz w:val="16"/>
              </w:rPr>
              <w:t>财务主管复核模型</w:t>
            </w:r>
          </w:p>
        </w:tc>
        <w:tc>
          <w:tcPr>
            <w:tcW w:type="dxa" w:w="1587"/>
            <w:vAlign w:val="center"/>
            <w:shd w:fill="F4F7FA"/>
          </w:tcPr>
          <w:p>
            <w:pPr>
              <w:spacing w:after="20" w:line="252" w:lineRule="auto"/>
            </w:pPr>
            <w:r>
              <w:rPr>
                <w:rFonts w:ascii="Microsoft YaHei" w:hAnsi="Microsoft YaHei"/>
                <w:sz w:val="16"/>
              </w:rPr>
              <w:t>销售、法务</w:t>
            </w:r>
          </w:p>
        </w:tc>
        <w:tc>
          <w:tcPr>
            <w:tcW w:type="dxa" w:w="1531"/>
            <w:vAlign w:val="center"/>
            <w:shd w:fill="F4F7FA"/>
          </w:tcPr>
          <w:p>
            <w:pPr>
              <w:spacing w:after="20" w:line="252" w:lineRule="auto"/>
            </w:pPr>
            <w:r>
              <w:rPr>
                <w:rFonts w:ascii="Microsoft YaHei" w:hAnsi="Microsoft YaHei"/>
                <w:sz w:val="16"/>
              </w:rPr>
              <w:t>财务经理审批</w:t>
            </w:r>
          </w:p>
        </w:tc>
      </w:tr>
      <w:tr>
        <w:tc>
          <w:tcPr>
            <w:tcW w:type="dxa" w:w="1701"/>
            <w:vAlign w:val="center"/>
          </w:tcPr>
          <w:p>
            <w:pPr>
              <w:spacing w:after="20" w:line="252" w:lineRule="auto"/>
            </w:pPr>
            <w:r>
              <w:rPr>
                <w:rFonts w:ascii="Microsoft YaHei" w:hAnsi="Microsoft YaHei"/>
                <w:sz w:val="16"/>
              </w:rPr>
              <w:t>坏账核销</w:t>
            </w:r>
          </w:p>
        </w:tc>
        <w:tc>
          <w:tcPr>
            <w:tcW w:type="dxa" w:w="1701"/>
            <w:vAlign w:val="center"/>
          </w:tcPr>
          <w:p>
            <w:pPr>
              <w:spacing w:after="20" w:line="252" w:lineRule="auto"/>
            </w:pPr>
            <w:r>
              <w:rPr>
                <w:rFonts w:ascii="Microsoft YaHei" w:hAnsi="Microsoft YaHei"/>
                <w:sz w:val="16"/>
              </w:rPr>
              <w:t>AR/总账发起</w:t>
            </w:r>
          </w:p>
        </w:tc>
        <w:tc>
          <w:tcPr>
            <w:tcW w:type="dxa" w:w="2381"/>
            <w:vAlign w:val="center"/>
          </w:tcPr>
          <w:p>
            <w:pPr>
              <w:spacing w:after="20" w:line="252" w:lineRule="auto"/>
            </w:pPr>
            <w:r>
              <w:rPr>
                <w:rFonts w:ascii="Microsoft YaHei" w:hAnsi="Microsoft YaHei"/>
                <w:sz w:val="16"/>
              </w:rPr>
              <w:t>财务主管核查证据</w:t>
            </w:r>
          </w:p>
        </w:tc>
        <w:tc>
          <w:tcPr>
            <w:tcW w:type="dxa" w:w="1587"/>
            <w:vAlign w:val="center"/>
          </w:tcPr>
          <w:p>
            <w:pPr>
              <w:spacing w:after="20" w:line="252" w:lineRule="auto"/>
            </w:pPr>
            <w:r>
              <w:rPr>
                <w:rFonts w:ascii="Microsoft YaHei" w:hAnsi="Microsoft YaHei"/>
                <w:sz w:val="16"/>
              </w:rPr>
              <w:t>法务、销售</w:t>
            </w:r>
          </w:p>
        </w:tc>
        <w:tc>
          <w:tcPr>
            <w:tcW w:type="dxa" w:w="1531"/>
            <w:vAlign w:val="center"/>
          </w:tcPr>
          <w:p>
            <w:pPr>
              <w:spacing w:after="20" w:line="252" w:lineRule="auto"/>
            </w:pPr>
            <w:r>
              <w:rPr>
                <w:rFonts w:ascii="Microsoft YaHei" w:hAnsi="Microsoft YaHei"/>
                <w:sz w:val="16"/>
              </w:rPr>
              <w:t>按权限审批</w:t>
            </w:r>
          </w:p>
        </w:tc>
      </w:tr>
      <w:tr>
        <w:tc>
          <w:tcPr>
            <w:tcW w:type="dxa" w:w="1701"/>
            <w:vAlign w:val="center"/>
            <w:shd w:fill="F4F7FA"/>
          </w:tcPr>
          <w:p>
            <w:pPr>
              <w:spacing w:after="20" w:line="252" w:lineRule="auto"/>
            </w:pPr>
            <w:r>
              <w:rPr>
                <w:rFonts w:ascii="Microsoft YaHei" w:hAnsi="Microsoft YaHei"/>
                <w:sz w:val="16"/>
              </w:rPr>
              <w:t>客户对账</w:t>
            </w:r>
          </w:p>
        </w:tc>
        <w:tc>
          <w:tcPr>
            <w:tcW w:type="dxa" w:w="1701"/>
            <w:vAlign w:val="center"/>
            <w:shd w:fill="F4F7FA"/>
          </w:tcPr>
          <w:p>
            <w:pPr>
              <w:spacing w:after="20" w:line="252" w:lineRule="auto"/>
            </w:pPr>
            <w:r>
              <w:rPr>
                <w:rFonts w:ascii="Microsoft YaHei" w:hAnsi="Microsoft YaHei"/>
                <w:sz w:val="16"/>
              </w:rPr>
              <w:t>销售/AR</w:t>
            </w:r>
          </w:p>
        </w:tc>
        <w:tc>
          <w:tcPr>
            <w:tcW w:type="dxa" w:w="2381"/>
            <w:vAlign w:val="center"/>
            <w:shd w:fill="F4F7FA"/>
          </w:tcPr>
          <w:p>
            <w:pPr>
              <w:spacing w:after="20" w:line="252" w:lineRule="auto"/>
            </w:pPr>
            <w:r>
              <w:rPr>
                <w:rFonts w:ascii="Microsoft YaHei" w:hAnsi="Microsoft YaHei"/>
                <w:sz w:val="16"/>
              </w:rPr>
              <w:t>财务主管监督覆盖率</w:t>
            </w:r>
          </w:p>
        </w:tc>
        <w:tc>
          <w:tcPr>
            <w:tcW w:type="dxa" w:w="1587"/>
            <w:vAlign w:val="center"/>
            <w:shd w:fill="F4F7FA"/>
          </w:tcPr>
          <w:p>
            <w:pPr>
              <w:spacing w:after="20" w:line="252" w:lineRule="auto"/>
            </w:pPr>
            <w:r>
              <w:rPr>
                <w:rFonts w:ascii="Microsoft YaHei" w:hAnsi="Microsoft YaHei"/>
                <w:sz w:val="16"/>
              </w:rPr>
              <w:t>客户</w:t>
            </w:r>
          </w:p>
        </w:tc>
        <w:tc>
          <w:tcPr>
            <w:tcW w:type="dxa" w:w="1531"/>
            <w:vAlign w:val="center"/>
            <w:shd w:fill="F4F7FA"/>
          </w:tcPr>
          <w:p>
            <w:pPr>
              <w:spacing w:after="20" w:line="252" w:lineRule="auto"/>
            </w:pPr>
            <w:r>
              <w:rPr>
                <w:rFonts w:ascii="Microsoft YaHei" w:hAnsi="Microsoft YaHei"/>
                <w:sz w:val="16"/>
              </w:rPr>
              <w:t>重大差异升级</w:t>
            </w:r>
          </w:p>
        </w:tc>
      </w:tr>
    </w:tbl>
    <w:p>
      <w:pPr>
        <w:spacing w:after="40"/>
      </w:pPr>
    </w:p>
    <w:p>
      <w:pPr>
        <w:pStyle w:val="Heading2"/>
        <w:keepNext/>
      </w:pPr>
      <w:r>
        <w:t>2.1 财务不能替业务承担的责任</w:t>
      </w:r>
    </w:p>
    <w:p>
      <w:pPr>
        <w:pStyle w:val="ListBullet"/>
        <w:spacing w:after="40"/>
      </w:pPr>
      <w:r>
        <w:t>销售对客户关系、商业承诺和催收行动负责。</w:t>
      </w:r>
    </w:p>
    <w:p>
      <w:pPr>
        <w:pStyle w:val="ListBullet"/>
        <w:spacing w:after="40"/>
      </w:pPr>
      <w:r>
        <w:t>项目或交付部门对履约、验收和质量事实负责。</w:t>
      </w:r>
    </w:p>
    <w:p>
      <w:pPr>
        <w:pStyle w:val="ListBullet"/>
        <w:spacing w:after="40"/>
      </w:pPr>
      <w:r>
        <w:t>法务对诉讼、仲裁和法律策略提供专业意见。</w:t>
      </w:r>
    </w:p>
    <w:p>
      <w:pPr>
        <w:pStyle w:val="ListBullet"/>
        <w:spacing w:after="40"/>
      </w:pPr>
      <w:r>
        <w:t>财务对数据、信用风险、账务、减值、监督和升级负责。</w:t>
      </w:r>
    </w:p>
    <w:p>
      <w:pPr>
        <w:pStyle w:val="Heading2"/>
        <w:keepNext/>
      </w:pPr>
      <w:r>
        <w:t>2.2 业务部门推责任时怎么回应</w:t>
      </w:r>
    </w:p>
    <w:p>
      <w:pPr>
        <w:spacing w:after="100" w:line="300" w:lineRule="auto"/>
      </w:pPr>
      <w:r>
        <w:t>“财务可以提供账龄、额度和风险影响，也可以组织跟踪，但客户为什么拒付、何时解决验收以及由谁催收，需要销售和项目负责人给出可验证的行动计划。请明确Owner和日期，财务按计划跟踪并向管理层报告。”</w:t>
      </w:r>
    </w:p>
    <w:p>
      <w:pPr>
        <w:pStyle w:val="Heading1"/>
        <w:keepNext/>
      </w:pPr>
      <w:r>
        <w:t>第三章 财务主管的工作节奏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964"/>
            <w:shd w:fill="17365D"/>
            <w:vAlign w:val="center"/>
          </w:tcPr>
          <w:p>
            <w:r>
              <w:rPr>
                <w:b/>
                <w:color w:val="FFFFFF"/>
                <w:sz w:val="16"/>
              </w:rPr>
              <w:t>频率</w:t>
            </w:r>
          </w:p>
        </w:tc>
        <w:tc>
          <w:tcPr>
            <w:tcW w:type="dxa" w:w="2268"/>
            <w:shd w:fill="17365D"/>
            <w:vAlign w:val="center"/>
          </w:tcPr>
          <w:p>
            <w:r>
              <w:rPr>
                <w:b/>
                <w:color w:val="FFFFFF"/>
                <w:sz w:val="16"/>
              </w:rPr>
              <w:t>主管关注</w:t>
            </w:r>
          </w:p>
        </w:tc>
        <w:tc>
          <w:tcPr>
            <w:tcW w:type="dxa" w:w="2268"/>
            <w:shd w:fill="17365D"/>
            <w:vAlign w:val="center"/>
          </w:tcPr>
          <w:p>
            <w:r>
              <w:rPr>
                <w:b/>
                <w:color w:val="FFFFFF"/>
                <w:sz w:val="16"/>
              </w:rPr>
              <w:t>亲自处理</w:t>
            </w:r>
          </w:p>
        </w:tc>
        <w:tc>
          <w:tcPr>
            <w:tcW w:type="dxa" w:w="2268"/>
            <w:shd w:fill="17365D"/>
            <w:vAlign w:val="center"/>
          </w:tcPr>
          <w:p>
            <w:r>
              <w:rPr>
                <w:b/>
                <w:color w:val="FFFFFF"/>
                <w:sz w:val="16"/>
              </w:rPr>
              <w:t>会计执行后复核</w:t>
            </w:r>
          </w:p>
        </w:tc>
        <w:tc>
          <w:tcPr>
            <w:tcW w:type="dxa" w:w="1701"/>
            <w:shd w:fill="17365D"/>
            <w:vAlign w:val="center"/>
          </w:tcPr>
          <w:p>
            <w:r>
              <w:rPr>
                <w:b/>
                <w:color w:val="FFFFFF"/>
                <w:sz w:val="16"/>
              </w:rPr>
              <w:t>升级事项</w:t>
            </w:r>
          </w:p>
        </w:tc>
      </w:tr>
      <w:tr>
        <w:tc>
          <w:tcPr>
            <w:tcW w:type="dxa" w:w="964"/>
            <w:vAlign w:val="center"/>
          </w:tcPr>
          <w:p>
            <w:pPr>
              <w:spacing w:after="20" w:line="252" w:lineRule="auto"/>
            </w:pPr>
            <w:r>
              <w:rPr>
                <w:rFonts w:ascii="Microsoft YaHei" w:hAnsi="Microsoft YaHei"/>
                <w:sz w:val="16"/>
              </w:rPr>
              <w:t>每日</w:t>
            </w:r>
          </w:p>
        </w:tc>
        <w:tc>
          <w:tcPr>
            <w:tcW w:type="dxa" w:w="2268"/>
            <w:vAlign w:val="center"/>
          </w:tcPr>
          <w:p>
            <w:pPr>
              <w:spacing w:after="20" w:line="252" w:lineRule="auto"/>
            </w:pPr>
            <w:r>
              <w:rPr>
                <w:rFonts w:ascii="Microsoft YaHei" w:hAnsi="Microsoft YaHei"/>
                <w:sz w:val="16"/>
              </w:rPr>
              <w:t>大额到账、未认领、冻结客户和例外发货</w:t>
            </w:r>
          </w:p>
        </w:tc>
        <w:tc>
          <w:tcPr>
            <w:tcW w:type="dxa" w:w="2268"/>
            <w:vAlign w:val="center"/>
          </w:tcPr>
          <w:p>
            <w:pPr>
              <w:spacing w:after="20" w:line="252" w:lineRule="auto"/>
            </w:pPr>
            <w:r>
              <w:rPr>
                <w:rFonts w:ascii="Microsoft YaHei" w:hAnsi="Microsoft YaHei"/>
                <w:sz w:val="16"/>
              </w:rPr>
              <w:t>重大放货例外、异常退款</w:t>
            </w:r>
          </w:p>
        </w:tc>
        <w:tc>
          <w:tcPr>
            <w:tcW w:type="dxa" w:w="2268"/>
            <w:vAlign w:val="center"/>
          </w:tcPr>
          <w:p>
            <w:pPr>
              <w:spacing w:after="20" w:line="252" w:lineRule="auto"/>
            </w:pPr>
            <w:r>
              <w:rPr>
                <w:rFonts w:ascii="Microsoft YaHei" w:hAnsi="Microsoft YaHei"/>
                <w:sz w:val="16"/>
              </w:rPr>
              <w:t>回款核销和银行匹配</w:t>
            </w:r>
          </w:p>
        </w:tc>
        <w:tc>
          <w:tcPr>
            <w:tcW w:type="dxa" w:w="1701"/>
            <w:vAlign w:val="center"/>
          </w:tcPr>
          <w:p>
            <w:pPr>
              <w:spacing w:after="20" w:line="252" w:lineRule="auto"/>
            </w:pPr>
            <w:r>
              <w:rPr>
                <w:rFonts w:ascii="Microsoft YaHei" w:hAnsi="Microsoft YaHei"/>
                <w:sz w:val="16"/>
              </w:rPr>
              <w:t>超额发货、客户重大负面信息</w:t>
            </w:r>
          </w:p>
        </w:tc>
      </w:tr>
      <w:tr>
        <w:tc>
          <w:tcPr>
            <w:tcW w:type="dxa" w:w="964"/>
            <w:vAlign w:val="center"/>
            <w:shd w:fill="F4F7FA"/>
          </w:tcPr>
          <w:p>
            <w:pPr>
              <w:spacing w:after="20" w:line="252" w:lineRule="auto"/>
            </w:pPr>
            <w:r>
              <w:rPr>
                <w:rFonts w:ascii="Microsoft YaHei" w:hAnsi="Microsoft YaHei"/>
                <w:sz w:val="16"/>
              </w:rPr>
              <w:t>每周</w:t>
            </w:r>
          </w:p>
        </w:tc>
        <w:tc>
          <w:tcPr>
            <w:tcW w:type="dxa" w:w="2268"/>
            <w:vAlign w:val="center"/>
            <w:shd w:fill="F4F7FA"/>
          </w:tcPr>
          <w:p>
            <w:pPr>
              <w:spacing w:after="20" w:line="252" w:lineRule="auto"/>
            </w:pPr>
            <w:r>
              <w:rPr>
                <w:rFonts w:ascii="Microsoft YaHei" w:hAnsi="Microsoft YaHei"/>
                <w:sz w:val="16"/>
              </w:rPr>
              <w:t>逾期、承诺回款、争议和现金预测</w:t>
            </w:r>
          </w:p>
        </w:tc>
        <w:tc>
          <w:tcPr>
            <w:tcW w:type="dxa" w:w="2268"/>
            <w:vAlign w:val="center"/>
            <w:shd w:fill="F4F7FA"/>
          </w:tcPr>
          <w:p>
            <w:pPr>
              <w:spacing w:after="20" w:line="252" w:lineRule="auto"/>
            </w:pPr>
            <w:r>
              <w:rPr>
                <w:rFonts w:ascii="Microsoft YaHei" w:hAnsi="Microsoft YaHei"/>
                <w:sz w:val="16"/>
              </w:rPr>
              <w:t>Top风险客户会议</w:t>
            </w:r>
          </w:p>
        </w:tc>
        <w:tc>
          <w:tcPr>
            <w:tcW w:type="dxa" w:w="2268"/>
            <w:vAlign w:val="center"/>
            <w:shd w:fill="F4F7FA"/>
          </w:tcPr>
          <w:p>
            <w:pPr>
              <w:spacing w:after="20" w:line="252" w:lineRule="auto"/>
            </w:pPr>
            <w:r>
              <w:rPr>
                <w:rFonts w:ascii="Microsoft YaHei" w:hAnsi="Microsoft YaHei"/>
                <w:sz w:val="16"/>
              </w:rPr>
              <w:t>催收清单和承诺更新</w:t>
            </w:r>
          </w:p>
        </w:tc>
        <w:tc>
          <w:tcPr>
            <w:tcW w:type="dxa" w:w="1701"/>
            <w:vAlign w:val="center"/>
            <w:shd w:fill="F4F7FA"/>
          </w:tcPr>
          <w:p>
            <w:pPr>
              <w:spacing w:after="20" w:line="252" w:lineRule="auto"/>
            </w:pPr>
            <w:r>
              <w:rPr>
                <w:rFonts w:ascii="Microsoft YaHei" w:hAnsi="Microsoft YaHei"/>
                <w:sz w:val="16"/>
              </w:rPr>
              <w:t>反复失约、争议长期无Owner</w:t>
            </w:r>
          </w:p>
        </w:tc>
      </w:tr>
      <w:tr>
        <w:tc>
          <w:tcPr>
            <w:tcW w:type="dxa" w:w="964"/>
            <w:vAlign w:val="center"/>
          </w:tcPr>
          <w:p>
            <w:pPr>
              <w:spacing w:after="20" w:line="252" w:lineRule="auto"/>
            </w:pPr>
            <w:r>
              <w:rPr>
                <w:rFonts w:ascii="Microsoft YaHei" w:hAnsi="Microsoft YaHei"/>
                <w:sz w:val="16"/>
              </w:rPr>
              <w:t>每月</w:t>
            </w:r>
          </w:p>
        </w:tc>
        <w:tc>
          <w:tcPr>
            <w:tcW w:type="dxa" w:w="2268"/>
            <w:vAlign w:val="center"/>
          </w:tcPr>
          <w:p>
            <w:pPr>
              <w:spacing w:after="20" w:line="252" w:lineRule="auto"/>
            </w:pPr>
            <w:r>
              <w:rPr>
                <w:rFonts w:ascii="Microsoft YaHei" w:hAnsi="Microsoft YaHei"/>
                <w:sz w:val="16"/>
              </w:rPr>
              <w:t>AR-GL、账龄、ECL、对账和管理报告</w:t>
            </w:r>
          </w:p>
        </w:tc>
        <w:tc>
          <w:tcPr>
            <w:tcW w:type="dxa" w:w="2268"/>
            <w:vAlign w:val="center"/>
          </w:tcPr>
          <w:p>
            <w:pPr>
              <w:spacing w:after="20" w:line="252" w:lineRule="auto"/>
            </w:pPr>
            <w:r>
              <w:rPr>
                <w:rFonts w:ascii="Microsoft YaHei" w:hAnsi="Microsoft YaHei"/>
                <w:sz w:val="16"/>
              </w:rPr>
              <w:t>重大判断和主管复核</w:t>
            </w:r>
          </w:p>
        </w:tc>
        <w:tc>
          <w:tcPr>
            <w:tcW w:type="dxa" w:w="2268"/>
            <w:vAlign w:val="center"/>
          </w:tcPr>
          <w:p>
            <w:pPr>
              <w:spacing w:after="20" w:line="252" w:lineRule="auto"/>
            </w:pPr>
            <w:r>
              <w:rPr>
                <w:rFonts w:ascii="Microsoft YaHei" w:hAnsi="Microsoft YaHei"/>
                <w:sz w:val="16"/>
              </w:rPr>
              <w:t>全量对账及底稿</w:t>
            </w:r>
          </w:p>
        </w:tc>
        <w:tc>
          <w:tcPr>
            <w:tcW w:type="dxa" w:w="1701"/>
            <w:vAlign w:val="center"/>
          </w:tcPr>
          <w:p>
            <w:pPr>
              <w:spacing w:after="20" w:line="252" w:lineRule="auto"/>
            </w:pPr>
            <w:r>
              <w:rPr>
                <w:rFonts w:ascii="Microsoft YaHei" w:hAnsi="Microsoft YaHei"/>
                <w:sz w:val="16"/>
              </w:rPr>
              <w:t>重大减值、收入或列报问题</w:t>
            </w:r>
          </w:p>
        </w:tc>
      </w:tr>
      <w:tr>
        <w:tc>
          <w:tcPr>
            <w:tcW w:type="dxa" w:w="964"/>
            <w:vAlign w:val="center"/>
            <w:shd w:fill="F4F7FA"/>
          </w:tcPr>
          <w:p>
            <w:pPr>
              <w:spacing w:after="20" w:line="252" w:lineRule="auto"/>
            </w:pPr>
            <w:r>
              <w:rPr>
                <w:rFonts w:ascii="Microsoft YaHei" w:hAnsi="Microsoft YaHei"/>
                <w:sz w:val="16"/>
              </w:rPr>
              <w:t>每季度</w:t>
            </w:r>
          </w:p>
        </w:tc>
        <w:tc>
          <w:tcPr>
            <w:tcW w:type="dxa" w:w="2268"/>
            <w:vAlign w:val="center"/>
            <w:shd w:fill="F4F7FA"/>
          </w:tcPr>
          <w:p>
            <w:pPr>
              <w:spacing w:after="20" w:line="252" w:lineRule="auto"/>
            </w:pPr>
            <w:r>
              <w:rPr>
                <w:rFonts w:ascii="Microsoft YaHei" w:hAnsi="Microsoft YaHei"/>
                <w:sz w:val="16"/>
              </w:rPr>
              <w:t>信用复评、集中度、账龄迁徙</w:t>
            </w:r>
          </w:p>
        </w:tc>
        <w:tc>
          <w:tcPr>
            <w:tcW w:type="dxa" w:w="2268"/>
            <w:vAlign w:val="center"/>
            <w:shd w:fill="F4F7FA"/>
          </w:tcPr>
          <w:p>
            <w:pPr>
              <w:spacing w:after="20" w:line="252" w:lineRule="auto"/>
            </w:pPr>
            <w:r>
              <w:rPr>
                <w:rFonts w:ascii="Microsoft YaHei" w:hAnsi="Microsoft YaHei"/>
                <w:sz w:val="16"/>
              </w:rPr>
              <w:t>重大客户复评</w:t>
            </w:r>
          </w:p>
        </w:tc>
        <w:tc>
          <w:tcPr>
            <w:tcW w:type="dxa" w:w="2268"/>
            <w:vAlign w:val="center"/>
            <w:shd w:fill="F4F7FA"/>
          </w:tcPr>
          <w:p>
            <w:pPr>
              <w:spacing w:after="20" w:line="252" w:lineRule="auto"/>
            </w:pPr>
            <w:r>
              <w:rPr>
                <w:rFonts w:ascii="Microsoft YaHei" w:hAnsi="Microsoft YaHei"/>
                <w:sz w:val="16"/>
              </w:rPr>
              <w:t>资料更新和指标分析</w:t>
            </w:r>
          </w:p>
        </w:tc>
        <w:tc>
          <w:tcPr>
            <w:tcW w:type="dxa" w:w="1701"/>
            <w:vAlign w:val="center"/>
            <w:shd w:fill="F4F7FA"/>
          </w:tcPr>
          <w:p>
            <w:pPr>
              <w:spacing w:after="20" w:line="252" w:lineRule="auto"/>
            </w:pPr>
            <w:r>
              <w:rPr>
                <w:rFonts w:ascii="Microsoft YaHei" w:hAnsi="Microsoft YaHei"/>
                <w:sz w:val="16"/>
              </w:rPr>
              <w:t>信用政策或客户结构恶化</w:t>
            </w:r>
          </w:p>
        </w:tc>
      </w:tr>
      <w:tr>
        <w:tc>
          <w:tcPr>
            <w:tcW w:type="dxa" w:w="964"/>
            <w:vAlign w:val="center"/>
          </w:tcPr>
          <w:p>
            <w:pPr>
              <w:spacing w:after="20" w:line="252" w:lineRule="auto"/>
            </w:pPr>
            <w:r>
              <w:rPr>
                <w:rFonts w:ascii="Microsoft YaHei" w:hAnsi="Microsoft YaHei"/>
                <w:sz w:val="16"/>
              </w:rPr>
              <w:t>每年</w:t>
            </w:r>
          </w:p>
        </w:tc>
        <w:tc>
          <w:tcPr>
            <w:tcW w:type="dxa" w:w="2268"/>
            <w:vAlign w:val="center"/>
          </w:tcPr>
          <w:p>
            <w:pPr>
              <w:spacing w:after="20" w:line="252" w:lineRule="auto"/>
            </w:pPr>
            <w:r>
              <w:rPr>
                <w:rFonts w:ascii="Microsoft YaHei" w:hAnsi="Microsoft YaHei"/>
                <w:sz w:val="16"/>
              </w:rPr>
              <w:t>政策、核销、审计和制度</w:t>
            </w:r>
          </w:p>
        </w:tc>
        <w:tc>
          <w:tcPr>
            <w:tcW w:type="dxa" w:w="2268"/>
            <w:vAlign w:val="center"/>
          </w:tcPr>
          <w:p>
            <w:pPr>
              <w:spacing w:after="20" w:line="252" w:lineRule="auto"/>
            </w:pPr>
            <w:r>
              <w:rPr>
                <w:rFonts w:ascii="Microsoft YaHei" w:hAnsi="Microsoft YaHei"/>
                <w:sz w:val="16"/>
              </w:rPr>
              <w:t>模型与重大核销审批</w:t>
            </w:r>
          </w:p>
        </w:tc>
        <w:tc>
          <w:tcPr>
            <w:tcW w:type="dxa" w:w="2268"/>
            <w:vAlign w:val="center"/>
          </w:tcPr>
          <w:p>
            <w:pPr>
              <w:spacing w:after="20" w:line="252" w:lineRule="auto"/>
            </w:pPr>
            <w:r>
              <w:rPr>
                <w:rFonts w:ascii="Microsoft YaHei" w:hAnsi="Microsoft YaHei"/>
                <w:sz w:val="16"/>
              </w:rPr>
              <w:t>年度对账及档案</w:t>
            </w:r>
          </w:p>
        </w:tc>
        <w:tc>
          <w:tcPr>
            <w:tcW w:type="dxa" w:w="1701"/>
            <w:vAlign w:val="center"/>
          </w:tcPr>
          <w:p>
            <w:pPr>
              <w:spacing w:after="20" w:line="252" w:lineRule="auto"/>
            </w:pPr>
            <w:r>
              <w:rPr>
                <w:rFonts w:ascii="Microsoft YaHei" w:hAnsi="Microsoft YaHei"/>
                <w:sz w:val="16"/>
              </w:rPr>
              <w:t>重大损失和责任追究</w:t>
            </w:r>
          </w:p>
        </w:tc>
      </w:tr>
    </w:tbl>
    <w:p>
      <w:pPr>
        <w:spacing w:after="40"/>
      </w:pPr>
    </w:p>
    <w:p>
      <w:pPr>
        <w:pStyle w:val="Heading2"/>
        <w:keepNext/>
      </w:pPr>
      <w:r>
        <w:t>3.1 什么必须由主管亲自看</w:t>
      </w:r>
    </w:p>
    <w:p>
      <w:pPr>
        <w:pStyle w:val="ListBullet"/>
        <w:spacing w:after="40"/>
      </w:pPr>
      <w:r>
        <w:t>逾期90天以上、金额重大或客户经营恶化的余额。</w:t>
      </w:r>
    </w:p>
    <w:p>
      <w:pPr>
        <w:pStyle w:val="ListBullet"/>
        <w:spacing w:after="40"/>
      </w:pPr>
      <w:r>
        <w:t>冻结客户仍继续发货的全部例外。</w:t>
      </w:r>
    </w:p>
    <w:p>
      <w:pPr>
        <w:pStyle w:val="ListBullet"/>
        <w:spacing w:after="40"/>
      </w:pPr>
      <w:r>
        <w:t>争议款、诉讼款和个别评估客户。</w:t>
      </w:r>
    </w:p>
    <w:p>
      <w:pPr>
        <w:pStyle w:val="ListBullet"/>
        <w:spacing w:after="40"/>
      </w:pPr>
      <w:r>
        <w:t>应收贷方、长期未认领回款和跨客户核销。</w:t>
      </w:r>
    </w:p>
    <w:p>
      <w:pPr>
        <w:pStyle w:val="ListBullet"/>
        <w:spacing w:after="40"/>
      </w:pPr>
      <w:r>
        <w:t>ECL参数变化、坏账核销和以前年度核销款收回。</w:t>
      </w:r>
    </w:p>
    <w:p>
      <w:pPr>
        <w:pStyle w:val="Heading1"/>
        <w:keepNext/>
      </w:pPr>
      <w:r>
        <w:t>第四章 单据 系统 数据和台账</w:t>
      </w:r>
    </w:p>
    <w:p>
      <w:pPr>
        <w:pStyle w:val="Heading2"/>
        <w:keepNext/>
      </w:pPr>
      <w:r>
        <w:t>4.1 单据链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2"/>
        <w:gridCol w:w="1652"/>
        <w:gridCol w:w="1652"/>
        <w:gridCol w:w="1652"/>
        <w:gridCol w:w="1652"/>
        <w:gridCol w:w="1652"/>
      </w:tblGrid>
      <w:tr>
        <w:trPr>
          <w:tblHeader w:val="true"/>
        </w:trPr>
        <w:tc>
          <w:tcPr>
            <w:tcW w:type="dxa" w:w="1361"/>
            <w:shd w:fill="17365D"/>
            <w:vAlign w:val="center"/>
          </w:tcPr>
          <w:p>
            <w:r>
              <w:rPr>
                <w:b/>
                <w:color w:val="FFFFFF"/>
                <w:sz w:val="15"/>
              </w:rPr>
              <w:t>资料</w:t>
            </w:r>
          </w:p>
        </w:tc>
        <w:tc>
          <w:tcPr>
            <w:tcW w:type="dxa" w:w="1247"/>
            <w:shd w:fill="17365D"/>
            <w:vAlign w:val="center"/>
          </w:tcPr>
          <w:p>
            <w:r>
              <w:rPr>
                <w:b/>
                <w:color w:val="FFFFFF"/>
                <w:sz w:val="15"/>
              </w:rPr>
              <w:t>提供部门</w:t>
            </w:r>
          </w:p>
        </w:tc>
        <w:tc>
          <w:tcPr>
            <w:tcW w:type="dxa" w:w="1134"/>
            <w:shd w:fill="17365D"/>
            <w:vAlign w:val="center"/>
          </w:tcPr>
          <w:p>
            <w:r>
              <w:rPr>
                <w:b/>
                <w:color w:val="FFFFFF"/>
                <w:sz w:val="15"/>
              </w:rPr>
              <w:t>取得时间</w:t>
            </w:r>
          </w:p>
        </w:tc>
        <w:tc>
          <w:tcPr>
            <w:tcW w:type="dxa" w:w="1928"/>
            <w:shd w:fill="17365D"/>
            <w:vAlign w:val="center"/>
          </w:tcPr>
          <w:p>
            <w:r>
              <w:rPr>
                <w:b/>
                <w:color w:val="FFFFFF"/>
                <w:sz w:val="15"/>
              </w:rPr>
              <w:t>关键字段</w:t>
            </w:r>
          </w:p>
        </w:tc>
        <w:tc>
          <w:tcPr>
            <w:tcW w:type="dxa" w:w="1587"/>
            <w:shd w:fill="17365D"/>
            <w:vAlign w:val="center"/>
          </w:tcPr>
          <w:p>
            <w:r>
              <w:rPr>
                <w:b/>
                <w:color w:val="FFFFFF"/>
                <w:sz w:val="15"/>
              </w:rPr>
              <w:t>勾稽对象</w:t>
            </w:r>
          </w:p>
        </w:tc>
        <w:tc>
          <w:tcPr>
            <w:tcW w:type="dxa" w:w="1814"/>
            <w:shd w:fill="17365D"/>
            <w:vAlign w:val="center"/>
          </w:tcPr>
          <w:p>
            <w:r>
              <w:rPr>
                <w:b/>
                <w:color w:val="FFFFFF"/>
                <w:sz w:val="15"/>
              </w:rPr>
              <w:t>高风险缺陷</w:t>
            </w:r>
          </w:p>
        </w:tc>
      </w:tr>
      <w:tr>
        <w:tc>
          <w:tcPr>
            <w:tcW w:type="dxa" w:w="1361"/>
            <w:vAlign w:val="center"/>
          </w:tcPr>
          <w:p>
            <w:pPr>
              <w:spacing w:after="20" w:line="252" w:lineRule="auto"/>
            </w:pPr>
            <w:r>
              <w:rPr>
                <w:rFonts w:ascii="Microsoft YaHei" w:hAnsi="Microsoft YaHei"/>
                <w:sz w:val="15"/>
              </w:rPr>
              <w:t>客户准入资料</w:t>
            </w:r>
          </w:p>
        </w:tc>
        <w:tc>
          <w:tcPr>
            <w:tcW w:type="dxa" w:w="1247"/>
            <w:vAlign w:val="center"/>
          </w:tcPr>
          <w:p>
            <w:pPr>
              <w:spacing w:after="20" w:line="252" w:lineRule="auto"/>
            </w:pPr>
            <w:r>
              <w:rPr>
                <w:rFonts w:ascii="Microsoft YaHei" w:hAnsi="Microsoft YaHei"/>
                <w:sz w:val="15"/>
              </w:rPr>
              <w:t>销售/客户</w:t>
            </w:r>
          </w:p>
        </w:tc>
        <w:tc>
          <w:tcPr>
            <w:tcW w:type="dxa" w:w="1134"/>
            <w:vAlign w:val="center"/>
          </w:tcPr>
          <w:p>
            <w:pPr>
              <w:spacing w:after="20" w:line="252" w:lineRule="auto"/>
            </w:pPr>
            <w:r>
              <w:rPr>
                <w:rFonts w:ascii="Microsoft YaHei" w:hAnsi="Microsoft YaHei"/>
                <w:sz w:val="15"/>
              </w:rPr>
              <w:t>合作前</w:t>
            </w:r>
          </w:p>
        </w:tc>
        <w:tc>
          <w:tcPr>
            <w:tcW w:type="dxa" w:w="1928"/>
            <w:vAlign w:val="center"/>
          </w:tcPr>
          <w:p>
            <w:pPr>
              <w:spacing w:after="20" w:line="252" w:lineRule="auto"/>
            </w:pPr>
            <w:r>
              <w:rPr>
                <w:rFonts w:ascii="Microsoft YaHei" w:hAnsi="Microsoft YaHei"/>
                <w:sz w:val="15"/>
              </w:rPr>
              <w:t>主体、股东、地址、账户</w:t>
            </w:r>
          </w:p>
        </w:tc>
        <w:tc>
          <w:tcPr>
            <w:tcW w:type="dxa" w:w="1587"/>
            <w:vAlign w:val="center"/>
          </w:tcPr>
          <w:p>
            <w:pPr>
              <w:spacing w:after="20" w:line="252" w:lineRule="auto"/>
            </w:pPr>
            <w:r>
              <w:rPr>
                <w:rFonts w:ascii="Microsoft YaHei" w:hAnsi="Microsoft YaHei"/>
                <w:sz w:val="15"/>
              </w:rPr>
              <w:t>工商与主数据</w:t>
            </w:r>
          </w:p>
        </w:tc>
        <w:tc>
          <w:tcPr>
            <w:tcW w:type="dxa" w:w="1814"/>
            <w:vAlign w:val="center"/>
          </w:tcPr>
          <w:p>
            <w:pPr>
              <w:spacing w:after="20" w:line="252" w:lineRule="auto"/>
            </w:pPr>
            <w:r>
              <w:rPr>
                <w:rFonts w:ascii="Microsoft YaHei" w:hAnsi="Microsoft YaHei"/>
                <w:sz w:val="15"/>
              </w:rPr>
              <w:t>主体冒用或资料过期</w:t>
            </w:r>
          </w:p>
        </w:tc>
      </w:tr>
      <w:tr>
        <w:tc>
          <w:tcPr>
            <w:tcW w:type="dxa" w:w="1361"/>
            <w:vAlign w:val="center"/>
            <w:shd w:fill="F4F7FA"/>
          </w:tcPr>
          <w:p>
            <w:pPr>
              <w:spacing w:after="20" w:line="252" w:lineRule="auto"/>
            </w:pPr>
            <w:r>
              <w:rPr>
                <w:rFonts w:ascii="Microsoft YaHei" w:hAnsi="Microsoft YaHei"/>
                <w:sz w:val="15"/>
              </w:rPr>
              <w:t>信用审批单</w:t>
            </w:r>
          </w:p>
        </w:tc>
        <w:tc>
          <w:tcPr>
            <w:tcW w:type="dxa" w:w="1247"/>
            <w:vAlign w:val="center"/>
            <w:shd w:fill="F4F7FA"/>
          </w:tcPr>
          <w:p>
            <w:pPr>
              <w:spacing w:after="20" w:line="252" w:lineRule="auto"/>
            </w:pPr>
            <w:r>
              <w:rPr>
                <w:rFonts w:ascii="Microsoft YaHei" w:hAnsi="Microsoft YaHei"/>
                <w:sz w:val="15"/>
              </w:rPr>
              <w:t>销售/财务</w:t>
            </w:r>
          </w:p>
        </w:tc>
        <w:tc>
          <w:tcPr>
            <w:tcW w:type="dxa" w:w="1134"/>
            <w:vAlign w:val="center"/>
            <w:shd w:fill="F4F7FA"/>
          </w:tcPr>
          <w:p>
            <w:pPr>
              <w:spacing w:after="20" w:line="252" w:lineRule="auto"/>
            </w:pPr>
            <w:r>
              <w:rPr>
                <w:rFonts w:ascii="Microsoft YaHei" w:hAnsi="Microsoft YaHei"/>
                <w:sz w:val="15"/>
              </w:rPr>
              <w:t>额度启用前</w:t>
            </w:r>
          </w:p>
        </w:tc>
        <w:tc>
          <w:tcPr>
            <w:tcW w:type="dxa" w:w="1928"/>
            <w:vAlign w:val="center"/>
            <w:shd w:fill="F4F7FA"/>
          </w:tcPr>
          <w:p>
            <w:pPr>
              <w:spacing w:after="20" w:line="252" w:lineRule="auto"/>
            </w:pPr>
            <w:r>
              <w:rPr>
                <w:rFonts w:ascii="Microsoft YaHei" w:hAnsi="Microsoft YaHei"/>
                <w:sz w:val="15"/>
              </w:rPr>
              <w:t>额度、账期、有效期、审批人</w:t>
            </w:r>
          </w:p>
        </w:tc>
        <w:tc>
          <w:tcPr>
            <w:tcW w:type="dxa" w:w="1587"/>
            <w:vAlign w:val="center"/>
            <w:shd w:fill="F4F7FA"/>
          </w:tcPr>
          <w:p>
            <w:pPr>
              <w:spacing w:after="20" w:line="252" w:lineRule="auto"/>
            </w:pPr>
            <w:r>
              <w:rPr>
                <w:rFonts w:ascii="Microsoft YaHei" w:hAnsi="Microsoft YaHei"/>
                <w:sz w:val="15"/>
              </w:rPr>
              <w:t>ERP信用主数据</w:t>
            </w:r>
          </w:p>
        </w:tc>
        <w:tc>
          <w:tcPr>
            <w:tcW w:type="dxa" w:w="1814"/>
            <w:vAlign w:val="center"/>
            <w:shd w:fill="F4F7FA"/>
          </w:tcPr>
          <w:p>
            <w:pPr>
              <w:spacing w:after="20" w:line="252" w:lineRule="auto"/>
            </w:pPr>
            <w:r>
              <w:rPr>
                <w:rFonts w:ascii="Microsoft YaHei" w:hAnsi="Microsoft YaHei"/>
                <w:sz w:val="15"/>
              </w:rPr>
              <w:t>审批后系统未更新</w:t>
            </w:r>
          </w:p>
        </w:tc>
      </w:tr>
      <w:tr>
        <w:tc>
          <w:tcPr>
            <w:tcW w:type="dxa" w:w="1361"/>
            <w:vAlign w:val="center"/>
          </w:tcPr>
          <w:p>
            <w:pPr>
              <w:spacing w:after="20" w:line="252" w:lineRule="auto"/>
            </w:pPr>
            <w:r>
              <w:rPr>
                <w:rFonts w:ascii="Microsoft YaHei" w:hAnsi="Microsoft YaHei"/>
                <w:sz w:val="15"/>
              </w:rPr>
              <w:t>销售合同</w:t>
            </w:r>
          </w:p>
        </w:tc>
        <w:tc>
          <w:tcPr>
            <w:tcW w:type="dxa" w:w="1247"/>
            <w:vAlign w:val="center"/>
          </w:tcPr>
          <w:p>
            <w:pPr>
              <w:spacing w:after="20" w:line="252" w:lineRule="auto"/>
            </w:pPr>
            <w:r>
              <w:rPr>
                <w:rFonts w:ascii="Microsoft YaHei" w:hAnsi="Microsoft YaHei"/>
                <w:sz w:val="15"/>
              </w:rPr>
              <w:t>销售/法务</w:t>
            </w:r>
          </w:p>
        </w:tc>
        <w:tc>
          <w:tcPr>
            <w:tcW w:type="dxa" w:w="1134"/>
            <w:vAlign w:val="center"/>
          </w:tcPr>
          <w:p>
            <w:pPr>
              <w:spacing w:after="20" w:line="252" w:lineRule="auto"/>
            </w:pPr>
            <w:r>
              <w:rPr>
                <w:rFonts w:ascii="Microsoft YaHei" w:hAnsi="Microsoft YaHei"/>
                <w:sz w:val="15"/>
              </w:rPr>
              <w:t>签订时</w:t>
            </w:r>
          </w:p>
        </w:tc>
        <w:tc>
          <w:tcPr>
            <w:tcW w:type="dxa" w:w="1928"/>
            <w:vAlign w:val="center"/>
          </w:tcPr>
          <w:p>
            <w:pPr>
              <w:spacing w:after="20" w:line="252" w:lineRule="auto"/>
            </w:pPr>
            <w:r>
              <w:rPr>
                <w:rFonts w:ascii="Microsoft YaHei" w:hAnsi="Microsoft YaHei"/>
                <w:sz w:val="15"/>
              </w:rPr>
              <w:t>主体、货物、验收、付款、违约</w:t>
            </w:r>
          </w:p>
        </w:tc>
        <w:tc>
          <w:tcPr>
            <w:tcW w:type="dxa" w:w="1587"/>
            <w:vAlign w:val="center"/>
          </w:tcPr>
          <w:p>
            <w:pPr>
              <w:spacing w:after="20" w:line="252" w:lineRule="auto"/>
            </w:pPr>
            <w:r>
              <w:rPr>
                <w:rFonts w:ascii="Microsoft YaHei" w:hAnsi="Microsoft YaHei"/>
                <w:sz w:val="15"/>
              </w:rPr>
              <w:t>订单、发货和发票</w:t>
            </w:r>
          </w:p>
        </w:tc>
        <w:tc>
          <w:tcPr>
            <w:tcW w:type="dxa" w:w="1814"/>
            <w:vAlign w:val="center"/>
          </w:tcPr>
          <w:p>
            <w:pPr>
              <w:spacing w:after="20" w:line="252" w:lineRule="auto"/>
            </w:pPr>
            <w:r>
              <w:rPr>
                <w:rFonts w:ascii="Microsoft YaHei" w:hAnsi="Microsoft YaHei"/>
                <w:sz w:val="15"/>
              </w:rPr>
              <w:t>口头承诺改变账期</w:t>
            </w:r>
          </w:p>
        </w:tc>
      </w:tr>
      <w:tr>
        <w:tc>
          <w:tcPr>
            <w:tcW w:type="dxa" w:w="1361"/>
            <w:vAlign w:val="center"/>
            <w:shd w:fill="F4F7FA"/>
          </w:tcPr>
          <w:p>
            <w:pPr>
              <w:spacing w:after="20" w:line="252" w:lineRule="auto"/>
            </w:pPr>
            <w:r>
              <w:rPr>
                <w:rFonts w:ascii="Microsoft YaHei" w:hAnsi="Microsoft YaHei"/>
                <w:sz w:val="15"/>
              </w:rPr>
              <w:t>销售订单</w:t>
            </w:r>
          </w:p>
        </w:tc>
        <w:tc>
          <w:tcPr>
            <w:tcW w:type="dxa" w:w="1247"/>
            <w:vAlign w:val="center"/>
            <w:shd w:fill="F4F7FA"/>
          </w:tcPr>
          <w:p>
            <w:pPr>
              <w:spacing w:after="20" w:line="252" w:lineRule="auto"/>
            </w:pPr>
            <w:r>
              <w:rPr>
                <w:rFonts w:ascii="Microsoft YaHei" w:hAnsi="Microsoft YaHei"/>
                <w:sz w:val="15"/>
              </w:rPr>
              <w:t>销售</w:t>
            </w:r>
          </w:p>
        </w:tc>
        <w:tc>
          <w:tcPr>
            <w:tcW w:type="dxa" w:w="1134"/>
            <w:vAlign w:val="center"/>
            <w:shd w:fill="F4F7FA"/>
          </w:tcPr>
          <w:p>
            <w:pPr>
              <w:spacing w:after="20" w:line="252" w:lineRule="auto"/>
            </w:pPr>
            <w:r>
              <w:rPr>
                <w:rFonts w:ascii="Microsoft YaHei" w:hAnsi="Microsoft YaHei"/>
                <w:sz w:val="15"/>
              </w:rPr>
              <w:t>发货前</w:t>
            </w:r>
          </w:p>
        </w:tc>
        <w:tc>
          <w:tcPr>
            <w:tcW w:type="dxa" w:w="1928"/>
            <w:vAlign w:val="center"/>
            <w:shd w:fill="F4F7FA"/>
          </w:tcPr>
          <w:p>
            <w:pPr>
              <w:spacing w:after="20" w:line="252" w:lineRule="auto"/>
            </w:pPr>
            <w:r>
              <w:rPr>
                <w:rFonts w:ascii="Microsoft YaHei" w:hAnsi="Microsoft YaHei"/>
                <w:sz w:val="15"/>
              </w:rPr>
              <w:t>客户、物料、价格、账期</w:t>
            </w:r>
          </w:p>
        </w:tc>
        <w:tc>
          <w:tcPr>
            <w:tcW w:type="dxa" w:w="1587"/>
            <w:vAlign w:val="center"/>
            <w:shd w:fill="F4F7FA"/>
          </w:tcPr>
          <w:p>
            <w:pPr>
              <w:spacing w:after="20" w:line="252" w:lineRule="auto"/>
            </w:pPr>
            <w:r>
              <w:rPr>
                <w:rFonts w:ascii="Microsoft YaHei" w:hAnsi="Microsoft YaHei"/>
                <w:sz w:val="15"/>
              </w:rPr>
              <w:t>合同和出库</w:t>
            </w:r>
          </w:p>
        </w:tc>
        <w:tc>
          <w:tcPr>
            <w:tcW w:type="dxa" w:w="1814"/>
            <w:vAlign w:val="center"/>
            <w:shd w:fill="F4F7FA"/>
          </w:tcPr>
          <w:p>
            <w:pPr>
              <w:spacing w:after="20" w:line="252" w:lineRule="auto"/>
            </w:pPr>
            <w:r>
              <w:rPr>
                <w:rFonts w:ascii="Microsoft YaHei" w:hAnsi="Microsoft YaHei"/>
                <w:sz w:val="15"/>
              </w:rPr>
              <w:t>超额度绕过</w:t>
            </w:r>
          </w:p>
        </w:tc>
      </w:tr>
      <w:tr>
        <w:tc>
          <w:tcPr>
            <w:tcW w:type="dxa" w:w="1361"/>
            <w:vAlign w:val="center"/>
          </w:tcPr>
          <w:p>
            <w:pPr>
              <w:spacing w:after="20" w:line="252" w:lineRule="auto"/>
            </w:pPr>
            <w:r>
              <w:rPr>
                <w:rFonts w:ascii="Microsoft YaHei" w:hAnsi="Microsoft YaHei"/>
                <w:sz w:val="15"/>
              </w:rPr>
              <w:t>出库与签收</w:t>
            </w:r>
          </w:p>
        </w:tc>
        <w:tc>
          <w:tcPr>
            <w:tcW w:type="dxa" w:w="1247"/>
            <w:vAlign w:val="center"/>
          </w:tcPr>
          <w:p>
            <w:pPr>
              <w:spacing w:after="20" w:line="252" w:lineRule="auto"/>
            </w:pPr>
            <w:r>
              <w:rPr>
                <w:rFonts w:ascii="Microsoft YaHei" w:hAnsi="Microsoft YaHei"/>
                <w:sz w:val="15"/>
              </w:rPr>
              <w:t>仓库/物流</w:t>
            </w:r>
          </w:p>
        </w:tc>
        <w:tc>
          <w:tcPr>
            <w:tcW w:type="dxa" w:w="1134"/>
            <w:vAlign w:val="center"/>
          </w:tcPr>
          <w:p>
            <w:pPr>
              <w:spacing w:after="20" w:line="252" w:lineRule="auto"/>
            </w:pPr>
            <w:r>
              <w:rPr>
                <w:rFonts w:ascii="Microsoft YaHei" w:hAnsi="Microsoft YaHei"/>
                <w:sz w:val="15"/>
              </w:rPr>
              <w:t>发货时</w:t>
            </w:r>
          </w:p>
        </w:tc>
        <w:tc>
          <w:tcPr>
            <w:tcW w:type="dxa" w:w="1928"/>
            <w:vAlign w:val="center"/>
          </w:tcPr>
          <w:p>
            <w:pPr>
              <w:spacing w:after="20" w:line="252" w:lineRule="auto"/>
            </w:pPr>
            <w:r>
              <w:rPr>
                <w:rFonts w:ascii="Microsoft YaHei" w:hAnsi="Microsoft YaHei"/>
                <w:sz w:val="15"/>
              </w:rPr>
              <w:t>数量、批次、签收人</w:t>
            </w:r>
          </w:p>
        </w:tc>
        <w:tc>
          <w:tcPr>
            <w:tcW w:type="dxa" w:w="1587"/>
            <w:vAlign w:val="center"/>
          </w:tcPr>
          <w:p>
            <w:pPr>
              <w:spacing w:after="20" w:line="252" w:lineRule="auto"/>
            </w:pPr>
            <w:r>
              <w:rPr>
                <w:rFonts w:ascii="Microsoft YaHei" w:hAnsi="Microsoft YaHei"/>
                <w:sz w:val="15"/>
              </w:rPr>
              <w:t>订单和收入</w:t>
            </w:r>
          </w:p>
        </w:tc>
        <w:tc>
          <w:tcPr>
            <w:tcW w:type="dxa" w:w="1814"/>
            <w:vAlign w:val="center"/>
          </w:tcPr>
          <w:p>
            <w:pPr>
              <w:spacing w:after="20" w:line="252" w:lineRule="auto"/>
            </w:pPr>
            <w:r>
              <w:rPr>
                <w:rFonts w:ascii="Microsoft YaHei" w:hAnsi="Microsoft YaHei"/>
                <w:sz w:val="15"/>
              </w:rPr>
              <w:t>代签或缺少签收</w:t>
            </w:r>
          </w:p>
        </w:tc>
      </w:tr>
      <w:tr>
        <w:tc>
          <w:tcPr>
            <w:tcW w:type="dxa" w:w="1361"/>
            <w:vAlign w:val="center"/>
            <w:shd w:fill="F4F7FA"/>
          </w:tcPr>
          <w:p>
            <w:pPr>
              <w:spacing w:after="20" w:line="252" w:lineRule="auto"/>
            </w:pPr>
            <w:r>
              <w:rPr>
                <w:rFonts w:ascii="Microsoft YaHei" w:hAnsi="Microsoft YaHei"/>
                <w:sz w:val="15"/>
              </w:rPr>
              <w:t>验收资料</w:t>
            </w:r>
          </w:p>
        </w:tc>
        <w:tc>
          <w:tcPr>
            <w:tcW w:type="dxa" w:w="1247"/>
            <w:vAlign w:val="center"/>
            <w:shd w:fill="F4F7FA"/>
          </w:tcPr>
          <w:p>
            <w:pPr>
              <w:spacing w:after="20" w:line="252" w:lineRule="auto"/>
            </w:pPr>
            <w:r>
              <w:rPr>
                <w:rFonts w:ascii="Microsoft YaHei" w:hAnsi="Microsoft YaHei"/>
                <w:sz w:val="15"/>
              </w:rPr>
              <w:t>项目/客户</w:t>
            </w:r>
          </w:p>
        </w:tc>
        <w:tc>
          <w:tcPr>
            <w:tcW w:type="dxa" w:w="1134"/>
            <w:vAlign w:val="center"/>
            <w:shd w:fill="F4F7FA"/>
          </w:tcPr>
          <w:p>
            <w:pPr>
              <w:spacing w:after="20" w:line="252" w:lineRule="auto"/>
            </w:pPr>
            <w:r>
              <w:rPr>
                <w:rFonts w:ascii="Microsoft YaHei" w:hAnsi="Microsoft YaHei"/>
                <w:sz w:val="15"/>
              </w:rPr>
              <w:t>验收时</w:t>
            </w:r>
          </w:p>
        </w:tc>
        <w:tc>
          <w:tcPr>
            <w:tcW w:type="dxa" w:w="1928"/>
            <w:vAlign w:val="center"/>
            <w:shd w:fill="F4F7FA"/>
          </w:tcPr>
          <w:p>
            <w:pPr>
              <w:spacing w:after="20" w:line="252" w:lineRule="auto"/>
            </w:pPr>
            <w:r>
              <w:rPr>
                <w:rFonts w:ascii="Microsoft YaHei" w:hAnsi="Microsoft YaHei"/>
                <w:sz w:val="15"/>
              </w:rPr>
              <w:t>条件、日期、保留事项</w:t>
            </w:r>
          </w:p>
        </w:tc>
        <w:tc>
          <w:tcPr>
            <w:tcW w:type="dxa" w:w="1587"/>
            <w:vAlign w:val="center"/>
            <w:shd w:fill="F4F7FA"/>
          </w:tcPr>
          <w:p>
            <w:pPr>
              <w:spacing w:after="20" w:line="252" w:lineRule="auto"/>
            </w:pPr>
            <w:r>
              <w:rPr>
                <w:rFonts w:ascii="Microsoft YaHei" w:hAnsi="Microsoft YaHei"/>
                <w:sz w:val="15"/>
              </w:rPr>
              <w:t>合同和收入</w:t>
            </w:r>
          </w:p>
        </w:tc>
        <w:tc>
          <w:tcPr>
            <w:tcW w:type="dxa" w:w="1814"/>
            <w:vAlign w:val="center"/>
            <w:shd w:fill="F4F7FA"/>
          </w:tcPr>
          <w:p>
            <w:pPr>
              <w:spacing w:after="20" w:line="252" w:lineRule="auto"/>
            </w:pPr>
            <w:r>
              <w:rPr>
                <w:rFonts w:ascii="Microsoft YaHei" w:hAnsi="Microsoft YaHei"/>
                <w:sz w:val="15"/>
              </w:rPr>
              <w:t>内部验收替代客户验收</w:t>
            </w:r>
          </w:p>
        </w:tc>
      </w:tr>
      <w:tr>
        <w:tc>
          <w:tcPr>
            <w:tcW w:type="dxa" w:w="1361"/>
            <w:vAlign w:val="center"/>
          </w:tcPr>
          <w:p>
            <w:pPr>
              <w:spacing w:after="20" w:line="252" w:lineRule="auto"/>
            </w:pPr>
            <w:r>
              <w:rPr>
                <w:rFonts w:ascii="Microsoft YaHei" w:hAnsi="Microsoft YaHei"/>
                <w:sz w:val="15"/>
              </w:rPr>
              <w:t>发票</w:t>
            </w:r>
          </w:p>
        </w:tc>
        <w:tc>
          <w:tcPr>
            <w:tcW w:type="dxa" w:w="1247"/>
            <w:vAlign w:val="center"/>
          </w:tcPr>
          <w:p>
            <w:pPr>
              <w:spacing w:after="20" w:line="252" w:lineRule="auto"/>
            </w:pPr>
            <w:r>
              <w:rPr>
                <w:rFonts w:ascii="Microsoft YaHei" w:hAnsi="Microsoft YaHei"/>
                <w:sz w:val="15"/>
              </w:rPr>
              <w:t>税务/AR</w:t>
            </w:r>
          </w:p>
        </w:tc>
        <w:tc>
          <w:tcPr>
            <w:tcW w:type="dxa" w:w="1134"/>
            <w:vAlign w:val="center"/>
          </w:tcPr>
          <w:p>
            <w:pPr>
              <w:spacing w:after="20" w:line="252" w:lineRule="auto"/>
            </w:pPr>
            <w:r>
              <w:rPr>
                <w:rFonts w:ascii="Microsoft YaHei" w:hAnsi="Microsoft YaHei"/>
                <w:sz w:val="15"/>
              </w:rPr>
              <w:t>开票时</w:t>
            </w:r>
          </w:p>
        </w:tc>
        <w:tc>
          <w:tcPr>
            <w:tcW w:type="dxa" w:w="1928"/>
            <w:vAlign w:val="center"/>
          </w:tcPr>
          <w:p>
            <w:pPr>
              <w:spacing w:after="20" w:line="252" w:lineRule="auto"/>
            </w:pPr>
            <w:r>
              <w:rPr>
                <w:rFonts w:ascii="Microsoft YaHei" w:hAnsi="Microsoft YaHei"/>
                <w:sz w:val="15"/>
              </w:rPr>
              <w:t>主体、内容、金额、税率</w:t>
            </w:r>
          </w:p>
        </w:tc>
        <w:tc>
          <w:tcPr>
            <w:tcW w:type="dxa" w:w="1587"/>
            <w:vAlign w:val="center"/>
          </w:tcPr>
          <w:p>
            <w:pPr>
              <w:spacing w:after="20" w:line="252" w:lineRule="auto"/>
            </w:pPr>
            <w:r>
              <w:rPr>
                <w:rFonts w:ascii="Microsoft YaHei" w:hAnsi="Microsoft YaHei"/>
                <w:sz w:val="15"/>
              </w:rPr>
              <w:t>收入和客户</w:t>
            </w:r>
          </w:p>
        </w:tc>
        <w:tc>
          <w:tcPr>
            <w:tcW w:type="dxa" w:w="1814"/>
            <w:vAlign w:val="center"/>
          </w:tcPr>
          <w:p>
            <w:pPr>
              <w:spacing w:after="20" w:line="252" w:lineRule="auto"/>
            </w:pPr>
            <w:r>
              <w:rPr>
                <w:rFonts w:ascii="Microsoft YaHei" w:hAnsi="Microsoft YaHei"/>
                <w:sz w:val="15"/>
              </w:rPr>
              <w:t>主体或内容不符</w:t>
            </w:r>
          </w:p>
        </w:tc>
      </w:tr>
      <w:tr>
        <w:tc>
          <w:tcPr>
            <w:tcW w:type="dxa" w:w="1361"/>
            <w:vAlign w:val="center"/>
            <w:shd w:fill="F4F7FA"/>
          </w:tcPr>
          <w:p>
            <w:pPr>
              <w:spacing w:after="20" w:line="252" w:lineRule="auto"/>
            </w:pPr>
            <w:r>
              <w:rPr>
                <w:rFonts w:ascii="Microsoft YaHei" w:hAnsi="Microsoft YaHei"/>
                <w:sz w:val="15"/>
              </w:rPr>
              <w:t>银行流水</w:t>
            </w:r>
          </w:p>
        </w:tc>
        <w:tc>
          <w:tcPr>
            <w:tcW w:type="dxa" w:w="1247"/>
            <w:vAlign w:val="center"/>
            <w:shd w:fill="F4F7FA"/>
          </w:tcPr>
          <w:p>
            <w:pPr>
              <w:spacing w:after="20" w:line="252" w:lineRule="auto"/>
            </w:pPr>
            <w:r>
              <w:rPr>
                <w:rFonts w:ascii="Microsoft YaHei" w:hAnsi="Microsoft YaHei"/>
                <w:sz w:val="15"/>
              </w:rPr>
              <w:t>资金</w:t>
            </w:r>
          </w:p>
        </w:tc>
        <w:tc>
          <w:tcPr>
            <w:tcW w:type="dxa" w:w="1134"/>
            <w:vAlign w:val="center"/>
            <w:shd w:fill="F4F7FA"/>
          </w:tcPr>
          <w:p>
            <w:pPr>
              <w:spacing w:after="20" w:line="252" w:lineRule="auto"/>
            </w:pPr>
            <w:r>
              <w:rPr>
                <w:rFonts w:ascii="Microsoft YaHei" w:hAnsi="Microsoft YaHei"/>
                <w:sz w:val="15"/>
              </w:rPr>
              <w:t>到账日</w:t>
            </w:r>
          </w:p>
        </w:tc>
        <w:tc>
          <w:tcPr>
            <w:tcW w:type="dxa" w:w="1928"/>
            <w:vAlign w:val="center"/>
            <w:shd w:fill="F4F7FA"/>
          </w:tcPr>
          <w:p>
            <w:pPr>
              <w:spacing w:after="20" w:line="252" w:lineRule="auto"/>
            </w:pPr>
            <w:r>
              <w:rPr>
                <w:rFonts w:ascii="Microsoft YaHei" w:hAnsi="Microsoft YaHei"/>
                <w:sz w:val="15"/>
              </w:rPr>
              <w:t>户名、账号、金额、摘要</w:t>
            </w:r>
          </w:p>
        </w:tc>
        <w:tc>
          <w:tcPr>
            <w:tcW w:type="dxa" w:w="1587"/>
            <w:vAlign w:val="center"/>
            <w:shd w:fill="F4F7FA"/>
          </w:tcPr>
          <w:p>
            <w:pPr>
              <w:spacing w:after="20" w:line="252" w:lineRule="auto"/>
            </w:pPr>
            <w:r>
              <w:rPr>
                <w:rFonts w:ascii="Microsoft YaHei" w:hAnsi="Microsoft YaHei"/>
                <w:sz w:val="15"/>
              </w:rPr>
              <w:t>收款与核销</w:t>
            </w:r>
          </w:p>
        </w:tc>
        <w:tc>
          <w:tcPr>
            <w:tcW w:type="dxa" w:w="1814"/>
            <w:vAlign w:val="center"/>
            <w:shd w:fill="F4F7FA"/>
          </w:tcPr>
          <w:p>
            <w:pPr>
              <w:spacing w:after="20" w:line="252" w:lineRule="auto"/>
            </w:pPr>
            <w:r>
              <w:rPr>
                <w:rFonts w:ascii="Microsoft YaHei" w:hAnsi="Microsoft YaHei"/>
                <w:sz w:val="15"/>
              </w:rPr>
              <w:t>第三方付款不明</w:t>
            </w:r>
          </w:p>
        </w:tc>
      </w:tr>
      <w:tr>
        <w:tc>
          <w:tcPr>
            <w:tcW w:type="dxa" w:w="1361"/>
            <w:vAlign w:val="center"/>
          </w:tcPr>
          <w:p>
            <w:pPr>
              <w:spacing w:after="20" w:line="252" w:lineRule="auto"/>
            </w:pPr>
            <w:r>
              <w:rPr>
                <w:rFonts w:ascii="Microsoft YaHei" w:hAnsi="Microsoft YaHei"/>
                <w:sz w:val="15"/>
              </w:rPr>
              <w:t>对账函</w:t>
            </w:r>
          </w:p>
        </w:tc>
        <w:tc>
          <w:tcPr>
            <w:tcW w:type="dxa" w:w="1247"/>
            <w:vAlign w:val="center"/>
          </w:tcPr>
          <w:p>
            <w:pPr>
              <w:spacing w:after="20" w:line="252" w:lineRule="auto"/>
            </w:pPr>
            <w:r>
              <w:rPr>
                <w:rFonts w:ascii="Microsoft YaHei" w:hAnsi="Microsoft YaHei"/>
                <w:sz w:val="15"/>
              </w:rPr>
              <w:t>AR/销售</w:t>
            </w:r>
          </w:p>
        </w:tc>
        <w:tc>
          <w:tcPr>
            <w:tcW w:type="dxa" w:w="1134"/>
            <w:vAlign w:val="center"/>
          </w:tcPr>
          <w:p>
            <w:pPr>
              <w:spacing w:after="20" w:line="252" w:lineRule="auto"/>
            </w:pPr>
            <w:r>
              <w:rPr>
                <w:rFonts w:ascii="Microsoft YaHei" w:hAnsi="Microsoft YaHei"/>
                <w:sz w:val="15"/>
              </w:rPr>
              <w:t>月或季度</w:t>
            </w:r>
          </w:p>
        </w:tc>
        <w:tc>
          <w:tcPr>
            <w:tcW w:type="dxa" w:w="1928"/>
            <w:vAlign w:val="center"/>
          </w:tcPr>
          <w:p>
            <w:pPr>
              <w:spacing w:after="20" w:line="252" w:lineRule="auto"/>
            </w:pPr>
            <w:r>
              <w:rPr>
                <w:rFonts w:ascii="Microsoft YaHei" w:hAnsi="Microsoft YaHei"/>
                <w:sz w:val="15"/>
              </w:rPr>
              <w:t>期末余额和差异</w:t>
            </w:r>
          </w:p>
        </w:tc>
        <w:tc>
          <w:tcPr>
            <w:tcW w:type="dxa" w:w="1587"/>
            <w:vAlign w:val="center"/>
          </w:tcPr>
          <w:p>
            <w:pPr>
              <w:spacing w:after="20" w:line="252" w:lineRule="auto"/>
            </w:pPr>
            <w:r>
              <w:rPr>
                <w:rFonts w:ascii="Microsoft YaHei" w:hAnsi="Microsoft YaHei"/>
                <w:sz w:val="15"/>
              </w:rPr>
              <w:t>明细账</w:t>
            </w:r>
          </w:p>
        </w:tc>
        <w:tc>
          <w:tcPr>
            <w:tcW w:type="dxa" w:w="1814"/>
            <w:vAlign w:val="center"/>
          </w:tcPr>
          <w:p>
            <w:pPr>
              <w:spacing w:after="20" w:line="252" w:lineRule="auto"/>
            </w:pPr>
            <w:r>
              <w:rPr>
                <w:rFonts w:ascii="Microsoft YaHei" w:hAnsi="Microsoft YaHei"/>
                <w:sz w:val="15"/>
              </w:rPr>
              <w:t>未回函无替代证据</w:t>
            </w:r>
          </w:p>
        </w:tc>
      </w:tr>
      <w:tr>
        <w:tc>
          <w:tcPr>
            <w:tcW w:type="dxa" w:w="1361"/>
            <w:vAlign w:val="center"/>
            <w:shd w:fill="F4F7FA"/>
          </w:tcPr>
          <w:p>
            <w:pPr>
              <w:spacing w:after="20" w:line="252" w:lineRule="auto"/>
            </w:pPr>
            <w:r>
              <w:rPr>
                <w:rFonts w:ascii="Microsoft YaHei" w:hAnsi="Microsoft YaHei"/>
                <w:sz w:val="15"/>
              </w:rPr>
              <w:t>催收记录</w:t>
            </w:r>
          </w:p>
        </w:tc>
        <w:tc>
          <w:tcPr>
            <w:tcW w:type="dxa" w:w="1247"/>
            <w:vAlign w:val="center"/>
            <w:shd w:fill="F4F7FA"/>
          </w:tcPr>
          <w:p>
            <w:pPr>
              <w:spacing w:after="20" w:line="252" w:lineRule="auto"/>
            </w:pPr>
            <w:r>
              <w:rPr>
                <w:rFonts w:ascii="Microsoft YaHei" w:hAnsi="Microsoft YaHei"/>
                <w:sz w:val="15"/>
              </w:rPr>
              <w:t>销售/AR</w:t>
            </w:r>
          </w:p>
        </w:tc>
        <w:tc>
          <w:tcPr>
            <w:tcW w:type="dxa" w:w="1134"/>
            <w:vAlign w:val="center"/>
            <w:shd w:fill="F4F7FA"/>
          </w:tcPr>
          <w:p>
            <w:pPr>
              <w:spacing w:after="20" w:line="252" w:lineRule="auto"/>
            </w:pPr>
            <w:r>
              <w:rPr>
                <w:rFonts w:ascii="Microsoft YaHei" w:hAnsi="Microsoft YaHei"/>
                <w:sz w:val="15"/>
              </w:rPr>
              <w:t>持续</w:t>
            </w:r>
          </w:p>
        </w:tc>
        <w:tc>
          <w:tcPr>
            <w:tcW w:type="dxa" w:w="1928"/>
            <w:vAlign w:val="center"/>
            <w:shd w:fill="F4F7FA"/>
          </w:tcPr>
          <w:p>
            <w:pPr>
              <w:spacing w:after="20" w:line="252" w:lineRule="auto"/>
            </w:pPr>
            <w:r>
              <w:rPr>
                <w:rFonts w:ascii="Microsoft YaHei" w:hAnsi="Microsoft YaHei"/>
                <w:sz w:val="15"/>
              </w:rPr>
              <w:t>承诺金额、日期、联系人</w:t>
            </w:r>
          </w:p>
        </w:tc>
        <w:tc>
          <w:tcPr>
            <w:tcW w:type="dxa" w:w="1587"/>
            <w:vAlign w:val="center"/>
            <w:shd w:fill="F4F7FA"/>
          </w:tcPr>
          <w:p>
            <w:pPr>
              <w:spacing w:after="20" w:line="252" w:lineRule="auto"/>
            </w:pPr>
            <w:r>
              <w:rPr>
                <w:rFonts w:ascii="Microsoft YaHei" w:hAnsi="Microsoft YaHei"/>
                <w:sz w:val="15"/>
              </w:rPr>
              <w:t>账龄和预测</w:t>
            </w:r>
          </w:p>
        </w:tc>
        <w:tc>
          <w:tcPr>
            <w:tcW w:type="dxa" w:w="1814"/>
            <w:vAlign w:val="center"/>
            <w:shd w:fill="F4F7FA"/>
          </w:tcPr>
          <w:p>
            <w:pPr>
              <w:spacing w:after="20" w:line="252" w:lineRule="auto"/>
            </w:pPr>
            <w:r>
              <w:rPr>
                <w:rFonts w:ascii="Microsoft YaHei" w:hAnsi="Microsoft YaHei"/>
                <w:sz w:val="15"/>
              </w:rPr>
              <w:t>只写“客户走流程”</w:t>
            </w:r>
          </w:p>
        </w:tc>
      </w:tr>
    </w:tbl>
    <w:p>
      <w:pPr>
        <w:spacing w:after="40"/>
      </w:pPr>
    </w:p>
    <w:p>
      <w:pPr>
        <w:pStyle w:val="Heading2"/>
        <w:keepNext/>
      </w:pPr>
      <w:r>
        <w:t>4.2 ERP数据流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680"/>
            <w:shd w:fill="17365D"/>
            <w:vAlign w:val="center"/>
          </w:tcPr>
          <w:p>
            <w:r>
              <w:rPr>
                <w:b/>
                <w:color w:val="FFFFFF"/>
                <w:sz w:val="17"/>
              </w:rPr>
              <w:t>节点</w:t>
            </w:r>
          </w:p>
        </w:tc>
        <w:tc>
          <w:tcPr>
            <w:tcW w:type="dxa" w:w="6917"/>
            <w:shd w:fill="17365D"/>
            <w:vAlign w:val="center"/>
          </w:tcPr>
          <w:p>
            <w:r>
              <w:rPr>
                <w:b/>
                <w:color w:val="FFFFFF"/>
                <w:sz w:val="17"/>
              </w:rPr>
              <w:t>动作</w:t>
            </w:r>
          </w:p>
        </w:tc>
        <w:tc>
          <w:tcPr>
            <w:tcW w:type="dxa" w:w="1247"/>
            <w:shd w:fill="17365D"/>
            <w:vAlign w:val="center"/>
          </w:tcPr>
          <w:p>
            <w:r>
              <w:rPr>
                <w:b/>
                <w:color w:val="FFFFFF"/>
                <w:sz w:val="17"/>
              </w:rPr>
              <w:t>管理结果</w:t>
            </w:r>
          </w:p>
        </w:tc>
      </w:tr>
      <w:tr>
        <w:tc>
          <w:tcPr>
            <w:tcW w:type="dxa" w:w="680"/>
            <w:vAlign w:val="center"/>
          </w:tcPr>
          <w:p>
            <w:pPr>
              <w:spacing w:after="20" w:line="252" w:lineRule="auto"/>
            </w:pPr>
            <w:r>
              <w:rPr>
                <w:rFonts w:ascii="Microsoft YaHei" w:hAnsi="Microsoft YaHei"/>
                <w:sz w:val="17"/>
              </w:rPr>
              <w:t>1</w:t>
            </w:r>
          </w:p>
        </w:tc>
        <w:tc>
          <w:tcPr>
            <w:tcW w:type="dxa" w:w="6917"/>
            <w:vAlign w:val="center"/>
          </w:tcPr>
          <w:p>
            <w:pPr>
              <w:spacing w:after="20" w:line="252" w:lineRule="auto"/>
            </w:pPr>
            <w:r>
              <w:rPr>
                <w:rFonts w:ascii="Microsoft YaHei" w:hAnsi="Microsoft YaHei"/>
                <w:sz w:val="17"/>
              </w:rPr>
              <w:t>CRM客户与信用信息</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2</w:t>
            </w:r>
          </w:p>
        </w:tc>
        <w:tc>
          <w:tcPr>
            <w:tcW w:type="dxa" w:w="6917"/>
            <w:vAlign w:val="center"/>
            <w:shd w:fill="F4F7FA"/>
          </w:tcPr>
          <w:p>
            <w:pPr>
              <w:spacing w:after="20" w:line="252" w:lineRule="auto"/>
            </w:pPr>
            <w:r>
              <w:rPr>
                <w:rFonts w:ascii="Microsoft YaHei" w:hAnsi="Microsoft YaHei"/>
                <w:sz w:val="17"/>
              </w:rPr>
              <w:t>销售合同和订单</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3</w:t>
            </w:r>
          </w:p>
        </w:tc>
        <w:tc>
          <w:tcPr>
            <w:tcW w:type="dxa" w:w="6917"/>
            <w:vAlign w:val="center"/>
          </w:tcPr>
          <w:p>
            <w:pPr>
              <w:spacing w:after="20" w:line="252" w:lineRule="auto"/>
            </w:pPr>
            <w:r>
              <w:rPr>
                <w:rFonts w:ascii="Microsoft YaHei" w:hAnsi="Microsoft YaHei"/>
                <w:sz w:val="17"/>
              </w:rPr>
              <w:t>ERP信用额度校验</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4</w:t>
            </w:r>
          </w:p>
        </w:tc>
        <w:tc>
          <w:tcPr>
            <w:tcW w:type="dxa" w:w="6917"/>
            <w:vAlign w:val="center"/>
            <w:shd w:fill="F4F7FA"/>
          </w:tcPr>
          <w:p>
            <w:pPr>
              <w:spacing w:after="20" w:line="252" w:lineRule="auto"/>
            </w:pPr>
            <w:r>
              <w:rPr>
                <w:rFonts w:ascii="Microsoft YaHei" w:hAnsi="Microsoft YaHei"/>
                <w:sz w:val="17"/>
              </w:rPr>
              <w:t>出库和验收</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5</w:t>
            </w:r>
          </w:p>
        </w:tc>
        <w:tc>
          <w:tcPr>
            <w:tcW w:type="dxa" w:w="6917"/>
            <w:vAlign w:val="center"/>
          </w:tcPr>
          <w:p>
            <w:pPr>
              <w:spacing w:after="20" w:line="252" w:lineRule="auto"/>
            </w:pPr>
            <w:r>
              <w:rPr>
                <w:rFonts w:ascii="Microsoft YaHei" w:hAnsi="Microsoft YaHei"/>
                <w:sz w:val="17"/>
              </w:rPr>
              <w:t>SD或销售模块生成结算数据</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6</w:t>
            </w:r>
          </w:p>
        </w:tc>
        <w:tc>
          <w:tcPr>
            <w:tcW w:type="dxa" w:w="6917"/>
            <w:vAlign w:val="center"/>
            <w:shd w:fill="F4F7FA"/>
          </w:tcPr>
          <w:p>
            <w:pPr>
              <w:spacing w:after="20" w:line="252" w:lineRule="auto"/>
            </w:pPr>
            <w:r>
              <w:rPr>
                <w:rFonts w:ascii="Microsoft YaHei" w:hAnsi="Microsoft YaHei"/>
                <w:sz w:val="17"/>
              </w:rPr>
              <w:t>AR生成客户明细</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7</w:t>
            </w:r>
          </w:p>
        </w:tc>
        <w:tc>
          <w:tcPr>
            <w:tcW w:type="dxa" w:w="6917"/>
            <w:vAlign w:val="center"/>
          </w:tcPr>
          <w:p>
            <w:pPr>
              <w:spacing w:after="20" w:line="252" w:lineRule="auto"/>
            </w:pPr>
            <w:r>
              <w:rPr>
                <w:rFonts w:ascii="Microsoft YaHei" w:hAnsi="Microsoft YaHei"/>
                <w:sz w:val="17"/>
              </w:rPr>
              <w:t>自动或接口凭证进入GL</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8</w:t>
            </w:r>
          </w:p>
        </w:tc>
        <w:tc>
          <w:tcPr>
            <w:tcW w:type="dxa" w:w="6917"/>
            <w:vAlign w:val="center"/>
            <w:shd w:fill="F4F7FA"/>
          </w:tcPr>
          <w:p>
            <w:pPr>
              <w:spacing w:after="20" w:line="252" w:lineRule="auto"/>
            </w:pPr>
            <w:r>
              <w:rPr>
                <w:rFonts w:ascii="Microsoft YaHei" w:hAnsi="Microsoft YaHei"/>
                <w:sz w:val="17"/>
              </w:rPr>
              <w:t>银行流水进入资金模块</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9</w:t>
            </w:r>
          </w:p>
        </w:tc>
        <w:tc>
          <w:tcPr>
            <w:tcW w:type="dxa" w:w="6917"/>
            <w:vAlign w:val="center"/>
          </w:tcPr>
          <w:p>
            <w:pPr>
              <w:spacing w:after="20" w:line="252" w:lineRule="auto"/>
            </w:pPr>
            <w:r>
              <w:rPr>
                <w:rFonts w:ascii="Microsoft YaHei" w:hAnsi="Microsoft YaHei"/>
                <w:sz w:val="17"/>
              </w:rPr>
              <w:t>AR执行回款认领和核销</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10</w:t>
            </w:r>
          </w:p>
        </w:tc>
        <w:tc>
          <w:tcPr>
            <w:tcW w:type="dxa" w:w="6917"/>
            <w:vAlign w:val="center"/>
            <w:shd w:fill="F4F7FA"/>
          </w:tcPr>
          <w:p>
            <w:pPr>
              <w:spacing w:after="20" w:line="252" w:lineRule="auto"/>
            </w:pPr>
            <w:r>
              <w:rPr>
                <w:rFonts w:ascii="Microsoft YaHei" w:hAnsi="Microsoft YaHei"/>
                <w:sz w:val="17"/>
              </w:rPr>
              <w:t>账龄 ECL和管理报表</w:t>
            </w:r>
          </w:p>
        </w:tc>
        <w:tc>
          <w:tcPr>
            <w:tcW w:type="dxa" w:w="1247"/>
            <w:vAlign w:val="center"/>
            <w:shd w:fill="F4F7FA"/>
          </w:tcPr>
          <w:p>
            <w:pPr>
              <w:spacing w:after="20" w:line="252" w:lineRule="auto"/>
            </w:pPr>
            <w:r>
              <w:rPr>
                <w:rFonts w:ascii="Microsoft YaHei" w:hAnsi="Microsoft YaHei"/>
                <w:sz w:val="17"/>
              </w:rPr>
              <w:t>关闭</w:t>
            </w:r>
          </w:p>
        </w:tc>
      </w:tr>
    </w:tbl>
    <w:p>
      <w:pPr>
        <w:spacing w:after="40"/>
      </w:pPr>
    </w:p>
    <w:p>
      <w:pPr>
        <w:spacing w:after="100" w:line="300" w:lineRule="auto"/>
      </w:pPr>
      <w:r>
        <w:rPr>
          <w:b/>
        </w:rPr>
        <w:t>系统逻辑：</w:t>
      </w:r>
      <w:r>
        <w:t>SAP、金蝶和用友的按钮和表名不同，但底层逻辑一致：主数据决定客户和账期，业务单据形成应收来源，清账或核销动作改变未清项状态，总账接收汇总或明细凭证。系统差异为零仍不能证明收入真实性和催收质量。</w:t>
      </w:r>
    </w:p>
    <w:p>
      <w:pPr>
        <w:pStyle w:val="Heading2"/>
        <w:keepNext/>
      </w:pPr>
      <w:r>
        <w:t>4.3 台账字段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2479"/>
        <w:gridCol w:w="2479"/>
        <w:gridCol w:w="2479"/>
      </w:tblGrid>
      <w:tr>
        <w:trPr>
          <w:tblHeader w:val="true"/>
        </w:trPr>
        <w:tc>
          <w:tcPr>
            <w:tcW w:type="dxa" w:w="1701"/>
            <w:shd w:fill="17365D"/>
            <w:vAlign w:val="center"/>
          </w:tcPr>
          <w:p>
            <w:r>
              <w:rPr>
                <w:b/>
                <w:color w:val="FFFFFF"/>
                <w:sz w:val="17"/>
              </w:rPr>
              <w:t>字段</w:t>
            </w:r>
          </w:p>
        </w:tc>
        <w:tc>
          <w:tcPr>
            <w:tcW w:type="dxa" w:w="3685"/>
            <w:shd w:fill="17365D"/>
            <w:vAlign w:val="center"/>
          </w:tcPr>
          <w:p>
            <w:r>
              <w:rPr>
                <w:b/>
                <w:color w:val="FFFFFF"/>
                <w:sz w:val="17"/>
              </w:rPr>
              <w:t>为什么需要</w:t>
            </w:r>
          </w:p>
        </w:tc>
        <w:tc>
          <w:tcPr>
            <w:tcW w:type="dxa" w:w="1701"/>
            <w:shd w:fill="17365D"/>
            <w:vAlign w:val="center"/>
          </w:tcPr>
          <w:p>
            <w:r>
              <w:rPr>
                <w:b/>
                <w:color w:val="FFFFFF"/>
                <w:sz w:val="17"/>
              </w:rPr>
              <w:t>维护人</w:t>
            </w:r>
          </w:p>
        </w:tc>
        <w:tc>
          <w:tcPr>
            <w:tcW w:type="dxa" w:w="1814"/>
            <w:shd w:fill="17365D"/>
            <w:vAlign w:val="center"/>
          </w:tcPr>
          <w:p>
            <w:r>
              <w:rPr>
                <w:b/>
                <w:color w:val="FFFFFF"/>
                <w:sz w:val="17"/>
              </w:rPr>
              <w:t>频率</w:t>
            </w:r>
          </w:p>
        </w:tc>
      </w:tr>
      <w:tr>
        <w:tc>
          <w:tcPr>
            <w:tcW w:type="dxa" w:w="1701"/>
            <w:vAlign w:val="center"/>
          </w:tcPr>
          <w:p>
            <w:pPr>
              <w:spacing w:after="20" w:line="252" w:lineRule="auto"/>
            </w:pPr>
            <w:r>
              <w:rPr>
                <w:rFonts w:ascii="Microsoft YaHei" w:hAnsi="Microsoft YaHei"/>
                <w:sz w:val="17"/>
              </w:rPr>
              <w:t>客户编码</w:t>
            </w:r>
          </w:p>
        </w:tc>
        <w:tc>
          <w:tcPr>
            <w:tcW w:type="dxa" w:w="3685"/>
            <w:vAlign w:val="center"/>
          </w:tcPr>
          <w:p>
            <w:pPr>
              <w:spacing w:after="20" w:line="252" w:lineRule="auto"/>
            </w:pPr>
            <w:r>
              <w:rPr>
                <w:rFonts w:ascii="Microsoft YaHei" w:hAnsi="Microsoft YaHei"/>
                <w:sz w:val="17"/>
              </w:rPr>
              <w:t>连接合同、订单、发票、收款和总账</w:t>
            </w:r>
          </w:p>
        </w:tc>
        <w:tc>
          <w:tcPr>
            <w:tcW w:type="dxa" w:w="1701"/>
            <w:vAlign w:val="center"/>
          </w:tcPr>
          <w:p>
            <w:pPr>
              <w:spacing w:after="20" w:line="252" w:lineRule="auto"/>
            </w:pPr>
            <w:r>
              <w:rPr>
                <w:rFonts w:ascii="Microsoft YaHei" w:hAnsi="Microsoft YaHei"/>
                <w:sz w:val="17"/>
              </w:rPr>
              <w:t>主数据管理员</w:t>
            </w:r>
          </w:p>
        </w:tc>
        <w:tc>
          <w:tcPr>
            <w:tcW w:type="dxa" w:w="1814"/>
            <w:vAlign w:val="center"/>
          </w:tcPr>
          <w:p>
            <w:pPr>
              <w:spacing w:after="20" w:line="252" w:lineRule="auto"/>
            </w:pPr>
            <w:r>
              <w:rPr>
                <w:rFonts w:ascii="Microsoft YaHei" w:hAnsi="Microsoft YaHei"/>
                <w:sz w:val="17"/>
              </w:rPr>
              <w:t>发生变化时</w:t>
            </w:r>
          </w:p>
        </w:tc>
      </w:tr>
      <w:tr>
        <w:tc>
          <w:tcPr>
            <w:tcW w:type="dxa" w:w="1701"/>
            <w:vAlign w:val="center"/>
            <w:shd w:fill="F4F7FA"/>
          </w:tcPr>
          <w:p>
            <w:pPr>
              <w:spacing w:after="20" w:line="252" w:lineRule="auto"/>
            </w:pPr>
            <w:r>
              <w:rPr>
                <w:rFonts w:ascii="Microsoft YaHei" w:hAnsi="Microsoft YaHei"/>
                <w:sz w:val="17"/>
              </w:rPr>
              <w:t>信用额度及有效期</w:t>
            </w:r>
          </w:p>
        </w:tc>
        <w:tc>
          <w:tcPr>
            <w:tcW w:type="dxa" w:w="3685"/>
            <w:vAlign w:val="center"/>
            <w:shd w:fill="F4F7FA"/>
          </w:tcPr>
          <w:p>
            <w:pPr>
              <w:spacing w:after="20" w:line="252" w:lineRule="auto"/>
            </w:pPr>
            <w:r>
              <w:rPr>
                <w:rFonts w:ascii="Microsoft YaHei" w:hAnsi="Microsoft YaHei"/>
                <w:sz w:val="17"/>
              </w:rPr>
              <w:t>控制风险敞口和过期额度</w:t>
            </w:r>
          </w:p>
        </w:tc>
        <w:tc>
          <w:tcPr>
            <w:tcW w:type="dxa" w:w="1701"/>
            <w:vAlign w:val="center"/>
            <w:shd w:fill="F4F7FA"/>
          </w:tcPr>
          <w:p>
            <w:pPr>
              <w:spacing w:after="20" w:line="252" w:lineRule="auto"/>
            </w:pPr>
            <w:r>
              <w:rPr>
                <w:rFonts w:ascii="Microsoft YaHei" w:hAnsi="Microsoft YaHei"/>
                <w:sz w:val="17"/>
              </w:rPr>
              <w:t>信用管理</w:t>
            </w:r>
          </w:p>
        </w:tc>
        <w:tc>
          <w:tcPr>
            <w:tcW w:type="dxa" w:w="1814"/>
            <w:vAlign w:val="center"/>
            <w:shd w:fill="F4F7FA"/>
          </w:tcPr>
          <w:p>
            <w:pPr>
              <w:spacing w:after="20" w:line="252" w:lineRule="auto"/>
            </w:pPr>
            <w:r>
              <w:rPr>
                <w:rFonts w:ascii="Microsoft YaHei" w:hAnsi="Microsoft YaHei"/>
                <w:sz w:val="17"/>
              </w:rPr>
              <w:t>审批后立即</w:t>
            </w:r>
          </w:p>
        </w:tc>
      </w:tr>
      <w:tr>
        <w:tc>
          <w:tcPr>
            <w:tcW w:type="dxa" w:w="1701"/>
            <w:vAlign w:val="center"/>
          </w:tcPr>
          <w:p>
            <w:pPr>
              <w:spacing w:after="20" w:line="252" w:lineRule="auto"/>
            </w:pPr>
            <w:r>
              <w:rPr>
                <w:rFonts w:ascii="Microsoft YaHei" w:hAnsi="Microsoft YaHei"/>
                <w:sz w:val="17"/>
              </w:rPr>
              <w:t>合同账期和到期日</w:t>
            </w:r>
          </w:p>
        </w:tc>
        <w:tc>
          <w:tcPr>
            <w:tcW w:type="dxa" w:w="3685"/>
            <w:vAlign w:val="center"/>
          </w:tcPr>
          <w:p>
            <w:pPr>
              <w:spacing w:after="20" w:line="252" w:lineRule="auto"/>
            </w:pPr>
            <w:r>
              <w:rPr>
                <w:rFonts w:ascii="Microsoft YaHei" w:hAnsi="Microsoft YaHei"/>
                <w:sz w:val="17"/>
              </w:rPr>
              <w:t>计算逾期和催收节点</w:t>
            </w:r>
          </w:p>
        </w:tc>
        <w:tc>
          <w:tcPr>
            <w:tcW w:type="dxa" w:w="1701"/>
            <w:vAlign w:val="center"/>
          </w:tcPr>
          <w:p>
            <w:pPr>
              <w:spacing w:after="20" w:line="252" w:lineRule="auto"/>
            </w:pPr>
            <w:r>
              <w:rPr>
                <w:rFonts w:ascii="Microsoft YaHei" w:hAnsi="Microsoft YaHei"/>
                <w:sz w:val="17"/>
              </w:rPr>
              <w:t>AR/销售</w:t>
            </w:r>
          </w:p>
        </w:tc>
        <w:tc>
          <w:tcPr>
            <w:tcW w:type="dxa" w:w="1814"/>
            <w:vAlign w:val="center"/>
          </w:tcPr>
          <w:p>
            <w:pPr>
              <w:spacing w:after="20" w:line="252" w:lineRule="auto"/>
            </w:pPr>
            <w:r>
              <w:rPr>
                <w:rFonts w:ascii="Microsoft YaHei" w:hAnsi="Microsoft YaHei"/>
                <w:sz w:val="17"/>
              </w:rPr>
              <w:t>逐笔</w:t>
            </w:r>
          </w:p>
        </w:tc>
      </w:tr>
      <w:tr>
        <w:tc>
          <w:tcPr>
            <w:tcW w:type="dxa" w:w="1701"/>
            <w:vAlign w:val="center"/>
            <w:shd w:fill="F4F7FA"/>
          </w:tcPr>
          <w:p>
            <w:pPr>
              <w:spacing w:after="20" w:line="252" w:lineRule="auto"/>
            </w:pPr>
            <w:r>
              <w:rPr>
                <w:rFonts w:ascii="Microsoft YaHei" w:hAnsi="Microsoft YaHei"/>
                <w:sz w:val="17"/>
              </w:rPr>
              <w:t>责任销售和区域</w:t>
            </w:r>
          </w:p>
        </w:tc>
        <w:tc>
          <w:tcPr>
            <w:tcW w:type="dxa" w:w="3685"/>
            <w:vAlign w:val="center"/>
            <w:shd w:fill="F4F7FA"/>
          </w:tcPr>
          <w:p>
            <w:pPr>
              <w:spacing w:after="20" w:line="252" w:lineRule="auto"/>
            </w:pPr>
            <w:r>
              <w:rPr>
                <w:rFonts w:ascii="Microsoft YaHei" w:hAnsi="Microsoft YaHei"/>
                <w:sz w:val="17"/>
              </w:rPr>
              <w:t>落实催收Owner并分析绩效</w:t>
            </w:r>
          </w:p>
        </w:tc>
        <w:tc>
          <w:tcPr>
            <w:tcW w:type="dxa" w:w="1701"/>
            <w:vAlign w:val="center"/>
            <w:shd w:fill="F4F7FA"/>
          </w:tcPr>
          <w:p>
            <w:pPr>
              <w:spacing w:after="20" w:line="252" w:lineRule="auto"/>
            </w:pPr>
            <w:r>
              <w:rPr>
                <w:rFonts w:ascii="Microsoft YaHei" w:hAnsi="Microsoft YaHei"/>
                <w:sz w:val="17"/>
              </w:rPr>
              <w:t>销售运营</w:t>
            </w:r>
          </w:p>
        </w:tc>
        <w:tc>
          <w:tcPr>
            <w:tcW w:type="dxa" w:w="1814"/>
            <w:vAlign w:val="center"/>
            <w:shd w:fill="F4F7FA"/>
          </w:tcPr>
          <w:p>
            <w:pPr>
              <w:spacing w:after="20" w:line="252" w:lineRule="auto"/>
            </w:pPr>
            <w:r>
              <w:rPr>
                <w:rFonts w:ascii="Microsoft YaHei" w:hAnsi="Microsoft YaHei"/>
                <w:sz w:val="17"/>
              </w:rPr>
              <w:t>人员变化时</w:t>
            </w:r>
          </w:p>
        </w:tc>
      </w:tr>
      <w:tr>
        <w:tc>
          <w:tcPr>
            <w:tcW w:type="dxa" w:w="1701"/>
            <w:vAlign w:val="center"/>
          </w:tcPr>
          <w:p>
            <w:pPr>
              <w:spacing w:after="20" w:line="252" w:lineRule="auto"/>
            </w:pPr>
            <w:r>
              <w:rPr>
                <w:rFonts w:ascii="Microsoft YaHei" w:hAnsi="Microsoft YaHei"/>
                <w:sz w:val="17"/>
              </w:rPr>
              <w:t>争议类型和金额</w:t>
            </w:r>
          </w:p>
        </w:tc>
        <w:tc>
          <w:tcPr>
            <w:tcW w:type="dxa" w:w="3685"/>
            <w:vAlign w:val="center"/>
          </w:tcPr>
          <w:p>
            <w:pPr>
              <w:spacing w:after="20" w:line="252" w:lineRule="auto"/>
            </w:pPr>
            <w:r>
              <w:rPr>
                <w:rFonts w:ascii="Microsoft YaHei" w:hAnsi="Microsoft YaHei"/>
                <w:sz w:val="17"/>
              </w:rPr>
              <w:t>区分信用问题与履约问题</w:t>
            </w:r>
          </w:p>
        </w:tc>
        <w:tc>
          <w:tcPr>
            <w:tcW w:type="dxa" w:w="1701"/>
            <w:vAlign w:val="center"/>
          </w:tcPr>
          <w:p>
            <w:pPr>
              <w:spacing w:after="20" w:line="252" w:lineRule="auto"/>
            </w:pPr>
            <w:r>
              <w:rPr>
                <w:rFonts w:ascii="Microsoft YaHei" w:hAnsi="Microsoft YaHei"/>
                <w:sz w:val="17"/>
              </w:rPr>
              <w:t>销售/项目</w:t>
            </w:r>
          </w:p>
        </w:tc>
        <w:tc>
          <w:tcPr>
            <w:tcW w:type="dxa" w:w="1814"/>
            <w:vAlign w:val="center"/>
          </w:tcPr>
          <w:p>
            <w:pPr>
              <w:spacing w:after="20" w:line="252" w:lineRule="auto"/>
            </w:pPr>
            <w:r>
              <w:rPr>
                <w:rFonts w:ascii="Microsoft YaHei" w:hAnsi="Microsoft YaHei"/>
                <w:sz w:val="17"/>
              </w:rPr>
              <w:t>每周</w:t>
            </w:r>
          </w:p>
        </w:tc>
      </w:tr>
      <w:tr>
        <w:tc>
          <w:tcPr>
            <w:tcW w:type="dxa" w:w="1701"/>
            <w:vAlign w:val="center"/>
            <w:shd w:fill="F4F7FA"/>
          </w:tcPr>
          <w:p>
            <w:pPr>
              <w:spacing w:after="20" w:line="252" w:lineRule="auto"/>
            </w:pPr>
            <w:r>
              <w:rPr>
                <w:rFonts w:ascii="Microsoft YaHei" w:hAnsi="Microsoft YaHei"/>
                <w:sz w:val="17"/>
              </w:rPr>
              <w:t>承诺回款金额和日期</w:t>
            </w:r>
          </w:p>
        </w:tc>
        <w:tc>
          <w:tcPr>
            <w:tcW w:type="dxa" w:w="3685"/>
            <w:vAlign w:val="center"/>
            <w:shd w:fill="F4F7FA"/>
          </w:tcPr>
          <w:p>
            <w:pPr>
              <w:spacing w:after="20" w:line="252" w:lineRule="auto"/>
            </w:pPr>
            <w:r>
              <w:rPr>
                <w:rFonts w:ascii="Microsoft YaHei" w:hAnsi="Microsoft YaHei"/>
                <w:sz w:val="17"/>
              </w:rPr>
              <w:t>形成现金预测和失约记录</w:t>
            </w:r>
          </w:p>
        </w:tc>
        <w:tc>
          <w:tcPr>
            <w:tcW w:type="dxa" w:w="1701"/>
            <w:vAlign w:val="center"/>
            <w:shd w:fill="F4F7FA"/>
          </w:tcPr>
          <w:p>
            <w:pPr>
              <w:spacing w:after="20" w:line="252" w:lineRule="auto"/>
            </w:pPr>
            <w:r>
              <w:rPr>
                <w:rFonts w:ascii="Microsoft YaHei" w:hAnsi="Microsoft YaHei"/>
                <w:sz w:val="17"/>
              </w:rPr>
              <w:t>销售</w:t>
            </w:r>
          </w:p>
        </w:tc>
        <w:tc>
          <w:tcPr>
            <w:tcW w:type="dxa" w:w="1814"/>
            <w:vAlign w:val="center"/>
            <w:shd w:fill="F4F7FA"/>
          </w:tcPr>
          <w:p>
            <w:pPr>
              <w:spacing w:after="20" w:line="252" w:lineRule="auto"/>
            </w:pPr>
            <w:r>
              <w:rPr>
                <w:rFonts w:ascii="Microsoft YaHei" w:hAnsi="Microsoft YaHei"/>
                <w:sz w:val="17"/>
              </w:rPr>
              <w:t>每周</w:t>
            </w:r>
          </w:p>
        </w:tc>
      </w:tr>
      <w:tr>
        <w:tc>
          <w:tcPr>
            <w:tcW w:type="dxa" w:w="1701"/>
            <w:vAlign w:val="center"/>
          </w:tcPr>
          <w:p>
            <w:pPr>
              <w:spacing w:after="20" w:line="252" w:lineRule="auto"/>
            </w:pPr>
            <w:r>
              <w:rPr>
                <w:rFonts w:ascii="Microsoft YaHei" w:hAnsi="Microsoft YaHei"/>
                <w:sz w:val="17"/>
              </w:rPr>
              <w:t>最后催收日及证据</w:t>
            </w:r>
          </w:p>
        </w:tc>
        <w:tc>
          <w:tcPr>
            <w:tcW w:type="dxa" w:w="3685"/>
            <w:vAlign w:val="center"/>
          </w:tcPr>
          <w:p>
            <w:pPr>
              <w:spacing w:after="20" w:line="252" w:lineRule="auto"/>
            </w:pPr>
            <w:r>
              <w:rPr>
                <w:rFonts w:ascii="Microsoft YaHei" w:hAnsi="Microsoft YaHei"/>
                <w:sz w:val="17"/>
              </w:rPr>
              <w:t>判断催收是否真实执行</w:t>
            </w:r>
          </w:p>
        </w:tc>
        <w:tc>
          <w:tcPr>
            <w:tcW w:type="dxa" w:w="1701"/>
            <w:vAlign w:val="center"/>
          </w:tcPr>
          <w:p>
            <w:pPr>
              <w:spacing w:after="20" w:line="252" w:lineRule="auto"/>
            </w:pPr>
            <w:r>
              <w:rPr>
                <w:rFonts w:ascii="Microsoft YaHei" w:hAnsi="Microsoft YaHei"/>
                <w:sz w:val="17"/>
              </w:rPr>
              <w:t>AR</w:t>
            </w:r>
          </w:p>
        </w:tc>
        <w:tc>
          <w:tcPr>
            <w:tcW w:type="dxa" w:w="1814"/>
            <w:vAlign w:val="center"/>
          </w:tcPr>
          <w:p>
            <w:pPr>
              <w:spacing w:after="20" w:line="252" w:lineRule="auto"/>
            </w:pPr>
            <w:r>
              <w:rPr>
                <w:rFonts w:ascii="Microsoft YaHei" w:hAnsi="Microsoft YaHei"/>
                <w:sz w:val="17"/>
              </w:rPr>
              <w:t>每次行动后</w:t>
            </w:r>
          </w:p>
        </w:tc>
      </w:tr>
      <w:tr>
        <w:tc>
          <w:tcPr>
            <w:tcW w:type="dxa" w:w="1701"/>
            <w:vAlign w:val="center"/>
            <w:shd w:fill="F4F7FA"/>
          </w:tcPr>
          <w:p>
            <w:pPr>
              <w:spacing w:after="20" w:line="252" w:lineRule="auto"/>
            </w:pPr>
            <w:r>
              <w:rPr>
                <w:rFonts w:ascii="Microsoft YaHei" w:hAnsi="Microsoft YaHei"/>
                <w:sz w:val="17"/>
              </w:rPr>
              <w:t>信用冻结状态</w:t>
            </w:r>
          </w:p>
        </w:tc>
        <w:tc>
          <w:tcPr>
            <w:tcW w:type="dxa" w:w="3685"/>
            <w:vAlign w:val="center"/>
            <w:shd w:fill="F4F7FA"/>
          </w:tcPr>
          <w:p>
            <w:pPr>
              <w:spacing w:after="20" w:line="252" w:lineRule="auto"/>
            </w:pPr>
            <w:r>
              <w:rPr>
                <w:rFonts w:ascii="Microsoft YaHei" w:hAnsi="Microsoft YaHei"/>
                <w:sz w:val="17"/>
              </w:rPr>
              <w:t>防止风险继续扩大</w:t>
            </w:r>
          </w:p>
        </w:tc>
        <w:tc>
          <w:tcPr>
            <w:tcW w:type="dxa" w:w="1701"/>
            <w:vAlign w:val="center"/>
            <w:shd w:fill="F4F7FA"/>
          </w:tcPr>
          <w:p>
            <w:pPr>
              <w:spacing w:after="20" w:line="252" w:lineRule="auto"/>
            </w:pPr>
            <w:r>
              <w:rPr>
                <w:rFonts w:ascii="Microsoft YaHei" w:hAnsi="Microsoft YaHei"/>
                <w:sz w:val="17"/>
              </w:rPr>
              <w:t>信用管理</w:t>
            </w:r>
          </w:p>
        </w:tc>
        <w:tc>
          <w:tcPr>
            <w:tcW w:type="dxa" w:w="1814"/>
            <w:vAlign w:val="center"/>
            <w:shd w:fill="F4F7FA"/>
          </w:tcPr>
          <w:p>
            <w:pPr>
              <w:spacing w:after="20" w:line="252" w:lineRule="auto"/>
            </w:pPr>
            <w:r>
              <w:rPr>
                <w:rFonts w:ascii="Microsoft YaHei" w:hAnsi="Microsoft YaHei"/>
                <w:sz w:val="17"/>
              </w:rPr>
              <w:t>实时</w:t>
            </w:r>
          </w:p>
        </w:tc>
      </w:tr>
      <w:tr>
        <w:tc>
          <w:tcPr>
            <w:tcW w:type="dxa" w:w="1701"/>
            <w:vAlign w:val="center"/>
          </w:tcPr>
          <w:p>
            <w:pPr>
              <w:spacing w:after="20" w:line="252" w:lineRule="auto"/>
            </w:pPr>
            <w:r>
              <w:rPr>
                <w:rFonts w:ascii="Microsoft YaHei" w:hAnsi="Microsoft YaHei"/>
                <w:sz w:val="17"/>
              </w:rPr>
              <w:t>ECL分组和个别评估标识</w:t>
            </w:r>
          </w:p>
        </w:tc>
        <w:tc>
          <w:tcPr>
            <w:tcW w:type="dxa" w:w="3685"/>
            <w:vAlign w:val="center"/>
          </w:tcPr>
          <w:p>
            <w:pPr>
              <w:spacing w:after="20" w:line="252" w:lineRule="auto"/>
            </w:pPr>
            <w:r>
              <w:rPr>
                <w:rFonts w:ascii="Microsoft YaHei" w:hAnsi="Microsoft YaHei"/>
                <w:sz w:val="17"/>
              </w:rPr>
              <w:t>支持减值计量</w:t>
            </w:r>
          </w:p>
        </w:tc>
        <w:tc>
          <w:tcPr>
            <w:tcW w:type="dxa" w:w="1701"/>
            <w:vAlign w:val="center"/>
          </w:tcPr>
          <w:p>
            <w:pPr>
              <w:spacing w:after="20" w:line="252" w:lineRule="auto"/>
            </w:pPr>
            <w:r>
              <w:rPr>
                <w:rFonts w:ascii="Microsoft YaHei" w:hAnsi="Microsoft YaHei"/>
                <w:sz w:val="17"/>
              </w:rPr>
              <w:t>总账</w:t>
            </w:r>
          </w:p>
        </w:tc>
        <w:tc>
          <w:tcPr>
            <w:tcW w:type="dxa" w:w="1814"/>
            <w:vAlign w:val="center"/>
          </w:tcPr>
          <w:p>
            <w:pPr>
              <w:spacing w:after="20" w:line="252" w:lineRule="auto"/>
            </w:pPr>
            <w:r>
              <w:rPr>
                <w:rFonts w:ascii="Microsoft YaHei" w:hAnsi="Microsoft YaHei"/>
                <w:sz w:val="17"/>
              </w:rPr>
              <w:t>月末</w:t>
            </w:r>
          </w:p>
        </w:tc>
      </w:tr>
      <w:tr>
        <w:tc>
          <w:tcPr>
            <w:tcW w:type="dxa" w:w="1701"/>
            <w:vAlign w:val="center"/>
            <w:shd w:fill="F4F7FA"/>
          </w:tcPr>
          <w:p>
            <w:pPr>
              <w:spacing w:after="20" w:line="252" w:lineRule="auto"/>
            </w:pPr>
            <w:r>
              <w:rPr>
                <w:rFonts w:ascii="Microsoft YaHei" w:hAnsi="Microsoft YaHei"/>
                <w:sz w:val="17"/>
              </w:rPr>
              <w:t>Issue状态和Closure</w:t>
            </w:r>
          </w:p>
        </w:tc>
        <w:tc>
          <w:tcPr>
            <w:tcW w:type="dxa" w:w="3685"/>
            <w:vAlign w:val="center"/>
            <w:shd w:fill="F4F7FA"/>
          </w:tcPr>
          <w:p>
            <w:pPr>
              <w:spacing w:after="20" w:line="252" w:lineRule="auto"/>
            </w:pPr>
            <w:r>
              <w:rPr>
                <w:rFonts w:ascii="Microsoft YaHei" w:hAnsi="Microsoft YaHei"/>
                <w:sz w:val="17"/>
              </w:rPr>
              <w:t>证明问题已解决</w:t>
            </w:r>
          </w:p>
        </w:tc>
        <w:tc>
          <w:tcPr>
            <w:tcW w:type="dxa" w:w="1701"/>
            <w:vAlign w:val="center"/>
            <w:shd w:fill="F4F7FA"/>
          </w:tcPr>
          <w:p>
            <w:pPr>
              <w:spacing w:after="20" w:line="252" w:lineRule="auto"/>
            </w:pPr>
            <w:r>
              <w:rPr>
                <w:rFonts w:ascii="Microsoft YaHei" w:hAnsi="Microsoft YaHei"/>
                <w:sz w:val="17"/>
              </w:rPr>
              <w:t>财务主管</w:t>
            </w:r>
          </w:p>
        </w:tc>
        <w:tc>
          <w:tcPr>
            <w:tcW w:type="dxa" w:w="1814"/>
            <w:vAlign w:val="center"/>
            <w:shd w:fill="F4F7FA"/>
          </w:tcPr>
          <w:p>
            <w:pPr>
              <w:spacing w:after="20" w:line="252" w:lineRule="auto"/>
            </w:pPr>
            <w:r>
              <w:rPr>
                <w:rFonts w:ascii="Microsoft YaHei" w:hAnsi="Microsoft YaHei"/>
                <w:sz w:val="17"/>
              </w:rPr>
              <w:t>持续</w:t>
            </w:r>
          </w:p>
        </w:tc>
      </w:tr>
    </w:tbl>
    <w:p>
      <w:pPr>
        <w:spacing w:after="40"/>
      </w:pPr>
    </w:p>
    <w:p>
      <w:pPr>
        <w:pStyle w:val="Heading1"/>
        <w:keepNext/>
      </w:pPr>
      <w:r>
        <w:t>第五章 信用管理和销售放行</w:t>
      </w:r>
    </w:p>
    <w:p>
      <w:pPr>
        <w:pStyle w:val="Heading2"/>
        <w:keepNext/>
      </w:pPr>
      <w:r>
        <w:t>5.1 信用额度不是财务拍脑袋</w:t>
      </w:r>
    </w:p>
    <w:p>
      <w:pPr>
        <w:pStyle w:val="ListBullet"/>
        <w:spacing w:after="40"/>
      </w:pPr>
      <w:r>
        <w:t>客户外部资信、经营年限、股东和诉讼信息。</w:t>
      </w:r>
    </w:p>
    <w:p>
      <w:pPr>
        <w:pStyle w:val="ListBullet"/>
        <w:spacing w:after="40"/>
      </w:pPr>
      <w:r>
        <w:t>历史采购规模、付款及时性、争议和退货。</w:t>
      </w:r>
    </w:p>
    <w:p>
      <w:pPr>
        <w:pStyle w:val="ListBullet"/>
        <w:spacing w:after="40"/>
      </w:pPr>
      <w:r>
        <w:t>拟交易毛利、替代客户、担保和预付款比例。</w:t>
      </w:r>
    </w:p>
    <w:p>
      <w:pPr>
        <w:pStyle w:val="ListBullet"/>
        <w:spacing w:after="40"/>
      </w:pPr>
      <w:r>
        <w:t>最大风险敞口，包括已到期、未到期和已审批未发货订单。</w:t>
      </w:r>
    </w:p>
    <w:p>
      <w:pPr>
        <w:pStyle w:val="ListBullet"/>
        <w:spacing w:after="40"/>
      </w:pPr>
      <w:r>
        <w:t>额度有效期、复评频率和自动冻结条件。</w:t>
      </w:r>
    </w:p>
    <w:p>
      <w:pPr>
        <w:pStyle w:val="Heading2"/>
        <w:keepNext/>
      </w:pPr>
      <w:r>
        <w:t>5.2 信用例外审批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701"/>
            <w:shd w:fill="17365D"/>
            <w:vAlign w:val="center"/>
          </w:tcPr>
          <w:p>
            <w:r>
              <w:rPr>
                <w:b/>
                <w:color w:val="FFFFFF"/>
                <w:sz w:val="17"/>
              </w:rPr>
              <w:t>条件</w:t>
            </w:r>
          </w:p>
        </w:tc>
        <w:tc>
          <w:tcPr>
            <w:tcW w:type="dxa" w:w="4422"/>
            <w:shd w:fill="17365D"/>
            <w:vAlign w:val="center"/>
          </w:tcPr>
          <w:p>
            <w:r>
              <w:rPr>
                <w:b/>
                <w:color w:val="FFFFFF"/>
                <w:sz w:val="17"/>
              </w:rPr>
              <w:t>最低处理</w:t>
            </w:r>
          </w:p>
        </w:tc>
        <w:tc>
          <w:tcPr>
            <w:tcW w:type="dxa" w:w="2778"/>
            <w:shd w:fill="17365D"/>
            <w:vAlign w:val="center"/>
          </w:tcPr>
          <w:p>
            <w:r>
              <w:rPr>
                <w:b/>
                <w:color w:val="FFFFFF"/>
                <w:sz w:val="17"/>
              </w:rPr>
              <w:t>不应接受的理由</w:t>
            </w:r>
          </w:p>
        </w:tc>
      </w:tr>
      <w:tr>
        <w:tc>
          <w:tcPr>
            <w:tcW w:type="dxa" w:w="1701"/>
            <w:vAlign w:val="center"/>
          </w:tcPr>
          <w:p>
            <w:pPr>
              <w:spacing w:after="20" w:line="252" w:lineRule="auto"/>
            </w:pPr>
            <w:r>
              <w:rPr>
                <w:rFonts w:ascii="Microsoft YaHei" w:hAnsi="Microsoft YaHei"/>
                <w:sz w:val="17"/>
              </w:rPr>
              <w:t>额度不足但无逾期</w:t>
            </w:r>
          </w:p>
        </w:tc>
        <w:tc>
          <w:tcPr>
            <w:tcW w:type="dxa" w:w="4422"/>
            <w:vAlign w:val="center"/>
          </w:tcPr>
          <w:p>
            <w:pPr>
              <w:spacing w:after="20" w:line="252" w:lineRule="auto"/>
            </w:pPr>
            <w:r>
              <w:rPr>
                <w:rFonts w:ascii="Microsoft YaHei" w:hAnsi="Microsoft YaHei"/>
                <w:sz w:val="17"/>
              </w:rPr>
              <w:t>确认回款计划和新增订单金额，限次限期审批</w:t>
            </w:r>
          </w:p>
        </w:tc>
        <w:tc>
          <w:tcPr>
            <w:tcW w:type="dxa" w:w="2778"/>
            <w:vAlign w:val="center"/>
          </w:tcPr>
          <w:p>
            <w:pPr>
              <w:spacing w:after="20" w:line="252" w:lineRule="auto"/>
            </w:pPr>
            <w:r>
              <w:rPr>
                <w:rFonts w:ascii="Microsoft YaHei" w:hAnsi="Microsoft YaHei"/>
                <w:sz w:val="17"/>
              </w:rPr>
              <w:t>“客户一直不错”</w:t>
            </w:r>
          </w:p>
        </w:tc>
      </w:tr>
      <w:tr>
        <w:tc>
          <w:tcPr>
            <w:tcW w:type="dxa" w:w="1701"/>
            <w:vAlign w:val="center"/>
            <w:shd w:fill="F4F7FA"/>
          </w:tcPr>
          <w:p>
            <w:pPr>
              <w:spacing w:after="20" w:line="252" w:lineRule="auto"/>
            </w:pPr>
            <w:r>
              <w:rPr>
                <w:rFonts w:ascii="Microsoft YaHei" w:hAnsi="Microsoft YaHei"/>
                <w:sz w:val="17"/>
              </w:rPr>
              <w:t>存在逾期</w:t>
            </w:r>
          </w:p>
        </w:tc>
        <w:tc>
          <w:tcPr>
            <w:tcW w:type="dxa" w:w="4422"/>
            <w:vAlign w:val="center"/>
            <w:shd w:fill="F4F7FA"/>
          </w:tcPr>
          <w:p>
            <w:pPr>
              <w:spacing w:after="20" w:line="252" w:lineRule="auto"/>
            </w:pPr>
            <w:r>
              <w:rPr>
                <w:rFonts w:ascii="Microsoft YaHei" w:hAnsi="Microsoft YaHei"/>
                <w:sz w:val="17"/>
              </w:rPr>
              <w:t>解释逾期原因、证据和新增风险敞口</w:t>
            </w:r>
          </w:p>
        </w:tc>
        <w:tc>
          <w:tcPr>
            <w:tcW w:type="dxa" w:w="2778"/>
            <w:vAlign w:val="center"/>
            <w:shd w:fill="F4F7FA"/>
          </w:tcPr>
          <w:p>
            <w:pPr>
              <w:spacing w:after="20" w:line="252" w:lineRule="auto"/>
            </w:pPr>
            <w:r>
              <w:rPr>
                <w:rFonts w:ascii="Microsoft YaHei" w:hAnsi="Microsoft YaHei"/>
                <w:sz w:val="17"/>
              </w:rPr>
              <w:t>“销售目标紧”</w:t>
            </w:r>
          </w:p>
        </w:tc>
      </w:tr>
      <w:tr>
        <w:tc>
          <w:tcPr>
            <w:tcW w:type="dxa" w:w="1701"/>
            <w:vAlign w:val="center"/>
          </w:tcPr>
          <w:p>
            <w:pPr>
              <w:spacing w:after="20" w:line="252" w:lineRule="auto"/>
            </w:pPr>
            <w:r>
              <w:rPr>
                <w:rFonts w:ascii="Microsoft YaHei" w:hAnsi="Microsoft YaHei"/>
                <w:sz w:val="17"/>
              </w:rPr>
              <w:t>超过90天逾期</w:t>
            </w:r>
          </w:p>
        </w:tc>
        <w:tc>
          <w:tcPr>
            <w:tcW w:type="dxa" w:w="4422"/>
            <w:vAlign w:val="center"/>
          </w:tcPr>
          <w:p>
            <w:pPr>
              <w:spacing w:after="20" w:line="252" w:lineRule="auto"/>
            </w:pPr>
            <w:r>
              <w:rPr>
                <w:rFonts w:ascii="Microsoft YaHei" w:hAnsi="Microsoft YaHei"/>
                <w:sz w:val="17"/>
              </w:rPr>
              <w:t>原则上冻结，重大商业理由由高层审批</w:t>
            </w:r>
          </w:p>
        </w:tc>
        <w:tc>
          <w:tcPr>
            <w:tcW w:type="dxa" w:w="2778"/>
            <w:vAlign w:val="center"/>
          </w:tcPr>
          <w:p>
            <w:pPr>
              <w:spacing w:after="20" w:line="252" w:lineRule="auto"/>
            </w:pPr>
            <w:r>
              <w:rPr>
                <w:rFonts w:ascii="Microsoft YaHei" w:hAnsi="Microsoft YaHei"/>
                <w:sz w:val="17"/>
              </w:rPr>
              <w:t>“客户答应下周付”</w:t>
            </w:r>
          </w:p>
        </w:tc>
      </w:tr>
      <w:tr>
        <w:tc>
          <w:tcPr>
            <w:tcW w:type="dxa" w:w="1701"/>
            <w:vAlign w:val="center"/>
            <w:shd w:fill="F4F7FA"/>
          </w:tcPr>
          <w:p>
            <w:pPr>
              <w:spacing w:after="20" w:line="252" w:lineRule="auto"/>
            </w:pPr>
            <w:r>
              <w:rPr>
                <w:rFonts w:ascii="Microsoft YaHei" w:hAnsi="Microsoft YaHei"/>
                <w:sz w:val="17"/>
              </w:rPr>
              <w:t>诉讼或经营异常</w:t>
            </w:r>
          </w:p>
        </w:tc>
        <w:tc>
          <w:tcPr>
            <w:tcW w:type="dxa" w:w="4422"/>
            <w:vAlign w:val="center"/>
            <w:shd w:fill="F4F7FA"/>
          </w:tcPr>
          <w:p>
            <w:pPr>
              <w:spacing w:after="20" w:line="252" w:lineRule="auto"/>
            </w:pPr>
            <w:r>
              <w:rPr>
                <w:rFonts w:ascii="Microsoft YaHei" w:hAnsi="Microsoft YaHei"/>
                <w:sz w:val="17"/>
              </w:rPr>
              <w:t>法务和财务经理评估担保、预付或停止交易</w:t>
            </w:r>
          </w:p>
        </w:tc>
        <w:tc>
          <w:tcPr>
            <w:tcW w:type="dxa" w:w="2778"/>
            <w:vAlign w:val="center"/>
            <w:shd w:fill="F4F7FA"/>
          </w:tcPr>
          <w:p>
            <w:pPr>
              <w:spacing w:after="20" w:line="252" w:lineRule="auto"/>
            </w:pPr>
            <w:r>
              <w:rPr>
                <w:rFonts w:ascii="Microsoft YaHei" w:hAnsi="Microsoft YaHei"/>
                <w:sz w:val="17"/>
              </w:rPr>
              <w:t>“以后还有大单”</w:t>
            </w:r>
          </w:p>
        </w:tc>
      </w:tr>
    </w:tbl>
    <w:p>
      <w:pPr>
        <w:spacing w:after="40"/>
      </w:pPr>
    </w:p>
    <w:p>
      <w:pPr>
        <w:pStyle w:val="Heading2"/>
        <w:keepNext/>
      </w:pPr>
      <w:r>
        <w:t>5.3 案例 客户逾期90天仍要求发货</w:t>
      </w:r>
    </w:p>
    <w:p>
      <w:pPr>
        <w:spacing w:after="100" w:line="300" w:lineRule="auto"/>
      </w:pPr>
      <w:r>
        <w:t>北方自动化现有应收904万元中的90.4万元已逾期115天，另有22.6万元为冻结后的例外发货。销售提出再发货80万元。财务主管不能只回答“可以”或“不可以”。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680"/>
            <w:shd w:fill="17365D"/>
            <w:vAlign w:val="center"/>
          </w:tcPr>
          <w:p>
            <w:r>
              <w:rPr>
                <w:b/>
                <w:color w:val="FFFFFF"/>
                <w:sz w:val="17"/>
              </w:rPr>
              <w:t>节点</w:t>
            </w:r>
          </w:p>
        </w:tc>
        <w:tc>
          <w:tcPr>
            <w:tcW w:type="dxa" w:w="6917"/>
            <w:shd w:fill="17365D"/>
            <w:vAlign w:val="center"/>
          </w:tcPr>
          <w:p>
            <w:r>
              <w:rPr>
                <w:b/>
                <w:color w:val="FFFFFF"/>
                <w:sz w:val="17"/>
              </w:rPr>
              <w:t>动作</w:t>
            </w:r>
          </w:p>
        </w:tc>
        <w:tc>
          <w:tcPr>
            <w:tcW w:type="dxa" w:w="1247"/>
            <w:shd w:fill="17365D"/>
            <w:vAlign w:val="center"/>
          </w:tcPr>
          <w:p>
            <w:r>
              <w:rPr>
                <w:b/>
                <w:color w:val="FFFFFF"/>
                <w:sz w:val="17"/>
              </w:rPr>
              <w:t>管理结果</w:t>
            </w:r>
          </w:p>
        </w:tc>
      </w:tr>
      <w:tr>
        <w:tc>
          <w:tcPr>
            <w:tcW w:type="dxa" w:w="680"/>
            <w:vAlign w:val="center"/>
          </w:tcPr>
          <w:p>
            <w:pPr>
              <w:spacing w:after="20" w:line="252" w:lineRule="auto"/>
            </w:pPr>
            <w:r>
              <w:rPr>
                <w:rFonts w:ascii="Microsoft YaHei" w:hAnsi="Microsoft YaHei"/>
                <w:sz w:val="17"/>
              </w:rPr>
              <w:t>1</w:t>
            </w:r>
          </w:p>
        </w:tc>
        <w:tc>
          <w:tcPr>
            <w:tcW w:type="dxa" w:w="6917"/>
            <w:vAlign w:val="center"/>
          </w:tcPr>
          <w:p>
            <w:pPr>
              <w:spacing w:after="20" w:line="252" w:lineRule="auto"/>
            </w:pPr>
            <w:r>
              <w:rPr>
                <w:rFonts w:ascii="Microsoft YaHei" w:hAnsi="Microsoft YaHei"/>
                <w:sz w:val="17"/>
              </w:rPr>
              <w:t>核对客户全部风险敞口</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2</w:t>
            </w:r>
          </w:p>
        </w:tc>
        <w:tc>
          <w:tcPr>
            <w:tcW w:type="dxa" w:w="6917"/>
            <w:vAlign w:val="center"/>
            <w:shd w:fill="F4F7FA"/>
          </w:tcPr>
          <w:p>
            <w:pPr>
              <w:spacing w:after="20" w:line="252" w:lineRule="auto"/>
            </w:pPr>
            <w:r>
              <w:rPr>
                <w:rFonts w:ascii="Microsoft YaHei" w:hAnsi="Microsoft YaHei"/>
                <w:sz w:val="17"/>
              </w:rPr>
              <w:t>确认逾期是信用还是验收争议</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3</w:t>
            </w:r>
          </w:p>
        </w:tc>
        <w:tc>
          <w:tcPr>
            <w:tcW w:type="dxa" w:w="6917"/>
            <w:vAlign w:val="center"/>
          </w:tcPr>
          <w:p>
            <w:pPr>
              <w:spacing w:after="20" w:line="252" w:lineRule="auto"/>
            </w:pPr>
            <w:r>
              <w:rPr>
                <w:rFonts w:ascii="Microsoft YaHei" w:hAnsi="Microsoft YaHei"/>
                <w:sz w:val="17"/>
              </w:rPr>
              <w:t>取得客户付款计划和书面证据</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4</w:t>
            </w:r>
          </w:p>
        </w:tc>
        <w:tc>
          <w:tcPr>
            <w:tcW w:type="dxa" w:w="6917"/>
            <w:vAlign w:val="center"/>
            <w:shd w:fill="F4F7FA"/>
          </w:tcPr>
          <w:p>
            <w:pPr>
              <w:spacing w:after="20" w:line="252" w:lineRule="auto"/>
            </w:pPr>
            <w:r>
              <w:rPr>
                <w:rFonts w:ascii="Microsoft YaHei" w:hAnsi="Microsoft YaHei"/>
                <w:sz w:val="17"/>
              </w:rPr>
              <w:t>计算新增订单后的最大敞口</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5</w:t>
            </w:r>
          </w:p>
        </w:tc>
        <w:tc>
          <w:tcPr>
            <w:tcW w:type="dxa" w:w="6917"/>
            <w:vAlign w:val="center"/>
          </w:tcPr>
          <w:p>
            <w:pPr>
              <w:spacing w:after="20" w:line="252" w:lineRule="auto"/>
            </w:pPr>
            <w:r>
              <w:rPr>
                <w:rFonts w:ascii="Microsoft YaHei" w:hAnsi="Microsoft YaHei"/>
                <w:sz w:val="17"/>
              </w:rPr>
              <w:t>提出预付款、部分回款或担保方案</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6</w:t>
            </w:r>
          </w:p>
        </w:tc>
        <w:tc>
          <w:tcPr>
            <w:tcW w:type="dxa" w:w="6917"/>
            <w:vAlign w:val="center"/>
            <w:shd w:fill="F4F7FA"/>
          </w:tcPr>
          <w:p>
            <w:pPr>
              <w:spacing w:after="20" w:line="252" w:lineRule="auto"/>
            </w:pPr>
            <w:r>
              <w:rPr>
                <w:rFonts w:ascii="Microsoft YaHei" w:hAnsi="Microsoft YaHei"/>
                <w:sz w:val="17"/>
              </w:rPr>
              <w:t>按权限审批一次性例外</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7</w:t>
            </w:r>
          </w:p>
        </w:tc>
        <w:tc>
          <w:tcPr>
            <w:tcW w:type="dxa" w:w="6917"/>
            <w:vAlign w:val="center"/>
          </w:tcPr>
          <w:p>
            <w:pPr>
              <w:spacing w:after="20" w:line="252" w:lineRule="auto"/>
            </w:pPr>
            <w:r>
              <w:rPr>
                <w:rFonts w:ascii="Microsoft YaHei" w:hAnsi="Microsoft YaHei"/>
                <w:sz w:val="17"/>
              </w:rPr>
              <w:t>设置金额和失效日期</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8</w:t>
            </w:r>
          </w:p>
        </w:tc>
        <w:tc>
          <w:tcPr>
            <w:tcW w:type="dxa" w:w="6917"/>
            <w:vAlign w:val="center"/>
            <w:shd w:fill="F4F7FA"/>
          </w:tcPr>
          <w:p>
            <w:pPr>
              <w:spacing w:after="20" w:line="252" w:lineRule="auto"/>
            </w:pPr>
            <w:r>
              <w:rPr>
                <w:rFonts w:ascii="Microsoft YaHei" w:hAnsi="Microsoft YaHei"/>
                <w:sz w:val="17"/>
              </w:rPr>
              <w:t>发货后跟踪并复盘</w:t>
            </w:r>
          </w:p>
        </w:tc>
        <w:tc>
          <w:tcPr>
            <w:tcW w:type="dxa" w:w="1247"/>
            <w:vAlign w:val="center"/>
            <w:shd w:fill="F4F7FA"/>
          </w:tcPr>
          <w:p>
            <w:pPr>
              <w:spacing w:after="20" w:line="252" w:lineRule="auto"/>
            </w:pPr>
            <w:r>
              <w:rPr>
                <w:rFonts w:ascii="Microsoft YaHei" w:hAnsi="Microsoft YaHei"/>
                <w:sz w:val="17"/>
              </w:rPr>
              <w:t>关闭</w:t>
            </w:r>
          </w:p>
        </w:tc>
      </w:tr>
    </w:tbl>
    <w:p>
      <w:pPr>
        <w:spacing w:after="40"/>
      </w:pPr>
    </w:p>
    <w:p>
      <w:pPr>
        <w:pStyle w:val="Heading1"/>
        <w:keepNext/>
      </w:pPr>
      <w:r>
        <w:t>第六章 到期管理 催收和争议</w:t>
      </w:r>
    </w:p>
    <w:p>
      <w:pPr>
        <w:pStyle w:val="Heading2"/>
        <w:keepNext/>
      </w:pPr>
      <w:r>
        <w:t>6.1 分层催收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2479"/>
        <w:gridCol w:w="2479"/>
        <w:gridCol w:w="2479"/>
      </w:tblGrid>
      <w:tr>
        <w:trPr>
          <w:tblHeader w:val="true"/>
        </w:trPr>
        <w:tc>
          <w:tcPr>
            <w:tcW w:type="dxa" w:w="1531"/>
            <w:shd w:fill="17365D"/>
            <w:vAlign w:val="center"/>
          </w:tcPr>
          <w:p>
            <w:r>
              <w:rPr>
                <w:b/>
                <w:color w:val="FFFFFF"/>
                <w:sz w:val="17"/>
              </w:rPr>
              <w:t>阶段</w:t>
            </w:r>
          </w:p>
        </w:tc>
        <w:tc>
          <w:tcPr>
            <w:tcW w:type="dxa" w:w="3402"/>
            <w:shd w:fill="17365D"/>
            <w:vAlign w:val="center"/>
          </w:tcPr>
          <w:p>
            <w:r>
              <w:rPr>
                <w:b/>
                <w:color w:val="FFFFFF"/>
                <w:sz w:val="17"/>
              </w:rPr>
              <w:t>动作</w:t>
            </w:r>
          </w:p>
        </w:tc>
        <w:tc>
          <w:tcPr>
            <w:tcW w:type="dxa" w:w="1701"/>
            <w:shd w:fill="17365D"/>
            <w:vAlign w:val="center"/>
          </w:tcPr>
          <w:p>
            <w:r>
              <w:rPr>
                <w:b/>
                <w:color w:val="FFFFFF"/>
                <w:sz w:val="17"/>
              </w:rPr>
              <w:t>Owner</w:t>
            </w:r>
          </w:p>
        </w:tc>
        <w:tc>
          <w:tcPr>
            <w:tcW w:type="dxa" w:w="2268"/>
            <w:shd w:fill="17365D"/>
            <w:vAlign w:val="center"/>
          </w:tcPr>
          <w:p>
            <w:r>
              <w:rPr>
                <w:b/>
                <w:color w:val="FFFFFF"/>
                <w:sz w:val="17"/>
              </w:rPr>
              <w:t>主管关注</w:t>
            </w:r>
          </w:p>
        </w:tc>
      </w:tr>
      <w:tr>
        <w:tc>
          <w:tcPr>
            <w:tcW w:type="dxa" w:w="1531"/>
            <w:vAlign w:val="center"/>
          </w:tcPr>
          <w:p>
            <w:pPr>
              <w:spacing w:after="20" w:line="252" w:lineRule="auto"/>
            </w:pPr>
            <w:r>
              <w:rPr>
                <w:rFonts w:ascii="Microsoft YaHei" w:hAnsi="Microsoft YaHei"/>
                <w:sz w:val="17"/>
              </w:rPr>
              <w:t>到期前7天</w:t>
            </w:r>
          </w:p>
        </w:tc>
        <w:tc>
          <w:tcPr>
            <w:tcW w:type="dxa" w:w="3402"/>
            <w:vAlign w:val="center"/>
          </w:tcPr>
          <w:p>
            <w:pPr>
              <w:spacing w:after="20" w:line="252" w:lineRule="auto"/>
            </w:pPr>
            <w:r>
              <w:rPr>
                <w:rFonts w:ascii="Microsoft YaHei" w:hAnsi="Microsoft YaHei"/>
                <w:sz w:val="17"/>
              </w:rPr>
              <w:t>发送提醒并确认发票、验收和付款资料</w:t>
            </w:r>
          </w:p>
        </w:tc>
        <w:tc>
          <w:tcPr>
            <w:tcW w:type="dxa" w:w="1701"/>
            <w:vAlign w:val="center"/>
          </w:tcPr>
          <w:p>
            <w:pPr>
              <w:spacing w:after="20" w:line="252" w:lineRule="auto"/>
            </w:pPr>
            <w:r>
              <w:rPr>
                <w:rFonts w:ascii="Microsoft YaHei" w:hAnsi="Microsoft YaHei"/>
                <w:sz w:val="17"/>
              </w:rPr>
              <w:t>销售/AR</w:t>
            </w:r>
          </w:p>
        </w:tc>
        <w:tc>
          <w:tcPr>
            <w:tcW w:type="dxa" w:w="2268"/>
            <w:vAlign w:val="center"/>
          </w:tcPr>
          <w:p>
            <w:pPr>
              <w:spacing w:after="20" w:line="252" w:lineRule="auto"/>
            </w:pPr>
            <w:r>
              <w:rPr>
                <w:rFonts w:ascii="Microsoft YaHei" w:hAnsi="Microsoft YaHei"/>
                <w:sz w:val="17"/>
              </w:rPr>
              <w:t>是否存在流程障碍</w:t>
            </w:r>
          </w:p>
        </w:tc>
      </w:tr>
      <w:tr>
        <w:tc>
          <w:tcPr>
            <w:tcW w:type="dxa" w:w="1531"/>
            <w:vAlign w:val="center"/>
            <w:shd w:fill="F4F7FA"/>
          </w:tcPr>
          <w:p>
            <w:pPr>
              <w:spacing w:after="20" w:line="252" w:lineRule="auto"/>
            </w:pPr>
            <w:r>
              <w:rPr>
                <w:rFonts w:ascii="Microsoft YaHei" w:hAnsi="Microsoft YaHei"/>
                <w:sz w:val="17"/>
              </w:rPr>
              <w:t>逾期1至30天</w:t>
            </w:r>
          </w:p>
        </w:tc>
        <w:tc>
          <w:tcPr>
            <w:tcW w:type="dxa" w:w="3402"/>
            <w:vAlign w:val="center"/>
            <w:shd w:fill="F4F7FA"/>
          </w:tcPr>
          <w:p>
            <w:pPr>
              <w:spacing w:after="20" w:line="252" w:lineRule="auto"/>
            </w:pPr>
            <w:r>
              <w:rPr>
                <w:rFonts w:ascii="Microsoft YaHei" w:hAnsi="Microsoft YaHei"/>
                <w:sz w:val="17"/>
              </w:rPr>
              <w:t>电话和邮件确认付款日</w:t>
            </w:r>
          </w:p>
        </w:tc>
        <w:tc>
          <w:tcPr>
            <w:tcW w:type="dxa" w:w="1701"/>
            <w:vAlign w:val="center"/>
            <w:shd w:fill="F4F7FA"/>
          </w:tcPr>
          <w:p>
            <w:pPr>
              <w:spacing w:after="20" w:line="252" w:lineRule="auto"/>
            </w:pPr>
            <w:r>
              <w:rPr>
                <w:rFonts w:ascii="Microsoft YaHei" w:hAnsi="Microsoft YaHei"/>
                <w:sz w:val="17"/>
              </w:rPr>
              <w:t>销售</w:t>
            </w:r>
          </w:p>
        </w:tc>
        <w:tc>
          <w:tcPr>
            <w:tcW w:type="dxa" w:w="2268"/>
            <w:vAlign w:val="center"/>
            <w:shd w:fill="F4F7FA"/>
          </w:tcPr>
          <w:p>
            <w:pPr>
              <w:spacing w:after="20" w:line="252" w:lineRule="auto"/>
            </w:pPr>
            <w:r>
              <w:rPr>
                <w:rFonts w:ascii="Microsoft YaHei" w:hAnsi="Microsoft YaHei"/>
                <w:sz w:val="17"/>
              </w:rPr>
              <w:t>承诺是否具体</w:t>
            </w:r>
          </w:p>
        </w:tc>
      </w:tr>
      <w:tr>
        <w:tc>
          <w:tcPr>
            <w:tcW w:type="dxa" w:w="1531"/>
            <w:vAlign w:val="center"/>
          </w:tcPr>
          <w:p>
            <w:pPr>
              <w:spacing w:after="20" w:line="252" w:lineRule="auto"/>
            </w:pPr>
            <w:r>
              <w:rPr>
                <w:rFonts w:ascii="Microsoft YaHei" w:hAnsi="Microsoft YaHei"/>
                <w:sz w:val="17"/>
              </w:rPr>
              <w:t>逾期31至90天</w:t>
            </w:r>
          </w:p>
        </w:tc>
        <w:tc>
          <w:tcPr>
            <w:tcW w:type="dxa" w:w="3402"/>
            <w:vAlign w:val="center"/>
          </w:tcPr>
          <w:p>
            <w:pPr>
              <w:spacing w:after="20" w:line="252" w:lineRule="auto"/>
            </w:pPr>
            <w:r>
              <w:rPr>
                <w:rFonts w:ascii="Microsoft YaHei" w:hAnsi="Microsoft YaHei"/>
                <w:sz w:val="17"/>
              </w:rPr>
              <w:t>书面催款、限制新增额度</w:t>
            </w:r>
          </w:p>
        </w:tc>
        <w:tc>
          <w:tcPr>
            <w:tcW w:type="dxa" w:w="1701"/>
            <w:vAlign w:val="center"/>
          </w:tcPr>
          <w:p>
            <w:pPr>
              <w:spacing w:after="20" w:line="252" w:lineRule="auto"/>
            </w:pPr>
            <w:r>
              <w:rPr>
                <w:rFonts w:ascii="Microsoft YaHei" w:hAnsi="Microsoft YaHei"/>
                <w:sz w:val="17"/>
              </w:rPr>
              <w:t>销售负责人</w:t>
            </w:r>
          </w:p>
        </w:tc>
        <w:tc>
          <w:tcPr>
            <w:tcW w:type="dxa" w:w="2268"/>
            <w:vAlign w:val="center"/>
          </w:tcPr>
          <w:p>
            <w:pPr>
              <w:spacing w:after="20" w:line="252" w:lineRule="auto"/>
            </w:pPr>
            <w:r>
              <w:rPr>
                <w:rFonts w:ascii="Microsoft YaHei" w:hAnsi="Microsoft YaHei"/>
                <w:sz w:val="17"/>
              </w:rPr>
              <w:t>是否重复失约</w:t>
            </w:r>
          </w:p>
        </w:tc>
      </w:tr>
      <w:tr>
        <w:tc>
          <w:tcPr>
            <w:tcW w:type="dxa" w:w="1531"/>
            <w:vAlign w:val="center"/>
            <w:shd w:fill="F4F7FA"/>
          </w:tcPr>
          <w:p>
            <w:pPr>
              <w:spacing w:after="20" w:line="252" w:lineRule="auto"/>
            </w:pPr>
            <w:r>
              <w:rPr>
                <w:rFonts w:ascii="Microsoft YaHei" w:hAnsi="Microsoft YaHei"/>
                <w:sz w:val="17"/>
              </w:rPr>
              <w:t>逾期91至180天</w:t>
            </w:r>
          </w:p>
        </w:tc>
        <w:tc>
          <w:tcPr>
            <w:tcW w:type="dxa" w:w="3402"/>
            <w:vAlign w:val="center"/>
            <w:shd w:fill="F4F7FA"/>
          </w:tcPr>
          <w:p>
            <w:pPr>
              <w:spacing w:after="20" w:line="252" w:lineRule="auto"/>
            </w:pPr>
            <w:r>
              <w:rPr>
                <w:rFonts w:ascii="Microsoft YaHei" w:hAnsi="Microsoft YaHei"/>
                <w:sz w:val="17"/>
              </w:rPr>
              <w:t>冻结发货、专项会议、法务评估</w:t>
            </w:r>
          </w:p>
        </w:tc>
        <w:tc>
          <w:tcPr>
            <w:tcW w:type="dxa" w:w="1701"/>
            <w:vAlign w:val="center"/>
            <w:shd w:fill="F4F7FA"/>
          </w:tcPr>
          <w:p>
            <w:pPr>
              <w:spacing w:after="20" w:line="252" w:lineRule="auto"/>
            </w:pPr>
            <w:r>
              <w:rPr>
                <w:rFonts w:ascii="Microsoft YaHei" w:hAnsi="Microsoft YaHei"/>
                <w:sz w:val="17"/>
              </w:rPr>
              <w:t>销售总监/法务</w:t>
            </w:r>
          </w:p>
        </w:tc>
        <w:tc>
          <w:tcPr>
            <w:tcW w:type="dxa" w:w="2268"/>
            <w:vAlign w:val="center"/>
            <w:shd w:fill="F4F7FA"/>
          </w:tcPr>
          <w:p>
            <w:pPr>
              <w:spacing w:after="20" w:line="252" w:lineRule="auto"/>
            </w:pPr>
            <w:r>
              <w:rPr>
                <w:rFonts w:ascii="Microsoft YaHei" w:hAnsi="Microsoft YaHei"/>
                <w:sz w:val="17"/>
              </w:rPr>
              <w:t>减值和诉讼时效</w:t>
            </w:r>
          </w:p>
        </w:tc>
      </w:tr>
      <w:tr>
        <w:tc>
          <w:tcPr>
            <w:tcW w:type="dxa" w:w="1531"/>
            <w:vAlign w:val="center"/>
          </w:tcPr>
          <w:p>
            <w:pPr>
              <w:spacing w:after="20" w:line="252" w:lineRule="auto"/>
            </w:pPr>
            <w:r>
              <w:rPr>
                <w:rFonts w:ascii="Microsoft YaHei" w:hAnsi="Microsoft YaHei"/>
                <w:sz w:val="17"/>
              </w:rPr>
              <w:t>超过180天</w:t>
            </w:r>
          </w:p>
        </w:tc>
        <w:tc>
          <w:tcPr>
            <w:tcW w:type="dxa" w:w="3402"/>
            <w:vAlign w:val="center"/>
          </w:tcPr>
          <w:p>
            <w:pPr>
              <w:spacing w:after="20" w:line="252" w:lineRule="auto"/>
            </w:pPr>
            <w:r>
              <w:rPr>
                <w:rFonts w:ascii="Microsoft YaHei" w:hAnsi="Microsoft YaHei"/>
                <w:sz w:val="17"/>
              </w:rPr>
              <w:t>管理层决定诉讼、重组、担保或核销路径</w:t>
            </w:r>
          </w:p>
        </w:tc>
        <w:tc>
          <w:tcPr>
            <w:tcW w:type="dxa" w:w="1701"/>
            <w:vAlign w:val="center"/>
          </w:tcPr>
          <w:p>
            <w:pPr>
              <w:spacing w:after="20" w:line="252" w:lineRule="auto"/>
            </w:pPr>
            <w:r>
              <w:rPr>
                <w:rFonts w:ascii="Microsoft YaHei" w:hAnsi="Microsoft YaHei"/>
                <w:sz w:val="17"/>
              </w:rPr>
              <w:t>财务经理/法务</w:t>
            </w:r>
          </w:p>
        </w:tc>
        <w:tc>
          <w:tcPr>
            <w:tcW w:type="dxa" w:w="2268"/>
            <w:vAlign w:val="center"/>
          </w:tcPr>
          <w:p>
            <w:pPr>
              <w:spacing w:after="20" w:line="252" w:lineRule="auto"/>
            </w:pPr>
            <w:r>
              <w:rPr>
                <w:rFonts w:ascii="Microsoft YaHei" w:hAnsi="Microsoft YaHei"/>
                <w:sz w:val="17"/>
              </w:rPr>
              <w:t>个别ECL和责任追究</w:t>
            </w:r>
          </w:p>
        </w:tc>
      </w:tr>
    </w:tbl>
    <w:p>
      <w:pPr>
        <w:spacing w:after="40"/>
      </w:pPr>
    </w:p>
    <w:p>
      <w:pPr>
        <w:pStyle w:val="Heading2"/>
        <w:keepNext/>
      </w:pPr>
      <w:r>
        <w:t>6.2 空泛催收记录为什么没有管理价值</w:t>
      </w:r>
    </w:p>
    <w:p>
      <w:pPr>
        <w:spacing w:after="100" w:line="300" w:lineRule="auto"/>
      </w:pPr>
      <w:r>
        <w:t>“客户正在走流程”不能支持回款预测，也不能证明催收有效。合格记录至少包括客户联系人、付款审批节点、尚缺资料、承诺金额、承诺日期、下次行动、销售Owner和证据路径。</w:t>
      </w:r>
    </w:p>
    <w:p>
      <w:pPr>
        <w:pStyle w:val="Heading2"/>
        <w:keepNext/>
      </w:pPr>
      <w:r>
        <w:t>6.3 争议款分类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2479"/>
        <w:gridCol w:w="2479"/>
        <w:gridCol w:w="2479"/>
      </w:tblGrid>
      <w:tr>
        <w:trPr>
          <w:tblHeader w:val="true"/>
        </w:trPr>
        <w:tc>
          <w:tcPr>
            <w:tcW w:type="dxa" w:w="1304"/>
            <w:shd w:fill="17365D"/>
            <w:vAlign w:val="center"/>
          </w:tcPr>
          <w:p>
            <w:r>
              <w:rPr>
                <w:b/>
                <w:color w:val="FFFFFF"/>
                <w:sz w:val="16"/>
              </w:rPr>
              <w:t>争议类型</w:t>
            </w:r>
          </w:p>
        </w:tc>
        <w:tc>
          <w:tcPr>
            <w:tcW w:type="dxa" w:w="1361"/>
            <w:shd w:fill="17365D"/>
            <w:vAlign w:val="center"/>
          </w:tcPr>
          <w:p>
            <w:r>
              <w:rPr>
                <w:b/>
                <w:color w:val="FFFFFF"/>
                <w:sz w:val="16"/>
              </w:rPr>
              <w:t>先找谁</w:t>
            </w:r>
          </w:p>
        </w:tc>
        <w:tc>
          <w:tcPr>
            <w:tcW w:type="dxa" w:w="3061"/>
            <w:shd w:fill="17365D"/>
            <w:vAlign w:val="center"/>
          </w:tcPr>
          <w:p>
            <w:r>
              <w:rPr>
                <w:b/>
                <w:color w:val="FFFFFF"/>
                <w:sz w:val="16"/>
              </w:rPr>
              <w:t>关键证据</w:t>
            </w:r>
          </w:p>
        </w:tc>
        <w:tc>
          <w:tcPr>
            <w:tcW w:type="dxa" w:w="3175"/>
            <w:shd w:fill="17365D"/>
            <w:vAlign w:val="center"/>
          </w:tcPr>
          <w:p>
            <w:r>
              <w:rPr>
                <w:b/>
                <w:color w:val="FFFFFF"/>
                <w:sz w:val="16"/>
              </w:rPr>
              <w:t>可能处理</w:t>
            </w:r>
          </w:p>
        </w:tc>
      </w:tr>
      <w:tr>
        <w:tc>
          <w:tcPr>
            <w:tcW w:type="dxa" w:w="1304"/>
            <w:vAlign w:val="center"/>
          </w:tcPr>
          <w:p>
            <w:pPr>
              <w:spacing w:after="20" w:line="252" w:lineRule="auto"/>
            </w:pPr>
            <w:r>
              <w:rPr>
                <w:rFonts w:ascii="Microsoft YaHei" w:hAnsi="Microsoft YaHei"/>
                <w:sz w:val="16"/>
              </w:rPr>
              <w:t>未验收</w:t>
            </w:r>
          </w:p>
        </w:tc>
        <w:tc>
          <w:tcPr>
            <w:tcW w:type="dxa" w:w="1361"/>
            <w:vAlign w:val="center"/>
          </w:tcPr>
          <w:p>
            <w:pPr>
              <w:spacing w:after="20" w:line="252" w:lineRule="auto"/>
            </w:pPr>
            <w:r>
              <w:rPr>
                <w:rFonts w:ascii="Microsoft YaHei" w:hAnsi="Microsoft YaHei"/>
                <w:sz w:val="16"/>
              </w:rPr>
              <w:t>项目/客户</w:t>
            </w:r>
          </w:p>
        </w:tc>
        <w:tc>
          <w:tcPr>
            <w:tcW w:type="dxa" w:w="3061"/>
            <w:vAlign w:val="center"/>
          </w:tcPr>
          <w:p>
            <w:pPr>
              <w:spacing w:after="20" w:line="252" w:lineRule="auto"/>
            </w:pPr>
            <w:r>
              <w:rPr>
                <w:rFonts w:ascii="Microsoft YaHei" w:hAnsi="Microsoft YaHei"/>
                <w:sz w:val="16"/>
              </w:rPr>
              <w:t>合同条件、验收单、异议</w:t>
            </w:r>
          </w:p>
        </w:tc>
        <w:tc>
          <w:tcPr>
            <w:tcW w:type="dxa" w:w="3175"/>
            <w:vAlign w:val="center"/>
          </w:tcPr>
          <w:p>
            <w:pPr>
              <w:spacing w:after="20" w:line="252" w:lineRule="auto"/>
            </w:pPr>
            <w:r>
              <w:rPr>
                <w:rFonts w:ascii="Microsoft YaHei" w:hAnsi="Microsoft YaHei"/>
                <w:sz w:val="16"/>
              </w:rPr>
              <w:t>继续履约、补验收或重评收入</w:t>
            </w:r>
          </w:p>
        </w:tc>
      </w:tr>
      <w:tr>
        <w:tc>
          <w:tcPr>
            <w:tcW w:type="dxa" w:w="1304"/>
            <w:vAlign w:val="center"/>
            <w:shd w:fill="F4F7FA"/>
          </w:tcPr>
          <w:p>
            <w:pPr>
              <w:spacing w:after="20" w:line="252" w:lineRule="auto"/>
            </w:pPr>
            <w:r>
              <w:rPr>
                <w:rFonts w:ascii="Microsoft YaHei" w:hAnsi="Microsoft YaHei"/>
                <w:sz w:val="16"/>
              </w:rPr>
              <w:t>质量问题</w:t>
            </w:r>
          </w:p>
        </w:tc>
        <w:tc>
          <w:tcPr>
            <w:tcW w:type="dxa" w:w="1361"/>
            <w:vAlign w:val="center"/>
            <w:shd w:fill="F4F7FA"/>
          </w:tcPr>
          <w:p>
            <w:pPr>
              <w:spacing w:after="20" w:line="252" w:lineRule="auto"/>
            </w:pPr>
            <w:r>
              <w:rPr>
                <w:rFonts w:ascii="Microsoft YaHei" w:hAnsi="Microsoft YaHei"/>
                <w:sz w:val="16"/>
              </w:rPr>
              <w:t>质量/售后</w:t>
            </w:r>
          </w:p>
        </w:tc>
        <w:tc>
          <w:tcPr>
            <w:tcW w:type="dxa" w:w="3061"/>
            <w:vAlign w:val="center"/>
            <w:shd w:fill="F4F7FA"/>
          </w:tcPr>
          <w:p>
            <w:pPr>
              <w:spacing w:after="20" w:line="252" w:lineRule="auto"/>
            </w:pPr>
            <w:r>
              <w:rPr>
                <w:rFonts w:ascii="Microsoft YaHei" w:hAnsi="Microsoft YaHei"/>
                <w:sz w:val="16"/>
              </w:rPr>
              <w:t>检测、退换货、索赔</w:t>
            </w:r>
          </w:p>
        </w:tc>
        <w:tc>
          <w:tcPr>
            <w:tcW w:type="dxa" w:w="3175"/>
            <w:vAlign w:val="center"/>
            <w:shd w:fill="F4F7FA"/>
          </w:tcPr>
          <w:p>
            <w:pPr>
              <w:spacing w:after="20" w:line="252" w:lineRule="auto"/>
            </w:pPr>
            <w:r>
              <w:rPr>
                <w:rFonts w:ascii="Microsoft YaHei" w:hAnsi="Microsoft YaHei"/>
                <w:sz w:val="16"/>
              </w:rPr>
              <w:t>维修、折让、退货或抗辩</w:t>
            </w:r>
          </w:p>
        </w:tc>
      </w:tr>
      <w:tr>
        <w:tc>
          <w:tcPr>
            <w:tcW w:type="dxa" w:w="1304"/>
            <w:vAlign w:val="center"/>
          </w:tcPr>
          <w:p>
            <w:pPr>
              <w:spacing w:after="20" w:line="252" w:lineRule="auto"/>
            </w:pPr>
            <w:r>
              <w:rPr>
                <w:rFonts w:ascii="Microsoft YaHei" w:hAnsi="Microsoft YaHei"/>
                <w:sz w:val="16"/>
              </w:rPr>
              <w:t>价格差异</w:t>
            </w:r>
          </w:p>
        </w:tc>
        <w:tc>
          <w:tcPr>
            <w:tcW w:type="dxa" w:w="1361"/>
            <w:vAlign w:val="center"/>
          </w:tcPr>
          <w:p>
            <w:pPr>
              <w:spacing w:after="20" w:line="252" w:lineRule="auto"/>
            </w:pPr>
            <w:r>
              <w:rPr>
                <w:rFonts w:ascii="Microsoft YaHei" w:hAnsi="Microsoft YaHei"/>
                <w:sz w:val="16"/>
              </w:rPr>
              <w:t>销售</w:t>
            </w:r>
          </w:p>
        </w:tc>
        <w:tc>
          <w:tcPr>
            <w:tcW w:type="dxa" w:w="3061"/>
            <w:vAlign w:val="center"/>
          </w:tcPr>
          <w:p>
            <w:pPr>
              <w:spacing w:after="20" w:line="252" w:lineRule="auto"/>
            </w:pPr>
            <w:r>
              <w:rPr>
                <w:rFonts w:ascii="Microsoft YaHei" w:hAnsi="Microsoft YaHei"/>
                <w:sz w:val="16"/>
              </w:rPr>
              <w:t>报价、合同、变更</w:t>
            </w:r>
          </w:p>
        </w:tc>
        <w:tc>
          <w:tcPr>
            <w:tcW w:type="dxa" w:w="3175"/>
            <w:vAlign w:val="center"/>
          </w:tcPr>
          <w:p>
            <w:pPr>
              <w:spacing w:after="20" w:line="252" w:lineRule="auto"/>
            </w:pPr>
            <w:r>
              <w:rPr>
                <w:rFonts w:ascii="Microsoft YaHei" w:hAnsi="Microsoft YaHei"/>
                <w:sz w:val="16"/>
              </w:rPr>
              <w:t>补充协议或纠错</w:t>
            </w:r>
          </w:p>
        </w:tc>
      </w:tr>
      <w:tr>
        <w:tc>
          <w:tcPr>
            <w:tcW w:type="dxa" w:w="1304"/>
            <w:vAlign w:val="center"/>
            <w:shd w:fill="F4F7FA"/>
          </w:tcPr>
          <w:p>
            <w:pPr>
              <w:spacing w:after="20" w:line="252" w:lineRule="auto"/>
            </w:pPr>
            <w:r>
              <w:rPr>
                <w:rFonts w:ascii="Microsoft YaHei" w:hAnsi="Microsoft YaHei"/>
                <w:sz w:val="16"/>
              </w:rPr>
              <w:t>发票问题</w:t>
            </w:r>
          </w:p>
        </w:tc>
        <w:tc>
          <w:tcPr>
            <w:tcW w:type="dxa" w:w="1361"/>
            <w:vAlign w:val="center"/>
            <w:shd w:fill="F4F7FA"/>
          </w:tcPr>
          <w:p>
            <w:pPr>
              <w:spacing w:after="20" w:line="252" w:lineRule="auto"/>
            </w:pPr>
            <w:r>
              <w:rPr>
                <w:rFonts w:ascii="Microsoft YaHei" w:hAnsi="Microsoft YaHei"/>
                <w:sz w:val="16"/>
              </w:rPr>
              <w:t>税务/AR</w:t>
            </w:r>
          </w:p>
        </w:tc>
        <w:tc>
          <w:tcPr>
            <w:tcW w:type="dxa" w:w="3061"/>
            <w:vAlign w:val="center"/>
            <w:shd w:fill="F4F7FA"/>
          </w:tcPr>
          <w:p>
            <w:pPr>
              <w:spacing w:after="20" w:line="252" w:lineRule="auto"/>
            </w:pPr>
            <w:r>
              <w:rPr>
                <w:rFonts w:ascii="Microsoft YaHei" w:hAnsi="Microsoft YaHei"/>
                <w:sz w:val="16"/>
              </w:rPr>
              <w:t>开票申请和客户要求</w:t>
            </w:r>
          </w:p>
        </w:tc>
        <w:tc>
          <w:tcPr>
            <w:tcW w:type="dxa" w:w="3175"/>
            <w:vAlign w:val="center"/>
            <w:shd w:fill="F4F7FA"/>
          </w:tcPr>
          <w:p>
            <w:pPr>
              <w:spacing w:after="20" w:line="252" w:lineRule="auto"/>
            </w:pPr>
            <w:r>
              <w:rPr>
                <w:rFonts w:ascii="Microsoft YaHei" w:hAnsi="Microsoft YaHei"/>
                <w:sz w:val="16"/>
              </w:rPr>
              <w:t>红冲重开或解释</w:t>
            </w:r>
          </w:p>
        </w:tc>
      </w:tr>
      <w:tr>
        <w:tc>
          <w:tcPr>
            <w:tcW w:type="dxa" w:w="1304"/>
            <w:vAlign w:val="center"/>
          </w:tcPr>
          <w:p>
            <w:pPr>
              <w:spacing w:after="20" w:line="252" w:lineRule="auto"/>
            </w:pPr>
            <w:r>
              <w:rPr>
                <w:rFonts w:ascii="Microsoft YaHei" w:hAnsi="Microsoft YaHei"/>
                <w:sz w:val="16"/>
              </w:rPr>
              <w:t>客户资金困难</w:t>
            </w:r>
          </w:p>
        </w:tc>
        <w:tc>
          <w:tcPr>
            <w:tcW w:type="dxa" w:w="1361"/>
            <w:vAlign w:val="center"/>
          </w:tcPr>
          <w:p>
            <w:pPr>
              <w:spacing w:after="20" w:line="252" w:lineRule="auto"/>
            </w:pPr>
            <w:r>
              <w:rPr>
                <w:rFonts w:ascii="Microsoft YaHei" w:hAnsi="Microsoft YaHei"/>
                <w:sz w:val="16"/>
              </w:rPr>
              <w:t>销售/法务</w:t>
            </w:r>
          </w:p>
        </w:tc>
        <w:tc>
          <w:tcPr>
            <w:tcW w:type="dxa" w:w="3061"/>
            <w:vAlign w:val="center"/>
          </w:tcPr>
          <w:p>
            <w:pPr>
              <w:spacing w:after="20" w:line="252" w:lineRule="auto"/>
            </w:pPr>
            <w:r>
              <w:rPr>
                <w:rFonts w:ascii="Microsoft YaHei" w:hAnsi="Microsoft YaHei"/>
                <w:sz w:val="16"/>
              </w:rPr>
              <w:t>财务状况、付款计划</w:t>
            </w:r>
          </w:p>
        </w:tc>
        <w:tc>
          <w:tcPr>
            <w:tcW w:type="dxa" w:w="3175"/>
            <w:vAlign w:val="center"/>
          </w:tcPr>
          <w:p>
            <w:pPr>
              <w:spacing w:after="20" w:line="252" w:lineRule="auto"/>
            </w:pPr>
            <w:r>
              <w:rPr>
                <w:rFonts w:ascii="Microsoft YaHei" w:hAnsi="Microsoft YaHei"/>
                <w:sz w:val="16"/>
              </w:rPr>
              <w:t>担保、分期、诉讼和ECL</w:t>
            </w:r>
          </w:p>
        </w:tc>
      </w:tr>
      <w:tr>
        <w:tc>
          <w:tcPr>
            <w:tcW w:type="dxa" w:w="1304"/>
            <w:vAlign w:val="center"/>
            <w:shd w:fill="F4F7FA"/>
          </w:tcPr>
          <w:p>
            <w:pPr>
              <w:spacing w:after="20" w:line="252" w:lineRule="auto"/>
            </w:pPr>
            <w:r>
              <w:rPr>
                <w:rFonts w:ascii="Microsoft YaHei" w:hAnsi="Microsoft YaHei"/>
                <w:sz w:val="16"/>
              </w:rPr>
              <w:t>无依据拖延</w:t>
            </w:r>
          </w:p>
        </w:tc>
        <w:tc>
          <w:tcPr>
            <w:tcW w:type="dxa" w:w="1361"/>
            <w:vAlign w:val="center"/>
            <w:shd w:fill="F4F7FA"/>
          </w:tcPr>
          <w:p>
            <w:pPr>
              <w:spacing w:after="20" w:line="252" w:lineRule="auto"/>
            </w:pPr>
            <w:r>
              <w:rPr>
                <w:rFonts w:ascii="Microsoft YaHei" w:hAnsi="Microsoft YaHei"/>
                <w:sz w:val="16"/>
              </w:rPr>
              <w:t>销售/法务</w:t>
            </w:r>
          </w:p>
        </w:tc>
        <w:tc>
          <w:tcPr>
            <w:tcW w:type="dxa" w:w="3061"/>
            <w:vAlign w:val="center"/>
            <w:shd w:fill="F4F7FA"/>
          </w:tcPr>
          <w:p>
            <w:pPr>
              <w:spacing w:after="20" w:line="252" w:lineRule="auto"/>
            </w:pPr>
            <w:r>
              <w:rPr>
                <w:rFonts w:ascii="Microsoft YaHei" w:hAnsi="Microsoft YaHei"/>
                <w:sz w:val="16"/>
              </w:rPr>
              <w:t>履约证据和催款</w:t>
            </w:r>
          </w:p>
        </w:tc>
        <w:tc>
          <w:tcPr>
            <w:tcW w:type="dxa" w:w="3175"/>
            <w:vAlign w:val="center"/>
            <w:shd w:fill="F4F7FA"/>
          </w:tcPr>
          <w:p>
            <w:pPr>
              <w:spacing w:after="20" w:line="252" w:lineRule="auto"/>
            </w:pPr>
            <w:r>
              <w:rPr>
                <w:rFonts w:ascii="Microsoft YaHei" w:hAnsi="Microsoft YaHei"/>
                <w:sz w:val="16"/>
              </w:rPr>
              <w:t>停止供货并法律追索</w:t>
            </w:r>
          </w:p>
        </w:tc>
      </w:tr>
    </w:tbl>
    <w:p>
      <w:pPr>
        <w:spacing w:after="40"/>
      </w:pPr>
    </w:p>
    <w:p>
      <w:pPr>
        <w:pStyle w:val="Heading1"/>
        <w:keepNext/>
      </w:pPr>
      <w:r>
        <w:t>第七章 回款认领 核销和对账</w:t>
      </w:r>
    </w:p>
    <w:p>
      <w:pPr>
        <w:pStyle w:val="Heading2"/>
        <w:keepNext/>
      </w:pPr>
      <w:r>
        <w:t>7.1 收到钱不等于应收已经关闭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680"/>
            <w:shd w:fill="17365D"/>
            <w:vAlign w:val="center"/>
          </w:tcPr>
          <w:p>
            <w:r>
              <w:rPr>
                <w:b/>
                <w:color w:val="FFFFFF"/>
                <w:sz w:val="17"/>
              </w:rPr>
              <w:t>节点</w:t>
            </w:r>
          </w:p>
        </w:tc>
        <w:tc>
          <w:tcPr>
            <w:tcW w:type="dxa" w:w="6917"/>
            <w:shd w:fill="17365D"/>
            <w:vAlign w:val="center"/>
          </w:tcPr>
          <w:p>
            <w:r>
              <w:rPr>
                <w:b/>
                <w:color w:val="FFFFFF"/>
                <w:sz w:val="17"/>
              </w:rPr>
              <w:t>动作</w:t>
            </w:r>
          </w:p>
        </w:tc>
        <w:tc>
          <w:tcPr>
            <w:tcW w:type="dxa" w:w="1247"/>
            <w:shd w:fill="17365D"/>
            <w:vAlign w:val="center"/>
          </w:tcPr>
          <w:p>
            <w:r>
              <w:rPr>
                <w:b/>
                <w:color w:val="FFFFFF"/>
                <w:sz w:val="17"/>
              </w:rPr>
              <w:t>管理结果</w:t>
            </w:r>
          </w:p>
        </w:tc>
      </w:tr>
      <w:tr>
        <w:tc>
          <w:tcPr>
            <w:tcW w:type="dxa" w:w="680"/>
            <w:vAlign w:val="center"/>
          </w:tcPr>
          <w:p>
            <w:pPr>
              <w:spacing w:after="20" w:line="252" w:lineRule="auto"/>
            </w:pPr>
            <w:r>
              <w:rPr>
                <w:rFonts w:ascii="Microsoft YaHei" w:hAnsi="Microsoft YaHei"/>
                <w:sz w:val="17"/>
              </w:rPr>
              <w:t>1</w:t>
            </w:r>
          </w:p>
        </w:tc>
        <w:tc>
          <w:tcPr>
            <w:tcW w:type="dxa" w:w="6917"/>
            <w:vAlign w:val="center"/>
          </w:tcPr>
          <w:p>
            <w:pPr>
              <w:spacing w:after="20" w:line="252" w:lineRule="auto"/>
            </w:pPr>
            <w:r>
              <w:rPr>
                <w:rFonts w:ascii="Microsoft YaHei" w:hAnsi="Microsoft YaHei"/>
                <w:sz w:val="17"/>
              </w:rPr>
              <w:t>银行确认到账</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2</w:t>
            </w:r>
          </w:p>
        </w:tc>
        <w:tc>
          <w:tcPr>
            <w:tcW w:type="dxa" w:w="6917"/>
            <w:vAlign w:val="center"/>
            <w:shd w:fill="F4F7FA"/>
          </w:tcPr>
          <w:p>
            <w:pPr>
              <w:spacing w:after="20" w:line="252" w:lineRule="auto"/>
            </w:pPr>
            <w:r>
              <w:rPr>
                <w:rFonts w:ascii="Microsoft YaHei" w:hAnsi="Microsoft YaHei"/>
                <w:sz w:val="17"/>
              </w:rPr>
              <w:t>提取付款户名 金额 日期 摘要</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3</w:t>
            </w:r>
          </w:p>
        </w:tc>
        <w:tc>
          <w:tcPr>
            <w:tcW w:type="dxa" w:w="6917"/>
            <w:vAlign w:val="center"/>
          </w:tcPr>
          <w:p>
            <w:pPr>
              <w:spacing w:after="20" w:line="252" w:lineRule="auto"/>
            </w:pPr>
            <w:r>
              <w:rPr>
                <w:rFonts w:ascii="Microsoft YaHei" w:hAnsi="Microsoft YaHei"/>
                <w:sz w:val="17"/>
              </w:rPr>
              <w:t>匹配客户主数据</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4</w:t>
            </w:r>
          </w:p>
        </w:tc>
        <w:tc>
          <w:tcPr>
            <w:tcW w:type="dxa" w:w="6917"/>
            <w:vAlign w:val="center"/>
            <w:shd w:fill="F4F7FA"/>
          </w:tcPr>
          <w:p>
            <w:pPr>
              <w:spacing w:after="20" w:line="252" w:lineRule="auto"/>
            </w:pPr>
            <w:r>
              <w:rPr>
                <w:rFonts w:ascii="Microsoft YaHei" w:hAnsi="Microsoft YaHei"/>
                <w:sz w:val="17"/>
              </w:rPr>
              <w:t>匹配发票和应收未清项</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5</w:t>
            </w:r>
          </w:p>
        </w:tc>
        <w:tc>
          <w:tcPr>
            <w:tcW w:type="dxa" w:w="6917"/>
            <w:vAlign w:val="center"/>
          </w:tcPr>
          <w:p>
            <w:pPr>
              <w:spacing w:after="20" w:line="252" w:lineRule="auto"/>
            </w:pPr>
            <w:r>
              <w:rPr>
                <w:rFonts w:ascii="Microsoft YaHei" w:hAnsi="Microsoft YaHei"/>
                <w:sz w:val="17"/>
              </w:rPr>
              <w:t>识别一对多 多对一和第三方付款</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6</w:t>
            </w:r>
          </w:p>
        </w:tc>
        <w:tc>
          <w:tcPr>
            <w:tcW w:type="dxa" w:w="6917"/>
            <w:vAlign w:val="center"/>
            <w:shd w:fill="F4F7FA"/>
          </w:tcPr>
          <w:p>
            <w:pPr>
              <w:spacing w:after="20" w:line="252" w:lineRule="auto"/>
            </w:pPr>
            <w:r>
              <w:rPr>
                <w:rFonts w:ascii="Microsoft YaHei" w:hAnsi="Microsoft YaHei"/>
                <w:sz w:val="17"/>
              </w:rPr>
              <w:t>低置信度转销售或客户确认</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7</w:t>
            </w:r>
          </w:p>
        </w:tc>
        <w:tc>
          <w:tcPr>
            <w:tcW w:type="dxa" w:w="6917"/>
            <w:vAlign w:val="center"/>
          </w:tcPr>
          <w:p>
            <w:pPr>
              <w:spacing w:after="20" w:line="252" w:lineRule="auto"/>
            </w:pPr>
            <w:r>
              <w:rPr>
                <w:rFonts w:ascii="Microsoft YaHei" w:hAnsi="Microsoft YaHei"/>
                <w:sz w:val="17"/>
              </w:rPr>
              <w:t>AR执行核销</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8</w:t>
            </w:r>
          </w:p>
        </w:tc>
        <w:tc>
          <w:tcPr>
            <w:tcW w:type="dxa" w:w="6917"/>
            <w:vAlign w:val="center"/>
            <w:shd w:fill="F4F7FA"/>
          </w:tcPr>
          <w:p>
            <w:pPr>
              <w:spacing w:after="20" w:line="252" w:lineRule="auto"/>
            </w:pPr>
            <w:r>
              <w:rPr>
                <w:rFonts w:ascii="Microsoft YaHei" w:hAnsi="Microsoft YaHei"/>
                <w:sz w:val="17"/>
              </w:rPr>
              <w:t>主管复核重大和跨客户核销</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9</w:t>
            </w:r>
          </w:p>
        </w:tc>
        <w:tc>
          <w:tcPr>
            <w:tcW w:type="dxa" w:w="6917"/>
            <w:vAlign w:val="center"/>
          </w:tcPr>
          <w:p>
            <w:pPr>
              <w:spacing w:after="20" w:line="252" w:lineRule="auto"/>
            </w:pPr>
            <w:r>
              <w:rPr>
                <w:rFonts w:ascii="Microsoft YaHei" w:hAnsi="Microsoft YaHei"/>
                <w:sz w:val="17"/>
              </w:rPr>
              <w:t>未认领款列入月结Issue</w:t>
            </w:r>
          </w:p>
        </w:tc>
        <w:tc>
          <w:tcPr>
            <w:tcW w:type="dxa" w:w="1247"/>
            <w:vAlign w:val="center"/>
          </w:tcPr>
          <w:p>
            <w:pPr>
              <w:spacing w:after="20" w:line="252" w:lineRule="auto"/>
            </w:pPr>
            <w:r>
              <w:rPr>
                <w:rFonts w:ascii="Microsoft YaHei" w:hAnsi="Microsoft YaHei"/>
                <w:sz w:val="17"/>
              </w:rPr>
              <w:t>关闭</w:t>
            </w:r>
          </w:p>
        </w:tc>
      </w:tr>
    </w:tbl>
    <w:p>
      <w:pPr>
        <w:spacing w:after="40"/>
      </w:pPr>
    </w:p>
    <w:p>
      <w:pPr>
        <w:pStyle w:val="Heading2"/>
        <w:keepNext/>
      </w:pPr>
      <w:r>
        <w:t>7.2 不允许直接自动核销的场景</w:t>
      </w:r>
    </w:p>
    <w:p>
      <w:pPr>
        <w:pStyle w:val="ListBullet"/>
        <w:spacing w:after="40"/>
      </w:pPr>
      <w:r>
        <w:t>同金额存在多个客户或多个未清项目。</w:t>
      </w:r>
    </w:p>
    <w:p>
      <w:pPr>
        <w:pStyle w:val="ListBullet"/>
        <w:spacing w:after="40"/>
      </w:pPr>
      <w:r>
        <w:t>付款主体与合同客户不一致且没有可靠说明。</w:t>
      </w:r>
    </w:p>
    <w:p>
      <w:pPr>
        <w:pStyle w:val="ListBullet"/>
        <w:spacing w:after="40"/>
      </w:pPr>
      <w:r>
        <w:t>客户存在折扣、返利、退货、索赔或手续费扣减。</w:t>
      </w:r>
    </w:p>
    <w:p>
      <w:pPr>
        <w:pStyle w:val="ListBullet"/>
        <w:spacing w:after="40"/>
      </w:pPr>
      <w:r>
        <w:t>回款金额包含预付款和历史欠款。</w:t>
      </w:r>
    </w:p>
    <w:p>
      <w:pPr>
        <w:pStyle w:val="ListBullet"/>
        <w:spacing w:after="40"/>
      </w:pPr>
      <w:r>
        <w:t>销售或客户指定用途与系统建议不一致。</w:t>
      </w:r>
    </w:p>
    <w:p>
      <w:pPr>
        <w:pStyle w:val="Heading2"/>
        <w:keepNext/>
      </w:pPr>
      <w:r>
        <w:t>7.3 客户对账</w:t>
      </w:r>
    </w:p>
    <w:p>
      <w:pPr>
        <w:spacing w:after="100" w:line="300" w:lineRule="auto"/>
      </w:pPr>
      <w:r>
        <w:t>对账不是把财务账发给客户。应先内部核对订单、出库、验收、发票、回款和退款，再向客户确认余额及差异。重大客户不回函时，需要销售参与，并利用后续回款、门户记录、签收验收和往来邮件形成替代证据。</w:t>
      </w:r>
    </w:p>
    <w:p>
      <w:pPr>
        <w:pStyle w:val="Heading1"/>
        <w:keepNext/>
      </w:pPr>
      <w:r>
        <w:t>第八章 会计核算与预期信用损失</w:t>
      </w:r>
    </w:p>
    <w:p>
      <w:pPr>
        <w:pStyle w:val="Heading2"/>
        <w:keepNext/>
      </w:pPr>
      <w:r>
        <w:t>8.1 核算链条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587"/>
            <w:shd w:fill="17365D"/>
            <w:vAlign w:val="center"/>
          </w:tcPr>
          <w:p>
            <w:r>
              <w:rPr>
                <w:b/>
                <w:color w:val="FFFFFF"/>
                <w:sz w:val="17"/>
              </w:rPr>
              <w:t>节点</w:t>
            </w:r>
          </w:p>
        </w:tc>
        <w:tc>
          <w:tcPr>
            <w:tcW w:type="dxa" w:w="3855"/>
            <w:shd w:fill="17365D"/>
            <w:vAlign w:val="center"/>
          </w:tcPr>
          <w:p>
            <w:r>
              <w:rPr>
                <w:b/>
                <w:color w:val="FFFFFF"/>
                <w:sz w:val="17"/>
              </w:rPr>
              <w:t>典型分录</w:t>
            </w:r>
          </w:p>
        </w:tc>
        <w:tc>
          <w:tcPr>
            <w:tcW w:type="dxa" w:w="3458"/>
            <w:shd w:fill="17365D"/>
            <w:vAlign w:val="center"/>
          </w:tcPr>
          <w:p>
            <w:r>
              <w:rPr>
                <w:b/>
                <w:color w:val="FFFFFF"/>
                <w:sz w:val="17"/>
              </w:rPr>
              <w:t>管理含义</w:t>
            </w:r>
          </w:p>
        </w:tc>
      </w:tr>
      <w:tr>
        <w:tc>
          <w:tcPr>
            <w:tcW w:type="dxa" w:w="1587"/>
            <w:vAlign w:val="center"/>
          </w:tcPr>
          <w:p>
            <w:pPr>
              <w:spacing w:after="20" w:line="252" w:lineRule="auto"/>
            </w:pPr>
            <w:r>
              <w:rPr>
                <w:rFonts w:ascii="Microsoft YaHei" w:hAnsi="Microsoft YaHei"/>
                <w:sz w:val="17"/>
              </w:rPr>
              <w:t>满足收入确认条件</w:t>
            </w:r>
          </w:p>
        </w:tc>
        <w:tc>
          <w:tcPr>
            <w:tcW w:type="dxa" w:w="3855"/>
            <w:vAlign w:val="center"/>
          </w:tcPr>
          <w:p>
            <w:pPr>
              <w:spacing w:after="20" w:line="252" w:lineRule="auto"/>
            </w:pPr>
            <w:r>
              <w:rPr>
                <w:rFonts w:ascii="Microsoft YaHei" w:hAnsi="Microsoft YaHei"/>
                <w:sz w:val="17"/>
              </w:rPr>
              <w:t>借：应收账款；贷：主营业务收入、应交税费</w:t>
            </w:r>
          </w:p>
        </w:tc>
        <w:tc>
          <w:tcPr>
            <w:tcW w:type="dxa" w:w="3458"/>
            <w:vAlign w:val="center"/>
          </w:tcPr>
          <w:p>
            <w:pPr>
              <w:spacing w:after="20" w:line="252" w:lineRule="auto"/>
            </w:pPr>
            <w:r>
              <w:rPr>
                <w:rFonts w:ascii="Microsoft YaHei" w:hAnsi="Microsoft YaHei"/>
                <w:sz w:val="17"/>
              </w:rPr>
              <w:t>确认收入不等于客户信用风险消失</w:t>
            </w:r>
          </w:p>
        </w:tc>
      </w:tr>
      <w:tr>
        <w:tc>
          <w:tcPr>
            <w:tcW w:type="dxa" w:w="1587"/>
            <w:vAlign w:val="center"/>
            <w:shd w:fill="F4F7FA"/>
          </w:tcPr>
          <w:p>
            <w:pPr>
              <w:spacing w:after="20" w:line="252" w:lineRule="auto"/>
            </w:pPr>
            <w:r>
              <w:rPr>
                <w:rFonts w:ascii="Microsoft YaHei" w:hAnsi="Microsoft YaHei"/>
                <w:sz w:val="17"/>
              </w:rPr>
              <w:t>收到客户款</w:t>
            </w:r>
          </w:p>
        </w:tc>
        <w:tc>
          <w:tcPr>
            <w:tcW w:type="dxa" w:w="3855"/>
            <w:vAlign w:val="center"/>
            <w:shd w:fill="F4F7FA"/>
          </w:tcPr>
          <w:p>
            <w:pPr>
              <w:spacing w:after="20" w:line="252" w:lineRule="auto"/>
            </w:pPr>
            <w:r>
              <w:rPr>
                <w:rFonts w:ascii="Microsoft YaHei" w:hAnsi="Microsoft YaHei"/>
                <w:sz w:val="17"/>
              </w:rPr>
              <w:t>借：银行存款；贷：应收账款</w:t>
            </w:r>
          </w:p>
        </w:tc>
        <w:tc>
          <w:tcPr>
            <w:tcW w:type="dxa" w:w="3458"/>
            <w:vAlign w:val="center"/>
            <w:shd w:fill="F4F7FA"/>
          </w:tcPr>
          <w:p>
            <w:pPr>
              <w:spacing w:after="20" w:line="252" w:lineRule="auto"/>
            </w:pPr>
            <w:r>
              <w:rPr>
                <w:rFonts w:ascii="Microsoft YaHei" w:hAnsi="Microsoft YaHei"/>
                <w:sz w:val="17"/>
              </w:rPr>
              <w:t>需正确认领和核销</w:t>
            </w:r>
          </w:p>
        </w:tc>
      </w:tr>
      <w:tr>
        <w:tc>
          <w:tcPr>
            <w:tcW w:type="dxa" w:w="1587"/>
            <w:vAlign w:val="center"/>
          </w:tcPr>
          <w:p>
            <w:pPr>
              <w:spacing w:after="20" w:line="252" w:lineRule="auto"/>
            </w:pPr>
            <w:r>
              <w:rPr>
                <w:rFonts w:ascii="Microsoft YaHei" w:hAnsi="Microsoft YaHei"/>
                <w:sz w:val="17"/>
              </w:rPr>
              <w:t>计提ECL</w:t>
            </w:r>
          </w:p>
        </w:tc>
        <w:tc>
          <w:tcPr>
            <w:tcW w:type="dxa" w:w="3855"/>
            <w:vAlign w:val="center"/>
          </w:tcPr>
          <w:p>
            <w:pPr>
              <w:spacing w:after="20" w:line="252" w:lineRule="auto"/>
            </w:pPr>
            <w:r>
              <w:rPr>
                <w:rFonts w:ascii="Microsoft YaHei" w:hAnsi="Microsoft YaHei"/>
                <w:sz w:val="17"/>
              </w:rPr>
              <w:t>借：信用减值损失；贷：坏账准备</w:t>
            </w:r>
          </w:p>
        </w:tc>
        <w:tc>
          <w:tcPr>
            <w:tcW w:type="dxa" w:w="3458"/>
            <w:vAlign w:val="center"/>
          </w:tcPr>
          <w:p>
            <w:pPr>
              <w:spacing w:after="20" w:line="252" w:lineRule="auto"/>
            </w:pPr>
            <w:r>
              <w:rPr>
                <w:rFonts w:ascii="Microsoft YaHei" w:hAnsi="Microsoft YaHei"/>
                <w:sz w:val="17"/>
              </w:rPr>
              <w:t>反映预计现金短缺</w:t>
            </w:r>
          </w:p>
        </w:tc>
      </w:tr>
      <w:tr>
        <w:tc>
          <w:tcPr>
            <w:tcW w:type="dxa" w:w="1587"/>
            <w:vAlign w:val="center"/>
            <w:shd w:fill="F4F7FA"/>
          </w:tcPr>
          <w:p>
            <w:pPr>
              <w:spacing w:after="20" w:line="252" w:lineRule="auto"/>
            </w:pPr>
            <w:r>
              <w:rPr>
                <w:rFonts w:ascii="Microsoft YaHei" w:hAnsi="Microsoft YaHei"/>
                <w:sz w:val="17"/>
              </w:rPr>
              <w:t>核销坏账</w:t>
            </w:r>
          </w:p>
        </w:tc>
        <w:tc>
          <w:tcPr>
            <w:tcW w:type="dxa" w:w="3855"/>
            <w:vAlign w:val="center"/>
            <w:shd w:fill="F4F7FA"/>
          </w:tcPr>
          <w:p>
            <w:pPr>
              <w:spacing w:after="20" w:line="252" w:lineRule="auto"/>
            </w:pPr>
            <w:r>
              <w:rPr>
                <w:rFonts w:ascii="Microsoft YaHei" w:hAnsi="Microsoft YaHei"/>
                <w:sz w:val="17"/>
              </w:rPr>
              <w:t>借：坏账准备；贷：应收账款</w:t>
            </w:r>
          </w:p>
        </w:tc>
        <w:tc>
          <w:tcPr>
            <w:tcW w:type="dxa" w:w="3458"/>
            <w:vAlign w:val="center"/>
            <w:shd w:fill="F4F7FA"/>
          </w:tcPr>
          <w:p>
            <w:pPr>
              <w:spacing w:after="20" w:line="252" w:lineRule="auto"/>
            </w:pPr>
            <w:r>
              <w:rPr>
                <w:rFonts w:ascii="Microsoft YaHei" w:hAnsi="Microsoft YaHei"/>
                <w:sz w:val="17"/>
              </w:rPr>
              <w:t>需审批并账销案存</w:t>
            </w:r>
          </w:p>
        </w:tc>
      </w:tr>
      <w:tr>
        <w:tc>
          <w:tcPr>
            <w:tcW w:type="dxa" w:w="1587"/>
            <w:vAlign w:val="center"/>
          </w:tcPr>
          <w:p>
            <w:pPr>
              <w:spacing w:after="20" w:line="252" w:lineRule="auto"/>
            </w:pPr>
            <w:r>
              <w:rPr>
                <w:rFonts w:ascii="Microsoft YaHei" w:hAnsi="Microsoft YaHei"/>
                <w:sz w:val="17"/>
              </w:rPr>
              <w:t>核销后收回</w:t>
            </w:r>
          </w:p>
        </w:tc>
        <w:tc>
          <w:tcPr>
            <w:tcW w:type="dxa" w:w="3855"/>
            <w:vAlign w:val="center"/>
          </w:tcPr>
          <w:p>
            <w:pPr>
              <w:spacing w:after="20" w:line="252" w:lineRule="auto"/>
            </w:pPr>
            <w:r>
              <w:rPr>
                <w:rFonts w:ascii="Microsoft YaHei" w:hAnsi="Microsoft YaHei"/>
                <w:sz w:val="17"/>
              </w:rPr>
              <w:t>按适用会计政策恢复或直接确认收回并记录银行款</w:t>
            </w:r>
          </w:p>
        </w:tc>
        <w:tc>
          <w:tcPr>
            <w:tcW w:type="dxa" w:w="3458"/>
            <w:vAlign w:val="center"/>
          </w:tcPr>
          <w:p>
            <w:pPr>
              <w:spacing w:after="20" w:line="252" w:lineRule="auto"/>
            </w:pPr>
            <w:r>
              <w:rPr>
                <w:rFonts w:ascii="Microsoft YaHei" w:hAnsi="Microsoft YaHei"/>
                <w:sz w:val="17"/>
              </w:rPr>
              <w:t>不得形成账外资金</w:t>
            </w:r>
          </w:p>
        </w:tc>
      </w:tr>
    </w:tbl>
    <w:p>
      <w:pPr>
        <w:spacing w:after="40"/>
      </w:pPr>
    </w:p>
    <w:p>
      <w:pPr>
        <w:pStyle w:val="Heading2"/>
        <w:keepNext/>
      </w:pPr>
      <w:r>
        <w:t>8.2 应收账款 合同资产和合同负债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587"/>
            <w:shd w:fill="17365D"/>
            <w:vAlign w:val="center"/>
          </w:tcPr>
          <w:p>
            <w:r>
              <w:rPr>
                <w:b/>
                <w:color w:val="FFFFFF"/>
                <w:sz w:val="18"/>
              </w:rPr>
              <w:t>项目</w:t>
            </w:r>
          </w:p>
        </w:tc>
        <w:tc>
          <w:tcPr>
            <w:tcW w:type="dxa" w:w="3969"/>
            <w:shd w:fill="17365D"/>
            <w:vAlign w:val="center"/>
          </w:tcPr>
          <w:p>
            <w:r>
              <w:rPr>
                <w:b/>
                <w:color w:val="FFFFFF"/>
                <w:sz w:val="18"/>
              </w:rPr>
              <w:t>核心判断</w:t>
            </w:r>
          </w:p>
        </w:tc>
        <w:tc>
          <w:tcPr>
            <w:tcW w:type="dxa" w:w="3345"/>
            <w:shd w:fill="17365D"/>
            <w:vAlign w:val="center"/>
          </w:tcPr>
          <w:p>
            <w:r>
              <w:rPr>
                <w:b/>
                <w:color w:val="FFFFFF"/>
                <w:sz w:val="18"/>
              </w:rPr>
              <w:t>常见错误</w:t>
            </w:r>
          </w:p>
        </w:tc>
      </w:tr>
      <w:tr>
        <w:tc>
          <w:tcPr>
            <w:tcW w:type="dxa" w:w="1587"/>
            <w:vAlign w:val="center"/>
          </w:tcPr>
          <w:p>
            <w:pPr>
              <w:spacing w:after="20" w:line="252" w:lineRule="auto"/>
            </w:pPr>
            <w:r>
              <w:rPr>
                <w:rFonts w:ascii="Microsoft YaHei" w:hAnsi="Microsoft YaHei"/>
                <w:sz w:val="18"/>
              </w:rPr>
              <w:t>应收账款</w:t>
            </w:r>
          </w:p>
        </w:tc>
        <w:tc>
          <w:tcPr>
            <w:tcW w:type="dxa" w:w="3969"/>
            <w:vAlign w:val="center"/>
          </w:tcPr>
          <w:p>
            <w:pPr>
              <w:spacing w:after="20" w:line="252" w:lineRule="auto"/>
            </w:pPr>
            <w:r>
              <w:rPr>
                <w:rFonts w:ascii="Microsoft YaHei" w:hAnsi="Microsoft YaHei"/>
                <w:sz w:val="18"/>
              </w:rPr>
              <w:t>收取对价的权利仅取决于时间流逝</w:t>
            </w:r>
          </w:p>
        </w:tc>
        <w:tc>
          <w:tcPr>
            <w:tcW w:type="dxa" w:w="3345"/>
            <w:vAlign w:val="center"/>
          </w:tcPr>
          <w:p>
            <w:pPr>
              <w:spacing w:after="20" w:line="252" w:lineRule="auto"/>
            </w:pPr>
            <w:r>
              <w:rPr>
                <w:rFonts w:ascii="Microsoft YaHei" w:hAnsi="Microsoft YaHei"/>
                <w:sz w:val="18"/>
              </w:rPr>
              <w:t>未达到无条件收款权就转应收</w:t>
            </w:r>
          </w:p>
        </w:tc>
      </w:tr>
      <w:tr>
        <w:tc>
          <w:tcPr>
            <w:tcW w:type="dxa" w:w="1587"/>
            <w:vAlign w:val="center"/>
            <w:shd w:fill="F4F7FA"/>
          </w:tcPr>
          <w:p>
            <w:pPr>
              <w:spacing w:after="20" w:line="252" w:lineRule="auto"/>
            </w:pPr>
            <w:r>
              <w:rPr>
                <w:rFonts w:ascii="Microsoft YaHei" w:hAnsi="Microsoft YaHei"/>
                <w:sz w:val="18"/>
              </w:rPr>
              <w:t>合同资产</w:t>
            </w:r>
          </w:p>
        </w:tc>
        <w:tc>
          <w:tcPr>
            <w:tcW w:type="dxa" w:w="3969"/>
            <w:vAlign w:val="center"/>
            <w:shd w:fill="F4F7FA"/>
          </w:tcPr>
          <w:p>
            <w:pPr>
              <w:spacing w:after="20" w:line="252" w:lineRule="auto"/>
            </w:pPr>
            <w:r>
              <w:rPr>
                <w:rFonts w:ascii="Microsoft YaHei" w:hAnsi="Microsoft YaHei"/>
                <w:sz w:val="18"/>
              </w:rPr>
              <w:t>已履约但收款权还取决于其他条件</w:t>
            </w:r>
          </w:p>
        </w:tc>
        <w:tc>
          <w:tcPr>
            <w:tcW w:type="dxa" w:w="3345"/>
            <w:vAlign w:val="center"/>
            <w:shd w:fill="F4F7FA"/>
          </w:tcPr>
          <w:p>
            <w:pPr>
              <w:spacing w:after="20" w:line="252" w:lineRule="auto"/>
            </w:pPr>
            <w:r>
              <w:rPr>
                <w:rFonts w:ascii="Microsoft YaHei" w:hAnsi="Microsoft YaHei"/>
                <w:sz w:val="18"/>
              </w:rPr>
              <w:t>与普通应收混用导致账龄错误</w:t>
            </w:r>
          </w:p>
        </w:tc>
      </w:tr>
      <w:tr>
        <w:tc>
          <w:tcPr>
            <w:tcW w:type="dxa" w:w="1587"/>
            <w:vAlign w:val="center"/>
          </w:tcPr>
          <w:p>
            <w:pPr>
              <w:spacing w:after="20" w:line="252" w:lineRule="auto"/>
            </w:pPr>
            <w:r>
              <w:rPr>
                <w:rFonts w:ascii="Microsoft YaHei" w:hAnsi="Microsoft YaHei"/>
                <w:sz w:val="18"/>
              </w:rPr>
              <w:t>合同负债</w:t>
            </w:r>
          </w:p>
        </w:tc>
        <w:tc>
          <w:tcPr>
            <w:tcW w:type="dxa" w:w="3969"/>
            <w:vAlign w:val="center"/>
          </w:tcPr>
          <w:p>
            <w:pPr>
              <w:spacing w:after="20" w:line="252" w:lineRule="auto"/>
            </w:pPr>
            <w:r>
              <w:rPr>
                <w:rFonts w:ascii="Microsoft YaHei" w:hAnsi="Microsoft YaHei"/>
                <w:sz w:val="18"/>
              </w:rPr>
              <w:t>在转让商品前已收或已到期应收客户对价</w:t>
            </w:r>
          </w:p>
        </w:tc>
        <w:tc>
          <w:tcPr>
            <w:tcW w:type="dxa" w:w="3345"/>
            <w:vAlign w:val="center"/>
          </w:tcPr>
          <w:p>
            <w:pPr>
              <w:spacing w:after="20" w:line="252" w:lineRule="auto"/>
            </w:pPr>
            <w:r>
              <w:rPr>
                <w:rFonts w:ascii="Microsoft YaHei" w:hAnsi="Microsoft YaHei"/>
                <w:sz w:val="18"/>
              </w:rPr>
              <w:t>看到应收贷方就机械重分类</w:t>
            </w:r>
          </w:p>
        </w:tc>
      </w:tr>
    </w:tbl>
    <w:p>
      <w:pPr>
        <w:spacing w:after="40"/>
      </w:pPr>
    </w:p>
    <w:p>
      <w:pPr>
        <w:pStyle w:val="Heading2"/>
        <w:keepNext/>
      </w:pPr>
      <w:r>
        <w:t>8.3 ECL不能只套账龄比例</w:t>
      </w:r>
    </w:p>
    <w:p>
      <w:pPr>
        <w:spacing w:after="100" w:line="300" w:lineRule="auto"/>
      </w:pPr>
      <w:r>
        <w:t>账龄可以作为组合计量的重要基础，但财务还应考虑历史损失率、客户类型、账龄迁徙、当前经营状况、前瞻信息、担保以及个别客户重大不利事件。客户破产时，即使账龄只有60天，也可能需要个别评估。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1361"/>
            <w:shd w:fill="17365D"/>
            <w:vAlign w:val="center"/>
          </w:tcPr>
          <w:p>
            <w:r>
              <w:rPr>
                <w:b/>
                <w:color w:val="FFFFFF"/>
                <w:sz w:val="17"/>
              </w:rPr>
              <w:t>风险层级</w:t>
            </w:r>
          </w:p>
        </w:tc>
        <w:tc>
          <w:tcPr>
            <w:tcW w:type="dxa" w:w="1134"/>
            <w:shd w:fill="17365D"/>
            <w:vAlign w:val="center"/>
          </w:tcPr>
          <w:p>
            <w:r>
              <w:rPr>
                <w:b/>
                <w:color w:val="FFFFFF"/>
                <w:sz w:val="17"/>
              </w:rPr>
              <w:t>起始天数</w:t>
            </w:r>
          </w:p>
        </w:tc>
        <w:tc>
          <w:tcPr>
            <w:tcW w:type="dxa" w:w="1134"/>
            <w:shd w:fill="17365D"/>
            <w:vAlign w:val="center"/>
          </w:tcPr>
          <w:p>
            <w:r>
              <w:rPr>
                <w:b/>
                <w:color w:val="FFFFFF"/>
                <w:sz w:val="17"/>
              </w:rPr>
              <w:t>截止天数</w:t>
            </w:r>
          </w:p>
        </w:tc>
        <w:tc>
          <w:tcPr>
            <w:tcW w:type="dxa" w:w="1134"/>
            <w:shd w:fill="17365D"/>
            <w:vAlign w:val="center"/>
          </w:tcPr>
          <w:p>
            <w:r>
              <w:rPr>
                <w:b/>
                <w:color w:val="FFFFFF"/>
                <w:sz w:val="17"/>
              </w:rPr>
              <w:t>案例率</w:t>
            </w:r>
          </w:p>
        </w:tc>
        <w:tc>
          <w:tcPr>
            <w:tcW w:type="dxa" w:w="4139"/>
            <w:shd w:fill="17365D"/>
            <w:vAlign w:val="center"/>
          </w:tcPr>
          <w:p>
            <w:r>
              <w:rPr>
                <w:b/>
                <w:color w:val="FFFFFF"/>
                <w:sz w:val="17"/>
              </w:rPr>
              <w:t>使用依据</w:t>
            </w:r>
          </w:p>
        </w:tc>
      </w:tr>
      <w:tr>
        <w:tc>
          <w:tcPr>
            <w:tcW w:type="dxa" w:w="1361"/>
            <w:vAlign w:val="center"/>
          </w:tcPr>
          <w:p>
            <w:pPr>
              <w:spacing w:after="20" w:line="252" w:lineRule="auto"/>
            </w:pPr>
            <w:r>
              <w:rPr>
                <w:rFonts w:ascii="Microsoft YaHei" w:hAnsi="Microsoft YaHei"/>
                <w:sz w:val="17"/>
              </w:rPr>
              <w:t>正常</w:t>
            </w:r>
          </w:p>
        </w:tc>
        <w:tc>
          <w:tcPr>
            <w:tcW w:type="dxa" w:w="1134"/>
            <w:vAlign w:val="center"/>
          </w:tcPr>
          <w:p>
            <w:pPr>
              <w:spacing w:after="20" w:line="252" w:lineRule="auto"/>
            </w:pPr>
            <w:r>
              <w:rPr>
                <w:rFonts w:ascii="Microsoft YaHei" w:hAnsi="Microsoft YaHei"/>
                <w:sz w:val="17"/>
              </w:rPr>
              <w:t>0</w:t>
            </w:r>
          </w:p>
        </w:tc>
        <w:tc>
          <w:tcPr>
            <w:tcW w:type="dxa" w:w="1134"/>
            <w:vAlign w:val="center"/>
          </w:tcPr>
          <w:p>
            <w:pPr>
              <w:spacing w:after="20" w:line="252" w:lineRule="auto"/>
            </w:pPr>
            <w:r>
              <w:rPr>
                <w:rFonts w:ascii="Microsoft YaHei" w:hAnsi="Microsoft YaHei"/>
                <w:sz w:val="17"/>
              </w:rPr>
              <w:t>30</w:t>
            </w:r>
          </w:p>
        </w:tc>
        <w:tc>
          <w:tcPr>
            <w:tcW w:type="dxa" w:w="1134"/>
            <w:vAlign w:val="center"/>
          </w:tcPr>
          <w:p>
            <w:pPr>
              <w:spacing w:after="20" w:line="252" w:lineRule="auto"/>
            </w:pPr>
            <w:r>
              <w:rPr>
                <w:rFonts w:ascii="Microsoft YaHei" w:hAnsi="Microsoft YaHei"/>
                <w:sz w:val="17"/>
              </w:rPr>
              <w:t>0.005</w:t>
            </w:r>
          </w:p>
        </w:tc>
        <w:tc>
          <w:tcPr>
            <w:tcW w:type="dxa" w:w="4139"/>
            <w:vAlign w:val="center"/>
          </w:tcPr>
          <w:p>
            <w:pPr>
              <w:spacing w:after="20" w:line="252" w:lineRule="auto"/>
            </w:pPr>
            <w:r>
              <w:rPr>
                <w:rFonts w:ascii="Microsoft YaHei" w:hAnsi="Microsoft YaHei"/>
                <w:sz w:val="17"/>
              </w:rPr>
              <w:t>历史损失率和前瞻调整</w:t>
            </w:r>
          </w:p>
        </w:tc>
      </w:tr>
      <w:tr>
        <w:tc>
          <w:tcPr>
            <w:tcW w:type="dxa" w:w="1361"/>
            <w:vAlign w:val="center"/>
            <w:shd w:fill="F4F7FA"/>
          </w:tcPr>
          <w:p>
            <w:pPr>
              <w:spacing w:after="20" w:line="252" w:lineRule="auto"/>
            </w:pPr>
            <w:r>
              <w:rPr>
                <w:rFonts w:ascii="Microsoft YaHei" w:hAnsi="Microsoft YaHei"/>
                <w:sz w:val="17"/>
              </w:rPr>
              <w:t>关注</w:t>
            </w:r>
          </w:p>
        </w:tc>
        <w:tc>
          <w:tcPr>
            <w:tcW w:type="dxa" w:w="1134"/>
            <w:vAlign w:val="center"/>
            <w:shd w:fill="F4F7FA"/>
          </w:tcPr>
          <w:p>
            <w:pPr>
              <w:spacing w:after="20" w:line="252" w:lineRule="auto"/>
            </w:pPr>
            <w:r>
              <w:rPr>
                <w:rFonts w:ascii="Microsoft YaHei" w:hAnsi="Microsoft YaHei"/>
                <w:sz w:val="17"/>
              </w:rPr>
              <w:t>31</w:t>
            </w:r>
          </w:p>
        </w:tc>
        <w:tc>
          <w:tcPr>
            <w:tcW w:type="dxa" w:w="1134"/>
            <w:vAlign w:val="center"/>
            <w:shd w:fill="F4F7FA"/>
          </w:tcPr>
          <w:p>
            <w:pPr>
              <w:spacing w:after="20" w:line="252" w:lineRule="auto"/>
            </w:pPr>
            <w:r>
              <w:rPr>
                <w:rFonts w:ascii="Microsoft YaHei" w:hAnsi="Microsoft YaHei"/>
                <w:sz w:val="17"/>
              </w:rPr>
              <w:t>90</w:t>
            </w:r>
          </w:p>
        </w:tc>
        <w:tc>
          <w:tcPr>
            <w:tcW w:type="dxa" w:w="1134"/>
            <w:vAlign w:val="center"/>
            <w:shd w:fill="F4F7FA"/>
          </w:tcPr>
          <w:p>
            <w:pPr>
              <w:spacing w:after="20" w:line="252" w:lineRule="auto"/>
            </w:pPr>
            <w:r>
              <w:rPr>
                <w:rFonts w:ascii="Microsoft YaHei" w:hAnsi="Microsoft YaHei"/>
                <w:sz w:val="17"/>
              </w:rPr>
              <w:t>0.03</w:t>
            </w:r>
          </w:p>
        </w:tc>
        <w:tc>
          <w:tcPr>
            <w:tcW w:type="dxa" w:w="4139"/>
            <w:vAlign w:val="center"/>
            <w:shd w:fill="F4F7FA"/>
          </w:tcPr>
          <w:p>
            <w:pPr>
              <w:spacing w:after="20" w:line="252" w:lineRule="auto"/>
            </w:pPr>
            <w:r>
              <w:rPr>
                <w:rFonts w:ascii="Microsoft YaHei" w:hAnsi="Microsoft YaHei"/>
                <w:sz w:val="17"/>
              </w:rPr>
              <w:t>逾期和客户风险上升</w:t>
            </w:r>
          </w:p>
        </w:tc>
      </w:tr>
      <w:tr>
        <w:tc>
          <w:tcPr>
            <w:tcW w:type="dxa" w:w="1361"/>
            <w:vAlign w:val="center"/>
          </w:tcPr>
          <w:p>
            <w:pPr>
              <w:spacing w:after="20" w:line="252" w:lineRule="auto"/>
            </w:pPr>
            <w:r>
              <w:rPr>
                <w:rFonts w:ascii="Microsoft YaHei" w:hAnsi="Microsoft YaHei"/>
                <w:sz w:val="17"/>
              </w:rPr>
              <w:t>高风险</w:t>
            </w:r>
          </w:p>
        </w:tc>
        <w:tc>
          <w:tcPr>
            <w:tcW w:type="dxa" w:w="1134"/>
            <w:vAlign w:val="center"/>
          </w:tcPr>
          <w:p>
            <w:pPr>
              <w:spacing w:after="20" w:line="252" w:lineRule="auto"/>
            </w:pPr>
            <w:r>
              <w:rPr>
                <w:rFonts w:ascii="Microsoft YaHei" w:hAnsi="Microsoft YaHei"/>
                <w:sz w:val="17"/>
              </w:rPr>
              <w:t>91</w:t>
            </w:r>
          </w:p>
        </w:tc>
        <w:tc>
          <w:tcPr>
            <w:tcW w:type="dxa" w:w="1134"/>
            <w:vAlign w:val="center"/>
          </w:tcPr>
          <w:p>
            <w:pPr>
              <w:spacing w:after="20" w:line="252" w:lineRule="auto"/>
            </w:pPr>
            <w:r>
              <w:rPr>
                <w:rFonts w:ascii="Microsoft YaHei" w:hAnsi="Microsoft YaHei"/>
                <w:sz w:val="17"/>
              </w:rPr>
              <w:t>180</w:t>
            </w:r>
          </w:p>
        </w:tc>
        <w:tc>
          <w:tcPr>
            <w:tcW w:type="dxa" w:w="1134"/>
            <w:vAlign w:val="center"/>
          </w:tcPr>
          <w:p>
            <w:pPr>
              <w:spacing w:after="20" w:line="252" w:lineRule="auto"/>
            </w:pPr>
            <w:r>
              <w:rPr>
                <w:rFonts w:ascii="Microsoft YaHei" w:hAnsi="Microsoft YaHei"/>
                <w:sz w:val="17"/>
              </w:rPr>
              <w:t>0.15</w:t>
            </w:r>
          </w:p>
        </w:tc>
        <w:tc>
          <w:tcPr>
            <w:tcW w:type="dxa" w:w="4139"/>
            <w:vAlign w:val="center"/>
          </w:tcPr>
          <w:p>
            <w:pPr>
              <w:spacing w:after="20" w:line="252" w:lineRule="auto"/>
            </w:pPr>
            <w:r>
              <w:rPr>
                <w:rFonts w:ascii="Microsoft YaHei" w:hAnsi="Microsoft YaHei"/>
                <w:sz w:val="17"/>
              </w:rPr>
              <w:t>重大逾期或争议</w:t>
            </w:r>
          </w:p>
        </w:tc>
      </w:tr>
      <w:tr>
        <w:tc>
          <w:tcPr>
            <w:tcW w:type="dxa" w:w="1361"/>
            <w:vAlign w:val="center"/>
            <w:shd w:fill="F4F7FA"/>
          </w:tcPr>
          <w:p>
            <w:pPr>
              <w:spacing w:after="20" w:line="252" w:lineRule="auto"/>
            </w:pPr>
            <w:r>
              <w:rPr>
                <w:rFonts w:ascii="Microsoft YaHei" w:hAnsi="Microsoft YaHei"/>
                <w:sz w:val="17"/>
              </w:rPr>
              <w:t>严重</w:t>
            </w:r>
          </w:p>
        </w:tc>
        <w:tc>
          <w:tcPr>
            <w:tcW w:type="dxa" w:w="1134"/>
            <w:vAlign w:val="center"/>
            <w:shd w:fill="F4F7FA"/>
          </w:tcPr>
          <w:p>
            <w:pPr>
              <w:spacing w:after="20" w:line="252" w:lineRule="auto"/>
            </w:pPr>
            <w:r>
              <w:rPr>
                <w:rFonts w:ascii="Microsoft YaHei" w:hAnsi="Microsoft YaHei"/>
                <w:sz w:val="17"/>
              </w:rPr>
              <w:t>181</w:t>
            </w:r>
          </w:p>
        </w:tc>
        <w:tc>
          <w:tcPr>
            <w:tcW w:type="dxa" w:w="1134"/>
            <w:vAlign w:val="center"/>
            <w:shd w:fill="F4F7FA"/>
          </w:tcPr>
          <w:p>
            <w:pPr>
              <w:spacing w:after="20" w:line="252" w:lineRule="auto"/>
            </w:pPr>
            <w:r>
              <w:rPr>
                <w:rFonts w:ascii="Microsoft YaHei" w:hAnsi="Microsoft YaHei"/>
                <w:sz w:val="17"/>
              </w:rPr>
              <w:t>365</w:t>
            </w:r>
          </w:p>
        </w:tc>
        <w:tc>
          <w:tcPr>
            <w:tcW w:type="dxa" w:w="1134"/>
            <w:vAlign w:val="center"/>
            <w:shd w:fill="F4F7FA"/>
          </w:tcPr>
          <w:p>
            <w:pPr>
              <w:spacing w:after="20" w:line="252" w:lineRule="auto"/>
            </w:pPr>
            <w:r>
              <w:rPr>
                <w:rFonts w:ascii="Microsoft YaHei" w:hAnsi="Microsoft YaHei"/>
                <w:sz w:val="17"/>
              </w:rPr>
              <w:t>0.5</w:t>
            </w:r>
          </w:p>
        </w:tc>
        <w:tc>
          <w:tcPr>
            <w:tcW w:type="dxa" w:w="4139"/>
            <w:vAlign w:val="center"/>
            <w:shd w:fill="F4F7FA"/>
          </w:tcPr>
          <w:p>
            <w:pPr>
              <w:spacing w:after="20" w:line="252" w:lineRule="auto"/>
            </w:pPr>
            <w:r>
              <w:rPr>
                <w:rFonts w:ascii="Microsoft YaHei" w:hAnsi="Microsoft YaHei"/>
                <w:sz w:val="17"/>
              </w:rPr>
              <w:t>持续恶化或回款能力不足</w:t>
            </w:r>
          </w:p>
        </w:tc>
      </w:tr>
      <w:tr>
        <w:tc>
          <w:tcPr>
            <w:tcW w:type="dxa" w:w="1361"/>
            <w:vAlign w:val="center"/>
          </w:tcPr>
          <w:p>
            <w:pPr>
              <w:spacing w:after="20" w:line="252" w:lineRule="auto"/>
            </w:pPr>
            <w:r>
              <w:rPr>
                <w:rFonts w:ascii="Microsoft YaHei" w:hAnsi="Microsoft YaHei"/>
                <w:sz w:val="17"/>
              </w:rPr>
              <w:t>个别评估</w:t>
            </w:r>
          </w:p>
        </w:tc>
        <w:tc>
          <w:tcPr>
            <w:tcW w:type="dxa" w:w="1134"/>
            <w:vAlign w:val="center"/>
          </w:tcPr>
          <w:p>
            <w:pPr>
              <w:spacing w:after="20" w:line="252" w:lineRule="auto"/>
            </w:pPr>
            <w:r>
              <w:rPr>
                <w:rFonts w:ascii="Microsoft YaHei" w:hAnsi="Microsoft YaHei"/>
                <w:sz w:val="17"/>
              </w:rPr>
              <w:t>366</w:t>
            </w:r>
          </w:p>
        </w:tc>
        <w:tc>
          <w:tcPr>
            <w:tcW w:type="dxa" w:w="1134"/>
            <w:vAlign w:val="center"/>
          </w:tcPr>
          <w:p>
            <w:pPr>
              <w:spacing w:after="20" w:line="252" w:lineRule="auto"/>
            </w:pPr>
            <w:r>
              <w:rPr>
                <w:rFonts w:ascii="Microsoft YaHei" w:hAnsi="Microsoft YaHei"/>
                <w:sz w:val="17"/>
              </w:rPr>
              <w:t>9999</w:t>
            </w:r>
          </w:p>
        </w:tc>
        <w:tc>
          <w:tcPr>
            <w:tcW w:type="dxa" w:w="1134"/>
            <w:vAlign w:val="center"/>
          </w:tcPr>
          <w:p>
            <w:pPr>
              <w:spacing w:after="20" w:line="252" w:lineRule="auto"/>
            </w:pPr>
            <w:r>
              <w:rPr>
                <w:rFonts w:ascii="Microsoft YaHei" w:hAnsi="Microsoft YaHei"/>
                <w:sz w:val="17"/>
              </w:rPr>
              <w:t>1.0</w:t>
            </w:r>
          </w:p>
        </w:tc>
        <w:tc>
          <w:tcPr>
            <w:tcW w:type="dxa" w:w="4139"/>
            <w:vAlign w:val="center"/>
          </w:tcPr>
          <w:p>
            <w:pPr>
              <w:spacing w:after="20" w:line="252" w:lineRule="auto"/>
            </w:pPr>
            <w:r>
              <w:rPr>
                <w:rFonts w:ascii="Microsoft YaHei" w:hAnsi="Microsoft YaHei"/>
                <w:sz w:val="17"/>
              </w:rPr>
              <w:t>诉讼、破产或明确无法收回</w:t>
            </w:r>
          </w:p>
        </w:tc>
      </w:tr>
    </w:tbl>
    <w:p>
      <w:pPr>
        <w:spacing w:after="40"/>
      </w:pPr>
    </w:p>
    <w:p>
      <w:pPr>
        <w:spacing w:after="100" w:line="300" w:lineRule="auto"/>
      </w:pPr>
      <w:r>
        <w:rPr>
          <w:b/>
        </w:rPr>
        <w:t>重要说明：</w:t>
      </w:r>
      <w:r>
        <w:t>上述比例仅为模拟企业练习参数，不代表准则、税法或行业统一比例。企业应根据自身数据和合理证据制定，并按权限审批。</w:t>
      </w:r>
    </w:p>
    <w:p>
      <w:pPr>
        <w:pStyle w:val="Heading1"/>
        <w:keepNext/>
      </w:pPr>
      <w:r>
        <w:t>第九章 核心指标和深层原因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1417"/>
            <w:shd w:fill="17365D"/>
            <w:vAlign w:val="center"/>
          </w:tcPr>
          <w:p>
            <w:r>
              <w:rPr>
                <w:b/>
                <w:color w:val="FFFFFF"/>
                <w:sz w:val="15"/>
              </w:rPr>
              <w:t>指标</w:t>
            </w:r>
          </w:p>
        </w:tc>
        <w:tc>
          <w:tcPr>
            <w:tcW w:type="dxa" w:w="1701"/>
            <w:shd w:fill="17365D"/>
            <w:vAlign w:val="center"/>
          </w:tcPr>
          <w:p>
            <w:r>
              <w:rPr>
                <w:b/>
                <w:color w:val="FFFFFF"/>
                <w:sz w:val="15"/>
              </w:rPr>
              <w:t>定义</w:t>
            </w:r>
          </w:p>
        </w:tc>
        <w:tc>
          <w:tcPr>
            <w:tcW w:type="dxa" w:w="1984"/>
            <w:shd w:fill="17365D"/>
            <w:vAlign w:val="center"/>
          </w:tcPr>
          <w:p>
            <w:r>
              <w:rPr>
                <w:b/>
                <w:color w:val="FFFFFF"/>
                <w:sz w:val="15"/>
              </w:rPr>
              <w:t>为什么看</w:t>
            </w:r>
          </w:p>
        </w:tc>
        <w:tc>
          <w:tcPr>
            <w:tcW w:type="dxa" w:w="2268"/>
            <w:shd w:fill="17365D"/>
            <w:vAlign w:val="center"/>
          </w:tcPr>
          <w:p>
            <w:r>
              <w:rPr>
                <w:b/>
                <w:color w:val="FFFFFF"/>
                <w:sz w:val="15"/>
              </w:rPr>
              <w:t>恶化原因</w:t>
            </w:r>
          </w:p>
        </w:tc>
        <w:tc>
          <w:tcPr>
            <w:tcW w:type="dxa" w:w="2381"/>
            <w:shd w:fill="17365D"/>
            <w:vAlign w:val="center"/>
          </w:tcPr>
          <w:p>
            <w:r>
              <w:rPr>
                <w:b/>
                <w:color w:val="FFFFFF"/>
                <w:sz w:val="15"/>
              </w:rPr>
              <w:t>向下追查</w:t>
            </w:r>
          </w:p>
        </w:tc>
      </w:tr>
      <w:tr>
        <w:tc>
          <w:tcPr>
            <w:tcW w:type="dxa" w:w="1417"/>
            <w:vAlign w:val="center"/>
          </w:tcPr>
          <w:p>
            <w:pPr>
              <w:spacing w:after="20" w:line="252" w:lineRule="auto"/>
            </w:pPr>
            <w:r>
              <w:rPr>
                <w:rFonts w:ascii="Microsoft YaHei" w:hAnsi="Microsoft YaHei"/>
                <w:sz w:val="15"/>
              </w:rPr>
              <w:t>应收账款余额</w:t>
            </w:r>
          </w:p>
        </w:tc>
        <w:tc>
          <w:tcPr>
            <w:tcW w:type="dxa" w:w="1701"/>
            <w:vAlign w:val="center"/>
          </w:tcPr>
          <w:p>
            <w:pPr>
              <w:spacing w:after="20" w:line="252" w:lineRule="auto"/>
            </w:pPr>
            <w:r>
              <w:rPr>
                <w:rFonts w:ascii="Microsoft YaHei" w:hAnsi="Microsoft YaHei"/>
                <w:sz w:val="15"/>
              </w:rPr>
              <w:t>期末应收总额</w:t>
            </w:r>
          </w:p>
        </w:tc>
        <w:tc>
          <w:tcPr>
            <w:tcW w:type="dxa" w:w="1984"/>
            <w:vAlign w:val="center"/>
          </w:tcPr>
          <w:p>
            <w:pPr>
              <w:spacing w:after="20" w:line="252" w:lineRule="auto"/>
            </w:pPr>
            <w:r>
              <w:rPr>
                <w:rFonts w:ascii="Microsoft YaHei" w:hAnsi="Microsoft YaHei"/>
                <w:sz w:val="15"/>
              </w:rPr>
              <w:t>反映资金占用，但必须结合收入规模</w:t>
            </w:r>
          </w:p>
        </w:tc>
        <w:tc>
          <w:tcPr>
            <w:tcW w:type="dxa" w:w="2268"/>
            <w:vAlign w:val="center"/>
          </w:tcPr>
          <w:p>
            <w:pPr>
              <w:spacing w:after="20" w:line="252" w:lineRule="auto"/>
            </w:pPr>
            <w:r>
              <w:rPr>
                <w:rFonts w:ascii="Microsoft YaHei" w:hAnsi="Microsoft YaHei"/>
                <w:sz w:val="15"/>
              </w:rPr>
              <w:t>收入增长、回款变慢、核销延迟或提前确认</w:t>
            </w:r>
          </w:p>
        </w:tc>
        <w:tc>
          <w:tcPr>
            <w:tcW w:type="dxa" w:w="2381"/>
            <w:vAlign w:val="center"/>
          </w:tcPr>
          <w:p>
            <w:pPr>
              <w:spacing w:after="20" w:line="252" w:lineRule="auto"/>
            </w:pPr>
            <w:r>
              <w:rPr>
                <w:rFonts w:ascii="Microsoft YaHei" w:hAnsi="Microsoft YaHei"/>
                <w:sz w:val="15"/>
              </w:rPr>
              <w:t>按客户、账龄、订单和责任销售下钻</w:t>
            </w:r>
          </w:p>
        </w:tc>
      </w:tr>
      <w:tr>
        <w:tc>
          <w:tcPr>
            <w:tcW w:type="dxa" w:w="1417"/>
            <w:vAlign w:val="center"/>
            <w:shd w:fill="F4F7FA"/>
          </w:tcPr>
          <w:p>
            <w:pPr>
              <w:spacing w:after="20" w:line="252" w:lineRule="auto"/>
            </w:pPr>
            <w:r>
              <w:rPr>
                <w:rFonts w:ascii="Microsoft YaHei" w:hAnsi="Microsoft YaHei"/>
                <w:sz w:val="15"/>
              </w:rPr>
              <w:t>逾期率</w:t>
            </w:r>
          </w:p>
        </w:tc>
        <w:tc>
          <w:tcPr>
            <w:tcW w:type="dxa" w:w="1701"/>
            <w:vAlign w:val="center"/>
            <w:shd w:fill="F4F7FA"/>
          </w:tcPr>
          <w:p>
            <w:pPr>
              <w:spacing w:after="20" w:line="252" w:lineRule="auto"/>
            </w:pPr>
            <w:r>
              <w:rPr>
                <w:rFonts w:ascii="Microsoft YaHei" w:hAnsi="Microsoft YaHei"/>
                <w:sz w:val="15"/>
              </w:rPr>
              <w:t>逾期应收÷应收余额</w:t>
            </w:r>
          </w:p>
        </w:tc>
        <w:tc>
          <w:tcPr>
            <w:tcW w:type="dxa" w:w="1984"/>
            <w:vAlign w:val="center"/>
            <w:shd w:fill="F4F7FA"/>
          </w:tcPr>
          <w:p>
            <w:pPr>
              <w:spacing w:after="20" w:line="252" w:lineRule="auto"/>
            </w:pPr>
            <w:r>
              <w:rPr>
                <w:rFonts w:ascii="Microsoft YaHei" w:hAnsi="Microsoft YaHei"/>
                <w:sz w:val="15"/>
              </w:rPr>
              <w:t>反映账期执行和信用质量</w:t>
            </w:r>
          </w:p>
        </w:tc>
        <w:tc>
          <w:tcPr>
            <w:tcW w:type="dxa" w:w="2268"/>
            <w:vAlign w:val="center"/>
            <w:shd w:fill="F4F7FA"/>
          </w:tcPr>
          <w:p>
            <w:pPr>
              <w:spacing w:after="20" w:line="252" w:lineRule="auto"/>
            </w:pPr>
            <w:r>
              <w:rPr>
                <w:rFonts w:ascii="Microsoft YaHei" w:hAnsi="Microsoft YaHei"/>
                <w:sz w:val="15"/>
              </w:rPr>
              <w:t>客户困难、争议、信用放宽、催收失效</w:t>
            </w:r>
          </w:p>
        </w:tc>
        <w:tc>
          <w:tcPr>
            <w:tcW w:type="dxa" w:w="2381"/>
            <w:vAlign w:val="center"/>
            <w:shd w:fill="F4F7FA"/>
          </w:tcPr>
          <w:p>
            <w:pPr>
              <w:spacing w:after="20" w:line="252" w:lineRule="auto"/>
            </w:pPr>
            <w:r>
              <w:rPr>
                <w:rFonts w:ascii="Microsoft YaHei" w:hAnsi="Microsoft YaHei"/>
                <w:sz w:val="15"/>
              </w:rPr>
              <w:t>区分未到期、技术逾期和实质风险</w:t>
            </w:r>
          </w:p>
        </w:tc>
      </w:tr>
      <w:tr>
        <w:tc>
          <w:tcPr>
            <w:tcW w:type="dxa" w:w="1417"/>
            <w:vAlign w:val="center"/>
          </w:tcPr>
          <w:p>
            <w:pPr>
              <w:spacing w:after="20" w:line="252" w:lineRule="auto"/>
            </w:pPr>
            <w:r>
              <w:rPr>
                <w:rFonts w:ascii="Microsoft YaHei" w:hAnsi="Microsoft YaHei"/>
                <w:sz w:val="15"/>
              </w:rPr>
              <w:t>DSO</w:t>
            </w:r>
          </w:p>
        </w:tc>
        <w:tc>
          <w:tcPr>
            <w:tcW w:type="dxa" w:w="1701"/>
            <w:vAlign w:val="center"/>
          </w:tcPr>
          <w:p>
            <w:pPr>
              <w:spacing w:after="20" w:line="252" w:lineRule="auto"/>
            </w:pPr>
            <w:r>
              <w:rPr>
                <w:rFonts w:ascii="Microsoft YaHei" w:hAnsi="Microsoft YaHei"/>
                <w:sz w:val="15"/>
              </w:rPr>
              <w:t>平均应收÷赊销收入×期间天数</w:t>
            </w:r>
          </w:p>
        </w:tc>
        <w:tc>
          <w:tcPr>
            <w:tcW w:type="dxa" w:w="1984"/>
            <w:vAlign w:val="center"/>
          </w:tcPr>
          <w:p>
            <w:pPr>
              <w:spacing w:after="20" w:line="252" w:lineRule="auto"/>
            </w:pPr>
            <w:r>
              <w:rPr>
                <w:rFonts w:ascii="Microsoft YaHei" w:hAnsi="Microsoft YaHei"/>
                <w:sz w:val="15"/>
              </w:rPr>
              <w:t>反映销售转化为现金的速度</w:t>
            </w:r>
          </w:p>
        </w:tc>
        <w:tc>
          <w:tcPr>
            <w:tcW w:type="dxa" w:w="2268"/>
            <w:vAlign w:val="center"/>
          </w:tcPr>
          <w:p>
            <w:pPr>
              <w:spacing w:after="20" w:line="252" w:lineRule="auto"/>
            </w:pPr>
            <w:r>
              <w:rPr>
                <w:rFonts w:ascii="Microsoft YaHei" w:hAnsi="Microsoft YaHei"/>
                <w:sz w:val="15"/>
              </w:rPr>
              <w:t>客户结构、账期、季节、收入截止和回款变化</w:t>
            </w:r>
          </w:p>
        </w:tc>
        <w:tc>
          <w:tcPr>
            <w:tcW w:type="dxa" w:w="2381"/>
            <w:vAlign w:val="center"/>
          </w:tcPr>
          <w:p>
            <w:pPr>
              <w:spacing w:after="20" w:line="252" w:lineRule="auto"/>
            </w:pPr>
            <w:r>
              <w:rPr>
                <w:rFonts w:ascii="Microsoft YaHei" w:hAnsi="Microsoft YaHei"/>
                <w:sz w:val="15"/>
              </w:rPr>
              <w:t>按区域、客户类型和销售人员拆分</w:t>
            </w:r>
          </w:p>
        </w:tc>
      </w:tr>
      <w:tr>
        <w:tc>
          <w:tcPr>
            <w:tcW w:type="dxa" w:w="1417"/>
            <w:vAlign w:val="center"/>
            <w:shd w:fill="F4F7FA"/>
          </w:tcPr>
          <w:p>
            <w:pPr>
              <w:spacing w:after="20" w:line="252" w:lineRule="auto"/>
            </w:pPr>
            <w:r>
              <w:rPr>
                <w:rFonts w:ascii="Microsoft YaHei" w:hAnsi="Microsoft YaHei"/>
                <w:sz w:val="15"/>
              </w:rPr>
              <w:t>90天以上逾期占比</w:t>
            </w:r>
          </w:p>
        </w:tc>
        <w:tc>
          <w:tcPr>
            <w:tcW w:type="dxa" w:w="1701"/>
            <w:vAlign w:val="center"/>
            <w:shd w:fill="F4F7FA"/>
          </w:tcPr>
          <w:p>
            <w:pPr>
              <w:spacing w:after="20" w:line="252" w:lineRule="auto"/>
            </w:pPr>
            <w:r>
              <w:rPr>
                <w:rFonts w:ascii="Microsoft YaHei" w:hAnsi="Microsoft YaHei"/>
                <w:sz w:val="15"/>
              </w:rPr>
              <w:t>逾期90天以上÷应收余额</w:t>
            </w:r>
          </w:p>
        </w:tc>
        <w:tc>
          <w:tcPr>
            <w:tcW w:type="dxa" w:w="1984"/>
            <w:vAlign w:val="center"/>
            <w:shd w:fill="F4F7FA"/>
          </w:tcPr>
          <w:p>
            <w:pPr>
              <w:spacing w:after="20" w:line="252" w:lineRule="auto"/>
            </w:pPr>
            <w:r>
              <w:rPr>
                <w:rFonts w:ascii="Microsoft YaHei" w:hAnsi="Microsoft YaHei"/>
                <w:sz w:val="15"/>
              </w:rPr>
              <w:t>聚焦高风险和难收款项</w:t>
            </w:r>
          </w:p>
        </w:tc>
        <w:tc>
          <w:tcPr>
            <w:tcW w:type="dxa" w:w="2268"/>
            <w:vAlign w:val="center"/>
            <w:shd w:fill="F4F7FA"/>
          </w:tcPr>
          <w:p>
            <w:pPr>
              <w:spacing w:after="20" w:line="252" w:lineRule="auto"/>
            </w:pPr>
            <w:r>
              <w:rPr>
                <w:rFonts w:ascii="Microsoft YaHei" w:hAnsi="Microsoft YaHei"/>
                <w:sz w:val="15"/>
              </w:rPr>
              <w:t>重大争议、客户恶化、责任不清</w:t>
            </w:r>
          </w:p>
        </w:tc>
        <w:tc>
          <w:tcPr>
            <w:tcW w:type="dxa" w:w="2381"/>
            <w:vAlign w:val="center"/>
            <w:shd w:fill="F4F7FA"/>
          </w:tcPr>
          <w:p>
            <w:pPr>
              <w:spacing w:after="20" w:line="252" w:lineRule="auto"/>
            </w:pPr>
            <w:r>
              <w:rPr>
                <w:rFonts w:ascii="Microsoft YaHei" w:hAnsi="Microsoft YaHei"/>
                <w:sz w:val="15"/>
              </w:rPr>
              <w:t>逐笔指定Owner和法务动作</w:t>
            </w:r>
          </w:p>
        </w:tc>
      </w:tr>
      <w:tr>
        <w:tc>
          <w:tcPr>
            <w:tcW w:type="dxa" w:w="1417"/>
            <w:vAlign w:val="center"/>
          </w:tcPr>
          <w:p>
            <w:pPr>
              <w:spacing w:after="20" w:line="252" w:lineRule="auto"/>
            </w:pPr>
            <w:r>
              <w:rPr>
                <w:rFonts w:ascii="Microsoft YaHei" w:hAnsi="Microsoft YaHei"/>
                <w:sz w:val="15"/>
              </w:rPr>
              <w:t>信用额度占用率</w:t>
            </w:r>
          </w:p>
        </w:tc>
        <w:tc>
          <w:tcPr>
            <w:tcW w:type="dxa" w:w="1701"/>
            <w:vAlign w:val="center"/>
          </w:tcPr>
          <w:p>
            <w:pPr>
              <w:spacing w:after="20" w:line="252" w:lineRule="auto"/>
            </w:pPr>
            <w:r>
              <w:rPr>
                <w:rFonts w:ascii="Microsoft YaHei" w:hAnsi="Microsoft YaHei"/>
                <w:sz w:val="15"/>
              </w:rPr>
              <w:t>客户未结余额及未开票风险敞口÷额度</w:t>
            </w:r>
          </w:p>
        </w:tc>
        <w:tc>
          <w:tcPr>
            <w:tcW w:type="dxa" w:w="1984"/>
            <w:vAlign w:val="center"/>
          </w:tcPr>
          <w:p>
            <w:pPr>
              <w:spacing w:after="20" w:line="252" w:lineRule="auto"/>
            </w:pPr>
            <w:r>
              <w:rPr>
                <w:rFonts w:ascii="Microsoft YaHei" w:hAnsi="Microsoft YaHei"/>
                <w:sz w:val="15"/>
              </w:rPr>
              <w:t>控制继续接单和发货风险</w:t>
            </w:r>
          </w:p>
        </w:tc>
        <w:tc>
          <w:tcPr>
            <w:tcW w:type="dxa" w:w="2268"/>
            <w:vAlign w:val="center"/>
          </w:tcPr>
          <w:p>
            <w:pPr>
              <w:spacing w:after="20" w:line="252" w:lineRule="auto"/>
            </w:pPr>
            <w:r>
              <w:rPr>
                <w:rFonts w:ascii="Microsoft YaHei" w:hAnsi="Microsoft YaHei"/>
                <w:sz w:val="15"/>
              </w:rPr>
              <w:t>额度过低、订单激增或回款变慢</w:t>
            </w:r>
          </w:p>
        </w:tc>
        <w:tc>
          <w:tcPr>
            <w:tcW w:type="dxa" w:w="2381"/>
            <w:vAlign w:val="center"/>
          </w:tcPr>
          <w:p>
            <w:pPr>
              <w:spacing w:after="20" w:line="252" w:lineRule="auto"/>
            </w:pPr>
            <w:r>
              <w:rPr>
                <w:rFonts w:ascii="Microsoft YaHei" w:hAnsi="Microsoft YaHei"/>
                <w:sz w:val="15"/>
              </w:rPr>
              <w:t>同时查看在途订单、担保和例外审批</w:t>
            </w:r>
          </w:p>
        </w:tc>
      </w:tr>
      <w:tr>
        <w:tc>
          <w:tcPr>
            <w:tcW w:type="dxa" w:w="1417"/>
            <w:vAlign w:val="center"/>
            <w:shd w:fill="F4F7FA"/>
          </w:tcPr>
          <w:p>
            <w:pPr>
              <w:spacing w:after="20" w:line="252" w:lineRule="auto"/>
            </w:pPr>
            <w:r>
              <w:rPr>
                <w:rFonts w:ascii="Microsoft YaHei" w:hAnsi="Microsoft YaHei"/>
                <w:sz w:val="15"/>
              </w:rPr>
              <w:t>回款预测准确率</w:t>
            </w:r>
          </w:p>
        </w:tc>
        <w:tc>
          <w:tcPr>
            <w:tcW w:type="dxa" w:w="1701"/>
            <w:vAlign w:val="center"/>
            <w:shd w:fill="F4F7FA"/>
          </w:tcPr>
          <w:p>
            <w:pPr>
              <w:spacing w:after="20" w:line="252" w:lineRule="auto"/>
            </w:pPr>
            <w:r>
              <w:rPr>
                <w:rFonts w:ascii="Microsoft YaHei" w:hAnsi="Microsoft YaHei"/>
                <w:sz w:val="15"/>
              </w:rPr>
              <w:t>实际回款÷预测回款或按偏差计算</w:t>
            </w:r>
          </w:p>
        </w:tc>
        <w:tc>
          <w:tcPr>
            <w:tcW w:type="dxa" w:w="1984"/>
            <w:vAlign w:val="center"/>
            <w:shd w:fill="F4F7FA"/>
          </w:tcPr>
          <w:p>
            <w:pPr>
              <w:spacing w:after="20" w:line="252" w:lineRule="auto"/>
            </w:pPr>
            <w:r>
              <w:rPr>
                <w:rFonts w:ascii="Microsoft YaHei" w:hAnsi="Microsoft YaHei"/>
                <w:sz w:val="15"/>
              </w:rPr>
              <w:t>评价现金预测和销售承诺质量</w:t>
            </w:r>
          </w:p>
        </w:tc>
        <w:tc>
          <w:tcPr>
            <w:tcW w:type="dxa" w:w="2268"/>
            <w:vAlign w:val="center"/>
            <w:shd w:fill="F4F7FA"/>
          </w:tcPr>
          <w:p>
            <w:pPr>
              <w:spacing w:after="20" w:line="252" w:lineRule="auto"/>
            </w:pPr>
            <w:r>
              <w:rPr>
                <w:rFonts w:ascii="Microsoft YaHei" w:hAnsi="Microsoft YaHei"/>
                <w:sz w:val="15"/>
              </w:rPr>
              <w:t>销售乐观、客户计划变化、认领延迟</w:t>
            </w:r>
          </w:p>
        </w:tc>
        <w:tc>
          <w:tcPr>
            <w:tcW w:type="dxa" w:w="2381"/>
            <w:vAlign w:val="center"/>
            <w:shd w:fill="F4F7FA"/>
          </w:tcPr>
          <w:p>
            <w:pPr>
              <w:spacing w:after="20" w:line="252" w:lineRule="auto"/>
            </w:pPr>
            <w:r>
              <w:rPr>
                <w:rFonts w:ascii="Microsoft YaHei" w:hAnsi="Microsoft YaHei"/>
                <w:sz w:val="15"/>
              </w:rPr>
              <w:t>分析承诺客户、金额和日期偏差</w:t>
            </w:r>
          </w:p>
        </w:tc>
      </w:tr>
      <w:tr>
        <w:tc>
          <w:tcPr>
            <w:tcW w:type="dxa" w:w="1417"/>
            <w:vAlign w:val="center"/>
          </w:tcPr>
          <w:p>
            <w:pPr>
              <w:spacing w:after="20" w:line="252" w:lineRule="auto"/>
            </w:pPr>
            <w:r>
              <w:rPr>
                <w:rFonts w:ascii="Microsoft YaHei" w:hAnsi="Microsoft YaHei"/>
                <w:sz w:val="15"/>
              </w:rPr>
              <w:t>争议应收占比</w:t>
            </w:r>
          </w:p>
        </w:tc>
        <w:tc>
          <w:tcPr>
            <w:tcW w:type="dxa" w:w="1701"/>
            <w:vAlign w:val="center"/>
          </w:tcPr>
          <w:p>
            <w:pPr>
              <w:spacing w:after="20" w:line="252" w:lineRule="auto"/>
            </w:pPr>
            <w:r>
              <w:rPr>
                <w:rFonts w:ascii="Microsoft YaHei" w:hAnsi="Microsoft YaHei"/>
                <w:sz w:val="15"/>
              </w:rPr>
              <w:t>争议款÷应收余额</w:t>
            </w:r>
          </w:p>
        </w:tc>
        <w:tc>
          <w:tcPr>
            <w:tcW w:type="dxa" w:w="1984"/>
            <w:vAlign w:val="center"/>
          </w:tcPr>
          <w:p>
            <w:pPr>
              <w:spacing w:after="20" w:line="252" w:lineRule="auto"/>
            </w:pPr>
            <w:r>
              <w:rPr>
                <w:rFonts w:ascii="Microsoft YaHei" w:hAnsi="Microsoft YaHei"/>
                <w:sz w:val="15"/>
              </w:rPr>
              <w:t>区分信用问题和交付质量问题</w:t>
            </w:r>
          </w:p>
        </w:tc>
        <w:tc>
          <w:tcPr>
            <w:tcW w:type="dxa" w:w="2268"/>
            <w:vAlign w:val="center"/>
          </w:tcPr>
          <w:p>
            <w:pPr>
              <w:spacing w:after="20" w:line="252" w:lineRule="auto"/>
            </w:pPr>
            <w:r>
              <w:rPr>
                <w:rFonts w:ascii="Microsoft YaHei" w:hAnsi="Microsoft YaHei"/>
                <w:sz w:val="15"/>
              </w:rPr>
              <w:t>验收、质量、开票、价格或合同问题</w:t>
            </w:r>
          </w:p>
        </w:tc>
        <w:tc>
          <w:tcPr>
            <w:tcW w:type="dxa" w:w="2381"/>
            <w:vAlign w:val="center"/>
          </w:tcPr>
          <w:p>
            <w:pPr>
              <w:spacing w:after="20" w:line="252" w:lineRule="auto"/>
            </w:pPr>
            <w:r>
              <w:rPr>
                <w:rFonts w:ascii="Microsoft YaHei" w:hAnsi="Microsoft YaHei"/>
                <w:sz w:val="15"/>
              </w:rPr>
              <w:t>按争议类型和责任部门分析</w:t>
            </w:r>
          </w:p>
        </w:tc>
      </w:tr>
      <w:tr>
        <w:tc>
          <w:tcPr>
            <w:tcW w:type="dxa" w:w="1417"/>
            <w:vAlign w:val="center"/>
            <w:shd w:fill="F4F7FA"/>
          </w:tcPr>
          <w:p>
            <w:pPr>
              <w:spacing w:after="20" w:line="252" w:lineRule="auto"/>
            </w:pPr>
            <w:r>
              <w:rPr>
                <w:rFonts w:ascii="Microsoft YaHei" w:hAnsi="Microsoft YaHei"/>
                <w:sz w:val="15"/>
              </w:rPr>
              <w:t>集中度</w:t>
            </w:r>
          </w:p>
        </w:tc>
        <w:tc>
          <w:tcPr>
            <w:tcW w:type="dxa" w:w="1701"/>
            <w:vAlign w:val="center"/>
            <w:shd w:fill="F4F7FA"/>
          </w:tcPr>
          <w:p>
            <w:pPr>
              <w:spacing w:after="20" w:line="252" w:lineRule="auto"/>
            </w:pPr>
            <w:r>
              <w:rPr>
                <w:rFonts w:ascii="Microsoft YaHei" w:hAnsi="Microsoft YaHei"/>
                <w:sz w:val="15"/>
              </w:rPr>
              <w:t>前五大客户应收÷应收余额</w:t>
            </w:r>
          </w:p>
        </w:tc>
        <w:tc>
          <w:tcPr>
            <w:tcW w:type="dxa" w:w="1984"/>
            <w:vAlign w:val="center"/>
            <w:shd w:fill="F4F7FA"/>
          </w:tcPr>
          <w:p>
            <w:pPr>
              <w:spacing w:after="20" w:line="252" w:lineRule="auto"/>
            </w:pPr>
            <w:r>
              <w:rPr>
                <w:rFonts w:ascii="Microsoft YaHei" w:hAnsi="Microsoft YaHei"/>
                <w:sz w:val="15"/>
              </w:rPr>
              <w:t>衡量客户集中和现金风险</w:t>
            </w:r>
          </w:p>
        </w:tc>
        <w:tc>
          <w:tcPr>
            <w:tcW w:type="dxa" w:w="2268"/>
            <w:vAlign w:val="center"/>
            <w:shd w:fill="F4F7FA"/>
          </w:tcPr>
          <w:p>
            <w:pPr>
              <w:spacing w:after="20" w:line="252" w:lineRule="auto"/>
            </w:pPr>
            <w:r>
              <w:rPr>
                <w:rFonts w:ascii="Microsoft YaHei" w:hAnsi="Microsoft YaHei"/>
                <w:sz w:val="15"/>
              </w:rPr>
              <w:t>大客户项目增加或小客户减少</w:t>
            </w:r>
          </w:p>
        </w:tc>
        <w:tc>
          <w:tcPr>
            <w:tcW w:type="dxa" w:w="2381"/>
            <w:vAlign w:val="center"/>
            <w:shd w:fill="F4F7FA"/>
          </w:tcPr>
          <w:p>
            <w:pPr>
              <w:spacing w:after="20" w:line="252" w:lineRule="auto"/>
            </w:pPr>
            <w:r>
              <w:rPr>
                <w:rFonts w:ascii="Microsoft YaHei" w:hAnsi="Microsoft YaHei"/>
                <w:sz w:val="15"/>
              </w:rPr>
              <w:t>评估单一客户违约冲击</w:t>
            </w:r>
          </w:p>
        </w:tc>
      </w:tr>
      <w:tr>
        <w:tc>
          <w:tcPr>
            <w:tcW w:type="dxa" w:w="1417"/>
            <w:vAlign w:val="center"/>
          </w:tcPr>
          <w:p>
            <w:pPr>
              <w:spacing w:after="20" w:line="252" w:lineRule="auto"/>
            </w:pPr>
            <w:r>
              <w:rPr>
                <w:rFonts w:ascii="Microsoft YaHei" w:hAnsi="Microsoft YaHei"/>
                <w:sz w:val="15"/>
              </w:rPr>
              <w:t>坏账准备覆盖率</w:t>
            </w:r>
          </w:p>
        </w:tc>
        <w:tc>
          <w:tcPr>
            <w:tcW w:type="dxa" w:w="1701"/>
            <w:vAlign w:val="center"/>
          </w:tcPr>
          <w:p>
            <w:pPr>
              <w:spacing w:after="20" w:line="252" w:lineRule="auto"/>
            </w:pPr>
            <w:r>
              <w:rPr>
                <w:rFonts w:ascii="Microsoft YaHei" w:hAnsi="Microsoft YaHei"/>
                <w:sz w:val="15"/>
              </w:rPr>
              <w:t>坏账准备÷应收余额</w:t>
            </w:r>
          </w:p>
        </w:tc>
        <w:tc>
          <w:tcPr>
            <w:tcW w:type="dxa" w:w="1984"/>
            <w:vAlign w:val="center"/>
          </w:tcPr>
          <w:p>
            <w:pPr>
              <w:spacing w:after="20" w:line="252" w:lineRule="auto"/>
            </w:pPr>
            <w:r>
              <w:rPr>
                <w:rFonts w:ascii="Microsoft YaHei" w:hAnsi="Microsoft YaHei"/>
                <w:sz w:val="15"/>
              </w:rPr>
              <w:t>反映减值覆盖但不能脱离风险结构</w:t>
            </w:r>
          </w:p>
        </w:tc>
        <w:tc>
          <w:tcPr>
            <w:tcW w:type="dxa" w:w="2268"/>
            <w:vAlign w:val="center"/>
          </w:tcPr>
          <w:p>
            <w:pPr>
              <w:spacing w:after="20" w:line="252" w:lineRule="auto"/>
            </w:pPr>
            <w:r>
              <w:rPr>
                <w:rFonts w:ascii="Microsoft YaHei" w:hAnsi="Microsoft YaHei"/>
                <w:sz w:val="15"/>
              </w:rPr>
              <w:t>模型参数、组合变化或个别评估</w:t>
            </w:r>
          </w:p>
        </w:tc>
        <w:tc>
          <w:tcPr>
            <w:tcW w:type="dxa" w:w="2381"/>
            <w:vAlign w:val="center"/>
          </w:tcPr>
          <w:p>
            <w:pPr>
              <w:spacing w:after="20" w:line="252" w:lineRule="auto"/>
            </w:pPr>
            <w:r>
              <w:rPr>
                <w:rFonts w:ascii="Microsoft YaHei" w:hAnsi="Microsoft YaHei"/>
                <w:sz w:val="15"/>
              </w:rPr>
              <w:t>与账龄迁徙、核销和回收率联动</w:t>
            </w:r>
          </w:p>
        </w:tc>
      </w:tr>
      <w:tr>
        <w:tc>
          <w:tcPr>
            <w:tcW w:type="dxa" w:w="1417"/>
            <w:vAlign w:val="center"/>
            <w:shd w:fill="F4F7FA"/>
          </w:tcPr>
          <w:p>
            <w:pPr>
              <w:spacing w:after="20" w:line="252" w:lineRule="auto"/>
            </w:pPr>
            <w:r>
              <w:rPr>
                <w:rFonts w:ascii="Microsoft YaHei" w:hAnsi="Microsoft YaHei"/>
                <w:sz w:val="15"/>
              </w:rPr>
              <w:t>核销及时率</w:t>
            </w:r>
          </w:p>
        </w:tc>
        <w:tc>
          <w:tcPr>
            <w:tcW w:type="dxa" w:w="1701"/>
            <w:vAlign w:val="center"/>
            <w:shd w:fill="F4F7FA"/>
          </w:tcPr>
          <w:p>
            <w:pPr>
              <w:spacing w:after="20" w:line="252" w:lineRule="auto"/>
            </w:pPr>
            <w:r>
              <w:rPr>
                <w:rFonts w:ascii="Microsoft YaHei" w:hAnsi="Microsoft YaHei"/>
                <w:sz w:val="15"/>
              </w:rPr>
              <w:t>已认领收款÷银行收款</w:t>
            </w:r>
          </w:p>
        </w:tc>
        <w:tc>
          <w:tcPr>
            <w:tcW w:type="dxa" w:w="1984"/>
            <w:vAlign w:val="center"/>
            <w:shd w:fill="F4F7FA"/>
          </w:tcPr>
          <w:p>
            <w:pPr>
              <w:spacing w:after="20" w:line="252" w:lineRule="auto"/>
            </w:pPr>
            <w:r>
              <w:rPr>
                <w:rFonts w:ascii="Microsoft YaHei" w:hAnsi="Microsoft YaHei"/>
                <w:sz w:val="15"/>
              </w:rPr>
              <w:t>反映AR数据是否可用于催收和预测</w:t>
            </w:r>
          </w:p>
        </w:tc>
        <w:tc>
          <w:tcPr>
            <w:tcW w:type="dxa" w:w="2268"/>
            <w:vAlign w:val="center"/>
            <w:shd w:fill="F4F7FA"/>
          </w:tcPr>
          <w:p>
            <w:pPr>
              <w:spacing w:after="20" w:line="252" w:lineRule="auto"/>
            </w:pPr>
            <w:r>
              <w:rPr>
                <w:rFonts w:ascii="Microsoft YaHei" w:hAnsi="Microsoft YaHei"/>
                <w:sz w:val="15"/>
              </w:rPr>
              <w:t>摘要不清、主数据差、责任人不反馈</w:t>
            </w:r>
          </w:p>
        </w:tc>
        <w:tc>
          <w:tcPr>
            <w:tcW w:type="dxa" w:w="2381"/>
            <w:vAlign w:val="center"/>
            <w:shd w:fill="F4F7FA"/>
          </w:tcPr>
          <w:p>
            <w:pPr>
              <w:spacing w:after="20" w:line="252" w:lineRule="auto"/>
            </w:pPr>
            <w:r>
              <w:rPr>
                <w:rFonts w:ascii="Microsoft YaHei" w:hAnsi="Microsoft YaHei"/>
                <w:sz w:val="15"/>
              </w:rPr>
              <w:t>查看未认领金额和账龄</w:t>
            </w:r>
          </w:p>
        </w:tc>
      </w:tr>
    </w:tbl>
    <w:p>
      <w:pPr>
        <w:spacing w:after="40"/>
      </w:pPr>
    </w:p>
    <w:p>
      <w:pPr>
        <w:pStyle w:val="Heading2"/>
        <w:keepNext/>
      </w:pPr>
      <w:r>
        <w:t>9.1 应收增加的原因树</w:t>
      </w:r>
    </w:p>
    <w:p>
      <w:pPr>
        <w:pStyle w:val="ListBullet"/>
        <w:spacing w:after="40"/>
      </w:pPr>
      <w:r>
        <w:t>规模：赊销收入增长是否足以解释余额增长。</w:t>
      </w:r>
    </w:p>
    <w:p>
      <w:pPr>
        <w:pStyle w:val="ListBullet"/>
        <w:spacing w:after="40"/>
      </w:pPr>
      <w:r>
        <w:t>政策：账期、额度或例外是否放宽。</w:t>
      </w:r>
    </w:p>
    <w:p>
      <w:pPr>
        <w:pStyle w:val="ListBullet"/>
        <w:spacing w:after="40"/>
      </w:pPr>
      <w:r>
        <w:t>结构：大客户、项目客户或高风险客户占比是否增加。</w:t>
      </w:r>
    </w:p>
    <w:p>
      <w:pPr>
        <w:pStyle w:val="ListBullet"/>
        <w:spacing w:after="40"/>
      </w:pPr>
      <w:r>
        <w:t>执行：催收、验收、发票和回款认领是否变慢。</w:t>
      </w:r>
    </w:p>
    <w:p>
      <w:pPr>
        <w:pStyle w:val="ListBullet"/>
        <w:spacing w:after="40"/>
      </w:pPr>
      <w:r>
        <w:t>质量：退货、争议、提前确认收入或客户经营困难。</w:t>
      </w:r>
    </w:p>
    <w:p>
      <w:pPr>
        <w:pStyle w:val="ListBullet"/>
        <w:spacing w:after="40"/>
      </w:pPr>
      <w:r>
        <w:t>数据：串户、重复确认、未核销和截止错误。</w:t>
      </w:r>
    </w:p>
    <w:p>
      <w:pPr>
        <w:pStyle w:val="Heading2"/>
        <w:keepNext/>
      </w:pPr>
      <w:r>
        <w:t>9.2 指标不能机械比较</w:t>
      </w:r>
    </w:p>
    <w:p>
      <w:pPr>
        <w:spacing w:after="100" w:line="300" w:lineRule="auto"/>
      </w:pPr>
      <w:r>
        <w:t>项目型国企客户可能合同账期长但违约概率较低；经销商账期短却可能风险集中。DSO和逾期率必须结合合同条款、业务季节性、客户结构和收入真实性分析，不能用单一阈值评价所有客户。</w:t>
      </w:r>
    </w:p>
    <w:p>
      <w:pPr>
        <w:pStyle w:val="Heading1"/>
        <w:keepNext/>
      </w:pPr>
      <w:r>
        <w:t>第十章 高频异常案例库</w:t>
      </w:r>
    </w:p>
    <w:p>
      <w:pPr>
        <w:pStyle w:val="Heading3"/>
        <w:keepNext/>
      </w:pPr>
      <w:r>
        <w:t>AR-C01 客户逾期90天，销售要求继续发货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先冻结自动放货，核对额度、逾期原因、客户偿付能力和新增订单毛利</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销售总监、法务、财务经理</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信用例外审批、明确回款前置条件和失效日期</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重大逾期继续扩大且无审批时升级总经理</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AR-C02 客户称未验收所以拒付，但销售已确认收入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取得合同、验收条款、签收、现场记录和客户书面异议</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销售、项目、法务、总账</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区分真实履约争议、收入确认错误和单纯付款拖延</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可能影响收入和报表时立即升级</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AR-C03 银行收到113万元但摘要不清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不得凭金额随意核销，先查付款户名、历史回款和客户确认</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资金、AR、销售</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生成高置信度候选，客户或销售书面确认后核销</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长期无法认领列入月结Issue</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AR-C04 销售要求把逾期原因写成客户走流程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要求提供客户付款计划、联系人、审批节点和证据</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销售负责人</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原因必须具体、可验证并设下次行动日</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连续两期空泛说明升级</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AR-C05 同一客户在应收和合同负债同时有余额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按合同、项目、客户法人和抵销条件逐笔核对</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总账、销售、法务</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不能因同一客户就自动净额列示</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重大列报影响升级财务经理</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AR-C06 客户要求把发票改开给关联公司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核实合同、实际交易、付款义务及三方安排</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销售、税务、法务</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主体不一致需合法业务安排和完整证据</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拒绝无真实安排的换票要求</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AR-C07 对账函客户不回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通过邮件、门户、签收、后续回款和业务确认取得替代证据</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销售、AR</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列明未回函原因和替代证据</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重大长期余额转法务评估</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AR-C08 销售把回款奖金作为唯一目标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分析是否诱导提前压货、异常退款或短期行为</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销售管理层、HR</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收入、毛利、回款、逾期和退货联合考核</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政策调整由财务经理推动</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AR-C09 客户破产但账龄只有60天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启动个别评估，不机械套用账龄比例</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法务、销售、财务经理</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结合破产信息、担保、受偿顺序和预计现金流计提</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重大减值及时报告管理层</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AR-C10 以前年度坏账已核销，本期又收回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核对原核销审批、到账和客户</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AR、总账</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账销案存并按准则进行收回处理</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防止形成账外资金</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AR-C11 客户以质量问题抵扣货款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取得质量报告、索赔条款、退换货和双方确认</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质量、销售、法务</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区分折让、退款、赔偿和无依据扣款</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影响收入、税务或产品质量时升级</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AR-C12 销售人员私下承诺延长账期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核对权限、邮件、合同变更和客户证据</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销售总监、法务</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未经授权承诺不得自动改变系统信用条件</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评估表见代理及法律风险</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AR-C13 客户回款被核销到错误发票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按客户、金额、时间和指定用途复核并更正核销</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AR、总账</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保持客户余额和账龄准确</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影响催收或ECL时当月修正</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AR-C14 月末大量未开票收入形成合同资产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核对履约、无条件收款权和开票条件</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项目、销售、总账</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合同资产与应收账款不得混淆</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重大判断由财务经理批准</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AR-C15 老板要求不给长期客户计提坏账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以预期信用损失证据和敏感性测算说明影响</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财务经理、总经理</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不能因关系好或关联方身份免于评估</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涉及报表失真时书面升级</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1"/>
        <w:keepNext/>
      </w:pPr>
      <w:r>
        <w:t>第十一章 内部控制 舞弊和红旗信号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2479"/>
        <w:gridCol w:w="2479"/>
        <w:gridCol w:w="2479"/>
      </w:tblGrid>
      <w:tr>
        <w:trPr>
          <w:tblHeader w:val="true"/>
        </w:trPr>
        <w:tc>
          <w:tcPr>
            <w:tcW w:type="dxa" w:w="1814"/>
            <w:shd w:fill="17365D"/>
            <w:vAlign w:val="center"/>
          </w:tcPr>
          <w:p>
            <w:r>
              <w:rPr>
                <w:b/>
                <w:color w:val="FFFFFF"/>
                <w:sz w:val="16"/>
              </w:rPr>
              <w:t>控制</w:t>
            </w:r>
          </w:p>
        </w:tc>
        <w:tc>
          <w:tcPr>
            <w:tcW w:type="dxa" w:w="2154"/>
            <w:shd w:fill="17365D"/>
            <w:vAlign w:val="center"/>
          </w:tcPr>
          <w:p>
            <w:r>
              <w:rPr>
                <w:b/>
                <w:color w:val="FFFFFF"/>
                <w:sz w:val="16"/>
              </w:rPr>
              <w:t>主要风险</w:t>
            </w:r>
          </w:p>
        </w:tc>
        <w:tc>
          <w:tcPr>
            <w:tcW w:type="dxa" w:w="3231"/>
            <w:shd w:fill="17365D"/>
            <w:vAlign w:val="center"/>
          </w:tcPr>
          <w:p>
            <w:r>
              <w:rPr>
                <w:b/>
                <w:color w:val="FFFFFF"/>
                <w:sz w:val="16"/>
              </w:rPr>
              <w:t>控制动作</w:t>
            </w:r>
          </w:p>
        </w:tc>
        <w:tc>
          <w:tcPr>
            <w:tcW w:type="dxa" w:w="1701"/>
            <w:shd w:fill="17365D"/>
            <w:vAlign w:val="center"/>
          </w:tcPr>
          <w:p>
            <w:r>
              <w:rPr>
                <w:b/>
                <w:color w:val="FFFFFF"/>
                <w:sz w:val="16"/>
              </w:rPr>
              <w:t>证据</w:t>
            </w:r>
          </w:p>
        </w:tc>
      </w:tr>
      <w:tr>
        <w:tc>
          <w:tcPr>
            <w:tcW w:type="dxa" w:w="1814"/>
            <w:vAlign w:val="center"/>
          </w:tcPr>
          <w:p>
            <w:pPr>
              <w:spacing w:after="20" w:line="252" w:lineRule="auto"/>
            </w:pPr>
            <w:r>
              <w:rPr>
                <w:rFonts w:ascii="Microsoft YaHei" w:hAnsi="Microsoft YaHei"/>
                <w:sz w:val="16"/>
              </w:rPr>
              <w:t>客户主数据创建与销售审批分离</w:t>
            </w:r>
          </w:p>
        </w:tc>
        <w:tc>
          <w:tcPr>
            <w:tcW w:type="dxa" w:w="2154"/>
            <w:vAlign w:val="center"/>
          </w:tcPr>
          <w:p>
            <w:pPr>
              <w:spacing w:after="20" w:line="252" w:lineRule="auto"/>
            </w:pPr>
            <w:r>
              <w:rPr>
                <w:rFonts w:ascii="Microsoft YaHei" w:hAnsi="Microsoft YaHei"/>
                <w:sz w:val="16"/>
              </w:rPr>
              <w:t>虚构客户或绕过信用</w:t>
            </w:r>
          </w:p>
        </w:tc>
        <w:tc>
          <w:tcPr>
            <w:tcW w:type="dxa" w:w="3231"/>
            <w:vAlign w:val="center"/>
          </w:tcPr>
          <w:p>
            <w:pPr>
              <w:spacing w:after="20" w:line="252" w:lineRule="auto"/>
            </w:pPr>
            <w:r>
              <w:rPr>
                <w:rFonts w:ascii="Microsoft YaHei" w:hAnsi="Microsoft YaHei"/>
                <w:sz w:val="16"/>
              </w:rPr>
              <w:t>客户创建人不能审批信用和发货例外</w:t>
            </w:r>
          </w:p>
        </w:tc>
        <w:tc>
          <w:tcPr>
            <w:tcW w:type="dxa" w:w="1701"/>
            <w:vAlign w:val="center"/>
          </w:tcPr>
          <w:p>
            <w:pPr>
              <w:spacing w:after="20" w:line="252" w:lineRule="auto"/>
            </w:pPr>
            <w:r>
              <w:rPr>
                <w:rFonts w:ascii="Microsoft YaHei" w:hAnsi="Microsoft YaHei"/>
                <w:sz w:val="16"/>
              </w:rPr>
              <w:t>IT权限清单、审批记录</w:t>
            </w:r>
          </w:p>
        </w:tc>
      </w:tr>
      <w:tr>
        <w:tc>
          <w:tcPr>
            <w:tcW w:type="dxa" w:w="1814"/>
            <w:vAlign w:val="center"/>
            <w:shd w:fill="F4F7FA"/>
          </w:tcPr>
          <w:p>
            <w:pPr>
              <w:spacing w:after="20" w:line="252" w:lineRule="auto"/>
            </w:pPr>
            <w:r>
              <w:rPr>
                <w:rFonts w:ascii="Microsoft YaHei" w:hAnsi="Microsoft YaHei"/>
                <w:sz w:val="16"/>
              </w:rPr>
              <w:t>信用评估与合同审批分离</w:t>
            </w:r>
          </w:p>
        </w:tc>
        <w:tc>
          <w:tcPr>
            <w:tcW w:type="dxa" w:w="2154"/>
            <w:vAlign w:val="center"/>
            <w:shd w:fill="F4F7FA"/>
          </w:tcPr>
          <w:p>
            <w:pPr>
              <w:spacing w:after="20" w:line="252" w:lineRule="auto"/>
            </w:pPr>
            <w:r>
              <w:rPr>
                <w:rFonts w:ascii="Microsoft YaHei" w:hAnsi="Microsoft YaHei"/>
                <w:sz w:val="16"/>
              </w:rPr>
              <w:t>销售为冲业绩放宽账期</w:t>
            </w:r>
          </w:p>
        </w:tc>
        <w:tc>
          <w:tcPr>
            <w:tcW w:type="dxa" w:w="3231"/>
            <w:vAlign w:val="center"/>
            <w:shd w:fill="F4F7FA"/>
          </w:tcPr>
          <w:p>
            <w:pPr>
              <w:spacing w:after="20" w:line="252" w:lineRule="auto"/>
            </w:pPr>
            <w:r>
              <w:rPr>
                <w:rFonts w:ascii="Microsoft YaHei" w:hAnsi="Microsoft YaHei"/>
                <w:sz w:val="16"/>
              </w:rPr>
              <w:t>额度和账期超政策需独立审批</w:t>
            </w:r>
          </w:p>
        </w:tc>
        <w:tc>
          <w:tcPr>
            <w:tcW w:type="dxa" w:w="1701"/>
            <w:vAlign w:val="center"/>
            <w:shd w:fill="F4F7FA"/>
          </w:tcPr>
          <w:p>
            <w:pPr>
              <w:spacing w:after="20" w:line="252" w:lineRule="auto"/>
            </w:pPr>
            <w:r>
              <w:rPr>
                <w:rFonts w:ascii="Microsoft YaHei" w:hAnsi="Microsoft YaHei"/>
                <w:sz w:val="16"/>
              </w:rPr>
              <w:t>信用审批单</w:t>
            </w:r>
          </w:p>
        </w:tc>
      </w:tr>
      <w:tr>
        <w:tc>
          <w:tcPr>
            <w:tcW w:type="dxa" w:w="1814"/>
            <w:vAlign w:val="center"/>
          </w:tcPr>
          <w:p>
            <w:pPr>
              <w:spacing w:after="20" w:line="252" w:lineRule="auto"/>
            </w:pPr>
            <w:r>
              <w:rPr>
                <w:rFonts w:ascii="Microsoft YaHei" w:hAnsi="Microsoft YaHei"/>
                <w:sz w:val="16"/>
              </w:rPr>
              <w:t>发货受信用额度控制</w:t>
            </w:r>
          </w:p>
        </w:tc>
        <w:tc>
          <w:tcPr>
            <w:tcW w:type="dxa" w:w="2154"/>
            <w:vAlign w:val="center"/>
          </w:tcPr>
          <w:p>
            <w:pPr>
              <w:spacing w:after="20" w:line="252" w:lineRule="auto"/>
            </w:pPr>
            <w:r>
              <w:rPr>
                <w:rFonts w:ascii="Microsoft YaHei" w:hAnsi="Microsoft YaHei"/>
                <w:sz w:val="16"/>
              </w:rPr>
              <w:t>超额、逾期继续发货</w:t>
            </w:r>
          </w:p>
        </w:tc>
        <w:tc>
          <w:tcPr>
            <w:tcW w:type="dxa" w:w="3231"/>
            <w:vAlign w:val="center"/>
          </w:tcPr>
          <w:p>
            <w:pPr>
              <w:spacing w:after="20" w:line="252" w:lineRule="auto"/>
            </w:pPr>
            <w:r>
              <w:rPr>
                <w:rFonts w:ascii="Microsoft YaHei" w:hAnsi="Microsoft YaHei"/>
                <w:sz w:val="16"/>
              </w:rPr>
              <w:t>ERP自动冻结，例外有金额和期限</w:t>
            </w:r>
          </w:p>
        </w:tc>
        <w:tc>
          <w:tcPr>
            <w:tcW w:type="dxa" w:w="1701"/>
            <w:vAlign w:val="center"/>
          </w:tcPr>
          <w:p>
            <w:pPr>
              <w:spacing w:after="20" w:line="252" w:lineRule="auto"/>
            </w:pPr>
            <w:r>
              <w:rPr>
                <w:rFonts w:ascii="Microsoft YaHei" w:hAnsi="Microsoft YaHei"/>
                <w:sz w:val="16"/>
              </w:rPr>
              <w:t>放货日志</w:t>
            </w:r>
          </w:p>
        </w:tc>
      </w:tr>
      <w:tr>
        <w:tc>
          <w:tcPr>
            <w:tcW w:type="dxa" w:w="1814"/>
            <w:vAlign w:val="center"/>
            <w:shd w:fill="F4F7FA"/>
          </w:tcPr>
          <w:p>
            <w:pPr>
              <w:spacing w:after="20" w:line="252" w:lineRule="auto"/>
            </w:pPr>
            <w:r>
              <w:rPr>
                <w:rFonts w:ascii="Microsoft YaHei" w:hAnsi="Microsoft YaHei"/>
                <w:sz w:val="16"/>
              </w:rPr>
              <w:t>开票依据完整</w:t>
            </w:r>
          </w:p>
        </w:tc>
        <w:tc>
          <w:tcPr>
            <w:tcW w:type="dxa" w:w="2154"/>
            <w:vAlign w:val="center"/>
            <w:shd w:fill="F4F7FA"/>
          </w:tcPr>
          <w:p>
            <w:pPr>
              <w:spacing w:after="20" w:line="252" w:lineRule="auto"/>
            </w:pPr>
            <w:r>
              <w:rPr>
                <w:rFonts w:ascii="Microsoft YaHei" w:hAnsi="Microsoft YaHei"/>
                <w:sz w:val="16"/>
              </w:rPr>
              <w:t>提前或虚假开票</w:t>
            </w:r>
          </w:p>
        </w:tc>
        <w:tc>
          <w:tcPr>
            <w:tcW w:type="dxa" w:w="3231"/>
            <w:vAlign w:val="center"/>
            <w:shd w:fill="F4F7FA"/>
          </w:tcPr>
          <w:p>
            <w:pPr>
              <w:spacing w:after="20" w:line="252" w:lineRule="auto"/>
            </w:pPr>
            <w:r>
              <w:rPr>
                <w:rFonts w:ascii="Microsoft YaHei" w:hAnsi="Microsoft YaHei"/>
                <w:sz w:val="16"/>
              </w:rPr>
              <w:t>按发货、验收和合同条件开票</w:t>
            </w:r>
          </w:p>
        </w:tc>
        <w:tc>
          <w:tcPr>
            <w:tcW w:type="dxa" w:w="1701"/>
            <w:vAlign w:val="center"/>
            <w:shd w:fill="F4F7FA"/>
          </w:tcPr>
          <w:p>
            <w:pPr>
              <w:spacing w:after="20" w:line="252" w:lineRule="auto"/>
            </w:pPr>
            <w:r>
              <w:rPr>
                <w:rFonts w:ascii="Microsoft YaHei" w:hAnsi="Microsoft YaHei"/>
                <w:sz w:val="16"/>
              </w:rPr>
              <w:t>发票、出库、验收</w:t>
            </w:r>
          </w:p>
        </w:tc>
      </w:tr>
      <w:tr>
        <w:tc>
          <w:tcPr>
            <w:tcW w:type="dxa" w:w="1814"/>
            <w:vAlign w:val="center"/>
          </w:tcPr>
          <w:p>
            <w:pPr>
              <w:spacing w:after="20" w:line="252" w:lineRule="auto"/>
            </w:pPr>
            <w:r>
              <w:rPr>
                <w:rFonts w:ascii="Microsoft YaHei" w:hAnsi="Microsoft YaHei"/>
                <w:sz w:val="16"/>
              </w:rPr>
              <w:t>收款与核销分离</w:t>
            </w:r>
          </w:p>
        </w:tc>
        <w:tc>
          <w:tcPr>
            <w:tcW w:type="dxa" w:w="2154"/>
            <w:vAlign w:val="center"/>
          </w:tcPr>
          <w:p>
            <w:pPr>
              <w:spacing w:after="20" w:line="252" w:lineRule="auto"/>
            </w:pPr>
            <w:r>
              <w:rPr>
                <w:rFonts w:ascii="Microsoft YaHei" w:hAnsi="Microsoft YaHei"/>
                <w:sz w:val="16"/>
              </w:rPr>
              <w:t>挪用或错配回款</w:t>
            </w:r>
          </w:p>
        </w:tc>
        <w:tc>
          <w:tcPr>
            <w:tcW w:type="dxa" w:w="3231"/>
            <w:vAlign w:val="center"/>
          </w:tcPr>
          <w:p>
            <w:pPr>
              <w:spacing w:after="20" w:line="252" w:lineRule="auto"/>
            </w:pPr>
            <w:r>
              <w:rPr>
                <w:rFonts w:ascii="Microsoft YaHei" w:hAnsi="Microsoft YaHei"/>
                <w:sz w:val="16"/>
              </w:rPr>
              <w:t>资金确认到账，AR核销，主管复核</w:t>
            </w:r>
          </w:p>
        </w:tc>
        <w:tc>
          <w:tcPr>
            <w:tcW w:type="dxa" w:w="1701"/>
            <w:vAlign w:val="center"/>
          </w:tcPr>
          <w:p>
            <w:pPr>
              <w:spacing w:after="20" w:line="252" w:lineRule="auto"/>
            </w:pPr>
            <w:r>
              <w:rPr>
                <w:rFonts w:ascii="Microsoft YaHei" w:hAnsi="Microsoft YaHei"/>
                <w:sz w:val="16"/>
              </w:rPr>
              <w:t>流水和核销日志</w:t>
            </w:r>
          </w:p>
        </w:tc>
      </w:tr>
      <w:tr>
        <w:tc>
          <w:tcPr>
            <w:tcW w:type="dxa" w:w="1814"/>
            <w:vAlign w:val="center"/>
            <w:shd w:fill="F4F7FA"/>
          </w:tcPr>
          <w:p>
            <w:pPr>
              <w:spacing w:after="20" w:line="252" w:lineRule="auto"/>
            </w:pPr>
            <w:r>
              <w:rPr>
                <w:rFonts w:ascii="Microsoft YaHei" w:hAnsi="Microsoft YaHei"/>
                <w:sz w:val="16"/>
              </w:rPr>
              <w:t>客户对账定期执行</w:t>
            </w:r>
          </w:p>
        </w:tc>
        <w:tc>
          <w:tcPr>
            <w:tcW w:type="dxa" w:w="2154"/>
            <w:vAlign w:val="center"/>
            <w:shd w:fill="F4F7FA"/>
          </w:tcPr>
          <w:p>
            <w:pPr>
              <w:spacing w:after="20" w:line="252" w:lineRule="auto"/>
            </w:pPr>
            <w:r>
              <w:rPr>
                <w:rFonts w:ascii="Microsoft YaHei" w:hAnsi="Microsoft YaHei"/>
                <w:sz w:val="16"/>
              </w:rPr>
              <w:t>长期差异被掩盖</w:t>
            </w:r>
          </w:p>
        </w:tc>
        <w:tc>
          <w:tcPr>
            <w:tcW w:type="dxa" w:w="3231"/>
            <w:vAlign w:val="center"/>
            <w:shd w:fill="F4F7FA"/>
          </w:tcPr>
          <w:p>
            <w:pPr>
              <w:spacing w:after="20" w:line="252" w:lineRule="auto"/>
            </w:pPr>
            <w:r>
              <w:rPr>
                <w:rFonts w:ascii="Microsoft YaHei" w:hAnsi="Microsoft YaHei"/>
                <w:sz w:val="16"/>
              </w:rPr>
              <w:t>按风险分层对账并跟踪未回函</w:t>
            </w:r>
          </w:p>
        </w:tc>
        <w:tc>
          <w:tcPr>
            <w:tcW w:type="dxa" w:w="1701"/>
            <w:vAlign w:val="center"/>
            <w:shd w:fill="F4F7FA"/>
          </w:tcPr>
          <w:p>
            <w:pPr>
              <w:spacing w:after="20" w:line="252" w:lineRule="auto"/>
            </w:pPr>
            <w:r>
              <w:rPr>
                <w:rFonts w:ascii="Microsoft YaHei" w:hAnsi="Microsoft YaHei"/>
                <w:sz w:val="16"/>
              </w:rPr>
              <w:t>对账函及替代证据</w:t>
            </w:r>
          </w:p>
        </w:tc>
      </w:tr>
      <w:tr>
        <w:tc>
          <w:tcPr>
            <w:tcW w:type="dxa" w:w="1814"/>
            <w:vAlign w:val="center"/>
          </w:tcPr>
          <w:p>
            <w:pPr>
              <w:spacing w:after="20" w:line="252" w:lineRule="auto"/>
            </w:pPr>
            <w:r>
              <w:rPr>
                <w:rFonts w:ascii="Microsoft YaHei" w:hAnsi="Microsoft YaHei"/>
                <w:sz w:val="16"/>
              </w:rPr>
              <w:t>坏账计提与审批分离</w:t>
            </w:r>
          </w:p>
        </w:tc>
        <w:tc>
          <w:tcPr>
            <w:tcW w:type="dxa" w:w="2154"/>
            <w:vAlign w:val="center"/>
          </w:tcPr>
          <w:p>
            <w:pPr>
              <w:spacing w:after="20" w:line="252" w:lineRule="auto"/>
            </w:pPr>
            <w:r>
              <w:rPr>
                <w:rFonts w:ascii="Microsoft YaHei" w:hAnsi="Microsoft YaHei"/>
                <w:sz w:val="16"/>
              </w:rPr>
              <w:t>利润操纵</w:t>
            </w:r>
          </w:p>
        </w:tc>
        <w:tc>
          <w:tcPr>
            <w:tcW w:type="dxa" w:w="3231"/>
            <w:vAlign w:val="center"/>
          </w:tcPr>
          <w:p>
            <w:pPr>
              <w:spacing w:after="20" w:line="252" w:lineRule="auto"/>
            </w:pPr>
            <w:r>
              <w:rPr>
                <w:rFonts w:ascii="Microsoft YaHei" w:hAnsi="Microsoft YaHei"/>
                <w:sz w:val="16"/>
              </w:rPr>
              <w:t>模型参数、个别评估和审批留痕</w:t>
            </w:r>
          </w:p>
        </w:tc>
        <w:tc>
          <w:tcPr>
            <w:tcW w:type="dxa" w:w="1701"/>
            <w:vAlign w:val="center"/>
          </w:tcPr>
          <w:p>
            <w:pPr>
              <w:spacing w:after="20" w:line="252" w:lineRule="auto"/>
            </w:pPr>
            <w:r>
              <w:rPr>
                <w:rFonts w:ascii="Microsoft YaHei" w:hAnsi="Microsoft YaHei"/>
                <w:sz w:val="16"/>
              </w:rPr>
              <w:t>ECL底稿</w:t>
            </w:r>
          </w:p>
        </w:tc>
      </w:tr>
      <w:tr>
        <w:tc>
          <w:tcPr>
            <w:tcW w:type="dxa" w:w="1814"/>
            <w:vAlign w:val="center"/>
            <w:shd w:fill="F4F7FA"/>
          </w:tcPr>
          <w:p>
            <w:pPr>
              <w:spacing w:after="20" w:line="252" w:lineRule="auto"/>
            </w:pPr>
            <w:r>
              <w:rPr>
                <w:rFonts w:ascii="Microsoft YaHei" w:hAnsi="Microsoft YaHei"/>
                <w:sz w:val="16"/>
              </w:rPr>
              <w:t>坏账核销账销案存</w:t>
            </w:r>
          </w:p>
        </w:tc>
        <w:tc>
          <w:tcPr>
            <w:tcW w:type="dxa" w:w="2154"/>
            <w:vAlign w:val="center"/>
            <w:shd w:fill="F4F7FA"/>
          </w:tcPr>
          <w:p>
            <w:pPr>
              <w:spacing w:after="20" w:line="252" w:lineRule="auto"/>
            </w:pPr>
            <w:r>
              <w:rPr>
                <w:rFonts w:ascii="Microsoft YaHei" w:hAnsi="Microsoft YaHei"/>
                <w:sz w:val="16"/>
              </w:rPr>
              <w:t>核销后私收形成账外资金</w:t>
            </w:r>
          </w:p>
        </w:tc>
        <w:tc>
          <w:tcPr>
            <w:tcW w:type="dxa" w:w="3231"/>
            <w:vAlign w:val="center"/>
            <w:shd w:fill="F4F7FA"/>
          </w:tcPr>
          <w:p>
            <w:pPr>
              <w:spacing w:after="20" w:line="252" w:lineRule="auto"/>
            </w:pPr>
            <w:r>
              <w:rPr>
                <w:rFonts w:ascii="Microsoft YaHei" w:hAnsi="Microsoft YaHei"/>
                <w:sz w:val="16"/>
              </w:rPr>
              <w:t>核销台账继续追踪，收回应入账</w:t>
            </w:r>
          </w:p>
        </w:tc>
        <w:tc>
          <w:tcPr>
            <w:tcW w:type="dxa" w:w="1701"/>
            <w:vAlign w:val="center"/>
            <w:shd w:fill="F4F7FA"/>
          </w:tcPr>
          <w:p>
            <w:pPr>
              <w:spacing w:after="20" w:line="252" w:lineRule="auto"/>
            </w:pPr>
            <w:r>
              <w:rPr>
                <w:rFonts w:ascii="Microsoft YaHei" w:hAnsi="Microsoft YaHei"/>
                <w:sz w:val="16"/>
              </w:rPr>
              <w:t>核销备查簿</w:t>
            </w:r>
          </w:p>
        </w:tc>
      </w:tr>
    </w:tbl>
    <w:p>
      <w:pPr>
        <w:spacing w:after="40"/>
      </w:pPr>
    </w:p>
    <w:p>
      <w:pPr>
        <w:pStyle w:val="Heading2"/>
        <w:keepNext/>
      </w:pPr>
      <w:r>
        <w:t>11.1 红旗信号</w:t>
      </w:r>
    </w:p>
    <w:p>
      <w:pPr>
        <w:pStyle w:val="ListBullet"/>
        <w:spacing w:after="40"/>
      </w:pPr>
      <w:r>
        <w:t>月末集中新增应收、次月退货或冲红。</w:t>
      </w:r>
    </w:p>
    <w:p>
      <w:pPr>
        <w:pStyle w:val="ListBullet"/>
        <w:spacing w:after="40"/>
      </w:pPr>
      <w:r>
        <w:t>客户额度频繁被同一人员例外放开。</w:t>
      </w:r>
    </w:p>
    <w:p>
      <w:pPr>
        <w:pStyle w:val="ListBullet"/>
        <w:spacing w:after="40"/>
      </w:pPr>
      <w:r>
        <w:t>第三方付款多、退款账户与原付款账户不同。</w:t>
      </w:r>
    </w:p>
    <w:p>
      <w:pPr>
        <w:pStyle w:val="ListBullet"/>
        <w:spacing w:after="40"/>
      </w:pPr>
      <w:r>
        <w:t>客户长期不对账，但销售坚持余额没有问题。</w:t>
      </w:r>
    </w:p>
    <w:p>
      <w:pPr>
        <w:pStyle w:val="ListBullet"/>
        <w:spacing w:after="40"/>
      </w:pPr>
      <w:r>
        <w:t>催收记录长期只有“客户走流程”。</w:t>
      </w:r>
    </w:p>
    <w:p>
      <w:pPr>
        <w:pStyle w:val="ListBullet"/>
        <w:spacing w:after="40"/>
      </w:pPr>
      <w:r>
        <w:t>核销坏账后仍有回款，但未进入财务账。</w:t>
      </w:r>
    </w:p>
    <w:p>
      <w:pPr>
        <w:pStyle w:val="ListBullet"/>
        <w:spacing w:after="40"/>
      </w:pPr>
      <w:r>
        <w:t>应收贷方和跨客户核销频繁出现。</w:t>
      </w:r>
    </w:p>
    <w:p>
      <w:pPr>
        <w:pStyle w:val="ListBullet"/>
        <w:spacing w:after="40"/>
      </w:pPr>
      <w:r>
        <w:t>销售人员既能创建客户又能修改账期或发货状态。</w:t>
      </w:r>
    </w:p>
    <w:p>
      <w:pPr>
        <w:pStyle w:val="Heading1"/>
        <w:keepNext/>
      </w:pPr>
      <w:r>
        <w:t>第十二章 新财务主管接手检查</w:t>
      </w:r>
    </w:p>
    <w:p>
      <w:pPr>
        <w:pStyle w:val="Heading2"/>
        <w:keepNext/>
      </w:pPr>
      <w:r>
        <w:t>12.1 第一周取得什么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984"/>
            <w:shd w:fill="17365D"/>
            <w:vAlign w:val="center"/>
          </w:tcPr>
          <w:p>
            <w:r>
              <w:rPr>
                <w:b/>
                <w:color w:val="FFFFFF"/>
                <w:sz w:val="17"/>
              </w:rPr>
              <w:t>资料</w:t>
            </w:r>
          </w:p>
        </w:tc>
        <w:tc>
          <w:tcPr>
            <w:tcW w:type="dxa" w:w="3402"/>
            <w:shd w:fill="17365D"/>
            <w:vAlign w:val="center"/>
          </w:tcPr>
          <w:p>
            <w:r>
              <w:rPr>
                <w:b/>
                <w:color w:val="FFFFFF"/>
                <w:sz w:val="17"/>
              </w:rPr>
              <w:t>检查目标</w:t>
            </w:r>
          </w:p>
        </w:tc>
        <w:tc>
          <w:tcPr>
            <w:tcW w:type="dxa" w:w="3515"/>
            <w:shd w:fill="17365D"/>
            <w:vAlign w:val="center"/>
          </w:tcPr>
          <w:p>
            <w:r>
              <w:rPr>
                <w:b/>
                <w:color w:val="FFFFFF"/>
                <w:sz w:val="17"/>
              </w:rPr>
              <w:t>高风险信号</w:t>
            </w:r>
          </w:p>
        </w:tc>
      </w:tr>
      <w:tr>
        <w:tc>
          <w:tcPr>
            <w:tcW w:type="dxa" w:w="1984"/>
            <w:vAlign w:val="center"/>
          </w:tcPr>
          <w:p>
            <w:pPr>
              <w:spacing w:after="20" w:line="252" w:lineRule="auto"/>
            </w:pPr>
            <w:r>
              <w:rPr>
                <w:rFonts w:ascii="Microsoft YaHei" w:hAnsi="Microsoft YaHei"/>
                <w:sz w:val="17"/>
              </w:rPr>
              <w:t>客户主数据和信用权限</w:t>
            </w:r>
          </w:p>
        </w:tc>
        <w:tc>
          <w:tcPr>
            <w:tcW w:type="dxa" w:w="3402"/>
            <w:vAlign w:val="center"/>
          </w:tcPr>
          <w:p>
            <w:pPr>
              <w:spacing w:after="20" w:line="252" w:lineRule="auto"/>
            </w:pPr>
            <w:r>
              <w:rPr>
                <w:rFonts w:ascii="Microsoft YaHei" w:hAnsi="Microsoft YaHei"/>
                <w:sz w:val="17"/>
              </w:rPr>
              <w:t>谁能创建、修改和审批</w:t>
            </w:r>
          </w:p>
        </w:tc>
        <w:tc>
          <w:tcPr>
            <w:tcW w:type="dxa" w:w="3515"/>
            <w:vAlign w:val="center"/>
          </w:tcPr>
          <w:p>
            <w:pPr>
              <w:spacing w:after="20" w:line="252" w:lineRule="auto"/>
            </w:pPr>
            <w:r>
              <w:rPr>
                <w:rFonts w:ascii="Microsoft YaHei" w:hAnsi="Microsoft YaHei"/>
                <w:sz w:val="17"/>
              </w:rPr>
              <w:t>销售可自行改额度</w:t>
            </w:r>
          </w:p>
        </w:tc>
      </w:tr>
      <w:tr>
        <w:tc>
          <w:tcPr>
            <w:tcW w:type="dxa" w:w="1984"/>
            <w:vAlign w:val="center"/>
            <w:shd w:fill="F4F7FA"/>
          </w:tcPr>
          <w:p>
            <w:pPr>
              <w:spacing w:after="20" w:line="252" w:lineRule="auto"/>
            </w:pPr>
            <w:r>
              <w:rPr>
                <w:rFonts w:ascii="Microsoft YaHei" w:hAnsi="Microsoft YaHei"/>
                <w:sz w:val="17"/>
              </w:rPr>
              <w:t>最近12个月AR明细和GL</w:t>
            </w:r>
          </w:p>
        </w:tc>
        <w:tc>
          <w:tcPr>
            <w:tcW w:type="dxa" w:w="3402"/>
            <w:vAlign w:val="center"/>
            <w:shd w:fill="F4F7FA"/>
          </w:tcPr>
          <w:p>
            <w:pPr>
              <w:spacing w:after="20" w:line="252" w:lineRule="auto"/>
            </w:pPr>
            <w:r>
              <w:rPr>
                <w:rFonts w:ascii="Microsoft YaHei" w:hAnsi="Microsoft YaHei"/>
                <w:sz w:val="17"/>
              </w:rPr>
              <w:t>模块总账是否一致</w:t>
            </w:r>
          </w:p>
        </w:tc>
        <w:tc>
          <w:tcPr>
            <w:tcW w:type="dxa" w:w="3515"/>
            <w:vAlign w:val="center"/>
            <w:shd w:fill="F4F7FA"/>
          </w:tcPr>
          <w:p>
            <w:pPr>
              <w:spacing w:after="20" w:line="252" w:lineRule="auto"/>
            </w:pPr>
            <w:r>
              <w:rPr>
                <w:rFonts w:ascii="Microsoft YaHei" w:hAnsi="Microsoft YaHei"/>
                <w:sz w:val="17"/>
              </w:rPr>
              <w:t>长期差异无解释</w:t>
            </w:r>
          </w:p>
        </w:tc>
      </w:tr>
      <w:tr>
        <w:tc>
          <w:tcPr>
            <w:tcW w:type="dxa" w:w="1984"/>
            <w:vAlign w:val="center"/>
          </w:tcPr>
          <w:p>
            <w:pPr>
              <w:spacing w:after="20" w:line="252" w:lineRule="auto"/>
            </w:pPr>
            <w:r>
              <w:rPr>
                <w:rFonts w:ascii="Microsoft YaHei" w:hAnsi="Microsoft YaHei"/>
                <w:sz w:val="17"/>
              </w:rPr>
              <w:t>账龄及逾期清单</w:t>
            </w:r>
          </w:p>
        </w:tc>
        <w:tc>
          <w:tcPr>
            <w:tcW w:type="dxa" w:w="3402"/>
            <w:vAlign w:val="center"/>
          </w:tcPr>
          <w:p>
            <w:pPr>
              <w:spacing w:after="20" w:line="252" w:lineRule="auto"/>
            </w:pPr>
            <w:r>
              <w:rPr>
                <w:rFonts w:ascii="Microsoft YaHei" w:hAnsi="Microsoft YaHei"/>
                <w:sz w:val="17"/>
              </w:rPr>
              <w:t>识别Top风险</w:t>
            </w:r>
          </w:p>
        </w:tc>
        <w:tc>
          <w:tcPr>
            <w:tcW w:type="dxa" w:w="3515"/>
            <w:vAlign w:val="center"/>
          </w:tcPr>
          <w:p>
            <w:pPr>
              <w:spacing w:after="20" w:line="252" w:lineRule="auto"/>
            </w:pPr>
            <w:r>
              <w:rPr>
                <w:rFonts w:ascii="Microsoft YaHei" w:hAnsi="Microsoft YaHei"/>
                <w:sz w:val="17"/>
              </w:rPr>
              <w:t>账龄按发票日而非到期日</w:t>
            </w:r>
          </w:p>
        </w:tc>
      </w:tr>
      <w:tr>
        <w:tc>
          <w:tcPr>
            <w:tcW w:type="dxa" w:w="1984"/>
            <w:vAlign w:val="center"/>
            <w:shd w:fill="F4F7FA"/>
          </w:tcPr>
          <w:p>
            <w:pPr>
              <w:spacing w:after="20" w:line="252" w:lineRule="auto"/>
            </w:pPr>
            <w:r>
              <w:rPr>
                <w:rFonts w:ascii="Microsoft YaHei" w:hAnsi="Microsoft YaHei"/>
                <w:sz w:val="17"/>
              </w:rPr>
              <w:t>信用政策和例外日志</w:t>
            </w:r>
          </w:p>
        </w:tc>
        <w:tc>
          <w:tcPr>
            <w:tcW w:type="dxa" w:w="3402"/>
            <w:vAlign w:val="center"/>
            <w:shd w:fill="F4F7FA"/>
          </w:tcPr>
          <w:p>
            <w:pPr>
              <w:spacing w:after="20" w:line="252" w:lineRule="auto"/>
            </w:pPr>
            <w:r>
              <w:rPr>
                <w:rFonts w:ascii="Microsoft YaHei" w:hAnsi="Microsoft YaHei"/>
                <w:sz w:val="17"/>
              </w:rPr>
              <w:t>制度是否真正执行</w:t>
            </w:r>
          </w:p>
        </w:tc>
        <w:tc>
          <w:tcPr>
            <w:tcW w:type="dxa" w:w="3515"/>
            <w:vAlign w:val="center"/>
            <w:shd w:fill="F4F7FA"/>
          </w:tcPr>
          <w:p>
            <w:pPr>
              <w:spacing w:after="20" w:line="252" w:lineRule="auto"/>
            </w:pPr>
            <w:r>
              <w:rPr>
                <w:rFonts w:ascii="Microsoft YaHei" w:hAnsi="Microsoft YaHei"/>
                <w:sz w:val="17"/>
              </w:rPr>
              <w:t>例外没有期限</w:t>
            </w:r>
          </w:p>
        </w:tc>
      </w:tr>
      <w:tr>
        <w:tc>
          <w:tcPr>
            <w:tcW w:type="dxa" w:w="1984"/>
            <w:vAlign w:val="center"/>
          </w:tcPr>
          <w:p>
            <w:pPr>
              <w:spacing w:after="20" w:line="252" w:lineRule="auto"/>
            </w:pPr>
            <w:r>
              <w:rPr>
                <w:rFonts w:ascii="Microsoft YaHei" w:hAnsi="Microsoft YaHei"/>
                <w:sz w:val="17"/>
              </w:rPr>
              <w:t>客户对账和催收记录</w:t>
            </w:r>
          </w:p>
        </w:tc>
        <w:tc>
          <w:tcPr>
            <w:tcW w:type="dxa" w:w="3402"/>
            <w:vAlign w:val="center"/>
          </w:tcPr>
          <w:p>
            <w:pPr>
              <w:spacing w:after="20" w:line="252" w:lineRule="auto"/>
            </w:pPr>
            <w:r>
              <w:rPr>
                <w:rFonts w:ascii="Microsoft YaHei" w:hAnsi="Microsoft YaHei"/>
                <w:sz w:val="17"/>
              </w:rPr>
              <w:t>证据是否可用</w:t>
            </w:r>
          </w:p>
        </w:tc>
        <w:tc>
          <w:tcPr>
            <w:tcW w:type="dxa" w:w="3515"/>
            <w:vAlign w:val="center"/>
          </w:tcPr>
          <w:p>
            <w:pPr>
              <w:spacing w:after="20" w:line="252" w:lineRule="auto"/>
            </w:pPr>
            <w:r>
              <w:rPr>
                <w:rFonts w:ascii="Microsoft YaHei" w:hAnsi="Microsoft YaHei"/>
                <w:sz w:val="17"/>
              </w:rPr>
              <w:t>重大客户长期未对账</w:t>
            </w:r>
          </w:p>
        </w:tc>
      </w:tr>
      <w:tr>
        <w:tc>
          <w:tcPr>
            <w:tcW w:type="dxa" w:w="1984"/>
            <w:vAlign w:val="center"/>
            <w:shd w:fill="F4F7FA"/>
          </w:tcPr>
          <w:p>
            <w:pPr>
              <w:spacing w:after="20" w:line="252" w:lineRule="auto"/>
            </w:pPr>
            <w:r>
              <w:rPr>
                <w:rFonts w:ascii="Microsoft YaHei" w:hAnsi="Microsoft YaHei"/>
                <w:sz w:val="17"/>
              </w:rPr>
              <w:t>ECL底稿和核销台账</w:t>
            </w:r>
          </w:p>
        </w:tc>
        <w:tc>
          <w:tcPr>
            <w:tcW w:type="dxa" w:w="3402"/>
            <w:vAlign w:val="center"/>
            <w:shd w:fill="F4F7FA"/>
          </w:tcPr>
          <w:p>
            <w:pPr>
              <w:spacing w:after="20" w:line="252" w:lineRule="auto"/>
            </w:pPr>
            <w:r>
              <w:rPr>
                <w:rFonts w:ascii="Microsoft YaHei" w:hAnsi="Microsoft YaHei"/>
                <w:sz w:val="17"/>
              </w:rPr>
              <w:t>模型及审批</w:t>
            </w:r>
          </w:p>
        </w:tc>
        <w:tc>
          <w:tcPr>
            <w:tcW w:type="dxa" w:w="3515"/>
            <w:vAlign w:val="center"/>
            <w:shd w:fill="F4F7FA"/>
          </w:tcPr>
          <w:p>
            <w:pPr>
              <w:spacing w:after="20" w:line="252" w:lineRule="auto"/>
            </w:pPr>
            <w:r>
              <w:rPr>
                <w:rFonts w:ascii="Microsoft YaHei" w:hAnsi="Microsoft YaHei"/>
                <w:sz w:val="17"/>
              </w:rPr>
              <w:t>只套比例或老板口头决定</w:t>
            </w:r>
          </w:p>
        </w:tc>
      </w:tr>
      <w:tr>
        <w:tc>
          <w:tcPr>
            <w:tcW w:type="dxa" w:w="1984"/>
            <w:vAlign w:val="center"/>
          </w:tcPr>
          <w:p>
            <w:pPr>
              <w:spacing w:after="20" w:line="252" w:lineRule="auto"/>
            </w:pPr>
            <w:r>
              <w:rPr>
                <w:rFonts w:ascii="Microsoft YaHei" w:hAnsi="Microsoft YaHei"/>
                <w:sz w:val="17"/>
              </w:rPr>
              <w:t>争议和诉讼清单</w:t>
            </w:r>
          </w:p>
        </w:tc>
        <w:tc>
          <w:tcPr>
            <w:tcW w:type="dxa" w:w="3402"/>
            <w:vAlign w:val="center"/>
          </w:tcPr>
          <w:p>
            <w:pPr>
              <w:spacing w:after="20" w:line="252" w:lineRule="auto"/>
            </w:pPr>
            <w:r>
              <w:rPr>
                <w:rFonts w:ascii="Microsoft YaHei" w:hAnsi="Microsoft YaHei"/>
                <w:sz w:val="17"/>
              </w:rPr>
              <w:t>财务是否获得风险信息</w:t>
            </w:r>
          </w:p>
        </w:tc>
        <w:tc>
          <w:tcPr>
            <w:tcW w:type="dxa" w:w="3515"/>
            <w:vAlign w:val="center"/>
          </w:tcPr>
          <w:p>
            <w:pPr>
              <w:spacing w:after="20" w:line="252" w:lineRule="auto"/>
            </w:pPr>
            <w:r>
              <w:rPr>
                <w:rFonts w:ascii="Microsoft YaHei" w:hAnsi="Microsoft YaHei"/>
                <w:sz w:val="17"/>
              </w:rPr>
              <w:t>法务与财务数据不一致</w:t>
            </w:r>
          </w:p>
        </w:tc>
      </w:tr>
      <w:tr>
        <w:tc>
          <w:tcPr>
            <w:tcW w:type="dxa" w:w="1984"/>
            <w:vAlign w:val="center"/>
            <w:shd w:fill="F4F7FA"/>
          </w:tcPr>
          <w:p>
            <w:pPr>
              <w:spacing w:after="20" w:line="252" w:lineRule="auto"/>
            </w:pPr>
            <w:r>
              <w:rPr>
                <w:rFonts w:ascii="Microsoft YaHei" w:hAnsi="Microsoft YaHei"/>
                <w:sz w:val="17"/>
              </w:rPr>
              <w:t>银行未认领款</w:t>
            </w:r>
          </w:p>
        </w:tc>
        <w:tc>
          <w:tcPr>
            <w:tcW w:type="dxa" w:w="3402"/>
            <w:vAlign w:val="center"/>
            <w:shd w:fill="F4F7FA"/>
          </w:tcPr>
          <w:p>
            <w:pPr>
              <w:spacing w:after="20" w:line="252" w:lineRule="auto"/>
            </w:pPr>
            <w:r>
              <w:rPr>
                <w:rFonts w:ascii="Microsoft YaHei" w:hAnsi="Microsoft YaHei"/>
                <w:sz w:val="17"/>
              </w:rPr>
              <w:t>核销是否及时</w:t>
            </w:r>
          </w:p>
        </w:tc>
        <w:tc>
          <w:tcPr>
            <w:tcW w:type="dxa" w:w="3515"/>
            <w:vAlign w:val="center"/>
            <w:shd w:fill="F4F7FA"/>
          </w:tcPr>
          <w:p>
            <w:pPr>
              <w:spacing w:after="20" w:line="252" w:lineRule="auto"/>
            </w:pPr>
            <w:r>
              <w:rPr>
                <w:rFonts w:ascii="Microsoft YaHei" w:hAnsi="Microsoft YaHei"/>
                <w:sz w:val="17"/>
              </w:rPr>
              <w:t>大额长期挂账</w:t>
            </w:r>
          </w:p>
        </w:tc>
      </w:tr>
    </w:tbl>
    <w:p>
      <w:pPr>
        <w:spacing w:after="40"/>
      </w:pPr>
    </w:p>
    <w:p>
      <w:pPr>
        <w:pStyle w:val="Heading2"/>
        <w:keepNext/>
      </w:pPr>
      <w:r>
        <w:t>12.2 第一月怎么判断管理好不好</w:t>
      </w:r>
    </w:p>
    <w:p>
      <w:pPr>
        <w:pStyle w:val="ListBullet"/>
        <w:spacing w:after="40"/>
      </w:pPr>
      <w:r>
        <w:t>抽取前十大客户，从合同追到发货、验收、应收、回款和核销。</w:t>
      </w:r>
    </w:p>
    <w:p>
      <w:pPr>
        <w:pStyle w:val="ListBullet"/>
        <w:spacing w:after="40"/>
      </w:pPr>
      <w:r>
        <w:t>重算账龄并检查到期日来源。</w:t>
      </w:r>
    </w:p>
    <w:p>
      <w:pPr>
        <w:pStyle w:val="ListBullet"/>
        <w:spacing w:after="40"/>
      </w:pPr>
      <w:r>
        <w:t>检查逾期90天以上是否逐笔有Owner、证据和日期。</w:t>
      </w:r>
    </w:p>
    <w:p>
      <w:pPr>
        <w:pStyle w:val="ListBullet"/>
        <w:spacing w:after="40"/>
      </w:pPr>
      <w:r>
        <w:t>抽查冻结客户是否仍能发货。</w:t>
      </w:r>
    </w:p>
    <w:p>
      <w:pPr>
        <w:pStyle w:val="ListBullet"/>
        <w:spacing w:after="40"/>
      </w:pPr>
      <w:r>
        <w:t>复核ECL参数、个别评估和管理层审批。</w:t>
      </w:r>
    </w:p>
    <w:p>
      <w:pPr>
        <w:pStyle w:val="ListBullet"/>
        <w:spacing w:after="40"/>
      </w:pPr>
      <w:r>
        <w:t>比较销售回款承诺与实际到账，评价预测可信度。</w:t>
      </w:r>
    </w:p>
    <w:p>
      <w:pPr>
        <w:pStyle w:val="Heading2"/>
        <w:keepNext/>
      </w:pPr>
      <w:r>
        <w:t>12.3 保护责任边界</w:t>
      </w:r>
    </w:p>
    <w:p>
      <w:pPr>
        <w:spacing w:after="100" w:line="300" w:lineRule="auto"/>
      </w:pPr>
      <w:r>
        <w:t>接手时应保存基准日余额、历史问题清单、已取得资料、无法验证事项及向上汇报记录。不要在证据不足时签署“余额全部正确”或替历史责任人补做虚假对账。对重大问题提出临时控制、Owner和期限，并持续记录Closure。</w:t>
      </w:r>
    </w:p>
    <w:p>
      <w:pPr>
        <w:pStyle w:val="Heading1"/>
        <w:keepNext/>
      </w:pPr>
      <w:r>
        <w:t>第十三章 月末Checklist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2948"/>
            <w:shd w:fill="17365D"/>
            <w:vAlign w:val="center"/>
          </w:tcPr>
          <w:p>
            <w:r>
              <w:rPr>
                <w:b/>
                <w:color w:val="FFFFFF"/>
                <w:sz w:val="16"/>
              </w:rPr>
              <w:t>明确动作</w:t>
            </w:r>
          </w:p>
        </w:tc>
        <w:tc>
          <w:tcPr>
            <w:tcW w:type="dxa" w:w="1247"/>
            <w:shd w:fill="17365D"/>
            <w:vAlign w:val="center"/>
          </w:tcPr>
          <w:p>
            <w:r>
              <w:rPr>
                <w:b/>
                <w:color w:val="FFFFFF"/>
                <w:sz w:val="16"/>
              </w:rPr>
              <w:t>责任人</w:t>
            </w:r>
          </w:p>
        </w:tc>
        <w:tc>
          <w:tcPr>
            <w:tcW w:type="dxa" w:w="794"/>
            <w:shd w:fill="17365D"/>
            <w:vAlign w:val="center"/>
          </w:tcPr>
          <w:p>
            <w:r>
              <w:rPr>
                <w:b/>
                <w:color w:val="FFFFFF"/>
                <w:sz w:val="16"/>
              </w:rPr>
              <w:t>期限</w:t>
            </w:r>
          </w:p>
        </w:tc>
        <w:tc>
          <w:tcPr>
            <w:tcW w:type="dxa" w:w="2381"/>
            <w:shd w:fill="17365D"/>
            <w:vAlign w:val="center"/>
          </w:tcPr>
          <w:p>
            <w:r>
              <w:rPr>
                <w:b/>
                <w:color w:val="FFFFFF"/>
                <w:sz w:val="16"/>
              </w:rPr>
              <w:t>证据</w:t>
            </w:r>
          </w:p>
        </w:tc>
        <w:tc>
          <w:tcPr>
            <w:tcW w:type="dxa" w:w="2268"/>
            <w:shd w:fill="17365D"/>
            <w:vAlign w:val="center"/>
          </w:tcPr>
          <w:p>
            <w:r>
              <w:rPr>
                <w:b/>
                <w:color w:val="FFFFFF"/>
                <w:sz w:val="16"/>
              </w:rPr>
              <w:t>关闭标准</w:t>
            </w:r>
          </w:p>
        </w:tc>
      </w:tr>
      <w:tr>
        <w:tc>
          <w:tcPr>
            <w:tcW w:type="dxa" w:w="2948"/>
            <w:vAlign w:val="center"/>
          </w:tcPr>
          <w:p>
            <w:pPr>
              <w:spacing w:after="20" w:line="252" w:lineRule="auto"/>
            </w:pPr>
            <w:r>
              <w:rPr>
                <w:rFonts w:ascii="Microsoft YaHei" w:hAnsi="Microsoft YaHei"/>
                <w:sz w:val="16"/>
              </w:rPr>
              <w:t>取得AR子模块期末余额并与GL核对</w:t>
            </w:r>
          </w:p>
        </w:tc>
        <w:tc>
          <w:tcPr>
            <w:tcW w:type="dxa" w:w="1247"/>
            <w:vAlign w:val="center"/>
          </w:tcPr>
          <w:p>
            <w:pPr>
              <w:spacing w:after="20" w:line="252" w:lineRule="auto"/>
            </w:pPr>
            <w:r>
              <w:rPr>
                <w:rFonts w:ascii="Microsoft YaHei" w:hAnsi="Microsoft YaHei"/>
                <w:sz w:val="16"/>
              </w:rPr>
              <w:t>AR会计</w:t>
            </w:r>
          </w:p>
        </w:tc>
        <w:tc>
          <w:tcPr>
            <w:tcW w:type="dxa" w:w="794"/>
            <w:vAlign w:val="center"/>
          </w:tcPr>
          <w:p>
            <w:pPr>
              <w:spacing w:after="20" w:line="252" w:lineRule="auto"/>
            </w:pPr>
            <w:r>
              <w:rPr>
                <w:rFonts w:ascii="Microsoft YaHei" w:hAnsi="Microsoft YaHei"/>
                <w:sz w:val="16"/>
              </w:rPr>
              <w:t>T+1</w:t>
            </w:r>
          </w:p>
        </w:tc>
        <w:tc>
          <w:tcPr>
            <w:tcW w:type="dxa" w:w="2381"/>
            <w:vAlign w:val="center"/>
          </w:tcPr>
          <w:p>
            <w:pPr>
              <w:spacing w:after="20" w:line="252" w:lineRule="auto"/>
            </w:pPr>
            <w:r>
              <w:rPr>
                <w:rFonts w:ascii="Microsoft YaHei" w:hAnsi="Microsoft YaHei"/>
                <w:sz w:val="16"/>
              </w:rPr>
              <w:t>模块余额、GL、差异明细</w:t>
            </w:r>
          </w:p>
        </w:tc>
        <w:tc>
          <w:tcPr>
            <w:tcW w:type="dxa" w:w="2268"/>
            <w:vAlign w:val="center"/>
          </w:tcPr>
          <w:p>
            <w:pPr>
              <w:spacing w:after="20" w:line="252" w:lineRule="auto"/>
            </w:pPr>
            <w:r>
              <w:rPr>
                <w:rFonts w:ascii="Microsoft YaHei" w:hAnsi="Microsoft YaHei"/>
                <w:sz w:val="16"/>
              </w:rPr>
              <w:t>差异为0或有批准解释</w:t>
            </w:r>
          </w:p>
        </w:tc>
      </w:tr>
      <w:tr>
        <w:tc>
          <w:tcPr>
            <w:tcW w:type="dxa" w:w="2948"/>
            <w:vAlign w:val="center"/>
            <w:shd w:fill="F4F7FA"/>
          </w:tcPr>
          <w:p>
            <w:pPr>
              <w:spacing w:after="20" w:line="252" w:lineRule="auto"/>
            </w:pPr>
            <w:r>
              <w:rPr>
                <w:rFonts w:ascii="Microsoft YaHei" w:hAnsi="Microsoft YaHei"/>
                <w:sz w:val="16"/>
              </w:rPr>
              <w:t>检查所有逾期90天以上客户并形成逐笔清单</w:t>
            </w:r>
          </w:p>
        </w:tc>
        <w:tc>
          <w:tcPr>
            <w:tcW w:type="dxa" w:w="1247"/>
            <w:vAlign w:val="center"/>
            <w:shd w:fill="F4F7FA"/>
          </w:tcPr>
          <w:p>
            <w:pPr>
              <w:spacing w:after="20" w:line="252" w:lineRule="auto"/>
            </w:pPr>
            <w:r>
              <w:rPr>
                <w:rFonts w:ascii="Microsoft YaHei" w:hAnsi="Microsoft YaHei"/>
                <w:sz w:val="16"/>
              </w:rPr>
              <w:t>AR/销售</w:t>
            </w:r>
          </w:p>
        </w:tc>
        <w:tc>
          <w:tcPr>
            <w:tcW w:type="dxa" w:w="794"/>
            <w:vAlign w:val="center"/>
            <w:shd w:fill="F4F7FA"/>
          </w:tcPr>
          <w:p>
            <w:pPr>
              <w:spacing w:after="20" w:line="252" w:lineRule="auto"/>
            </w:pPr>
            <w:r>
              <w:rPr>
                <w:rFonts w:ascii="Microsoft YaHei" w:hAnsi="Microsoft YaHei"/>
                <w:sz w:val="16"/>
              </w:rPr>
              <w:t>T+1</w:t>
            </w:r>
          </w:p>
        </w:tc>
        <w:tc>
          <w:tcPr>
            <w:tcW w:type="dxa" w:w="2381"/>
            <w:vAlign w:val="center"/>
            <w:shd w:fill="F4F7FA"/>
          </w:tcPr>
          <w:p>
            <w:pPr>
              <w:spacing w:after="20" w:line="252" w:lineRule="auto"/>
            </w:pPr>
            <w:r>
              <w:rPr>
                <w:rFonts w:ascii="Microsoft YaHei" w:hAnsi="Microsoft YaHei"/>
                <w:sz w:val="16"/>
              </w:rPr>
              <w:t>账龄、客户状态、催收记录</w:t>
            </w:r>
          </w:p>
        </w:tc>
        <w:tc>
          <w:tcPr>
            <w:tcW w:type="dxa" w:w="2268"/>
            <w:vAlign w:val="center"/>
            <w:shd w:fill="F4F7FA"/>
          </w:tcPr>
          <w:p>
            <w:pPr>
              <w:spacing w:after="20" w:line="252" w:lineRule="auto"/>
            </w:pPr>
            <w:r>
              <w:rPr>
                <w:rFonts w:ascii="Microsoft YaHei" w:hAnsi="Microsoft YaHei"/>
                <w:sz w:val="16"/>
              </w:rPr>
              <w:t>每笔有Owner和下一步</w:t>
            </w:r>
          </w:p>
        </w:tc>
      </w:tr>
      <w:tr>
        <w:tc>
          <w:tcPr>
            <w:tcW w:type="dxa" w:w="2948"/>
            <w:vAlign w:val="center"/>
          </w:tcPr>
          <w:p>
            <w:pPr>
              <w:spacing w:after="20" w:line="252" w:lineRule="auto"/>
            </w:pPr>
            <w:r>
              <w:rPr>
                <w:rFonts w:ascii="Microsoft YaHei" w:hAnsi="Microsoft YaHei"/>
                <w:sz w:val="16"/>
              </w:rPr>
              <w:t>检查应收贷方余额并追查业务实质</w:t>
            </w:r>
          </w:p>
        </w:tc>
        <w:tc>
          <w:tcPr>
            <w:tcW w:type="dxa" w:w="1247"/>
            <w:vAlign w:val="center"/>
          </w:tcPr>
          <w:p>
            <w:pPr>
              <w:spacing w:after="20" w:line="252" w:lineRule="auto"/>
            </w:pPr>
            <w:r>
              <w:rPr>
                <w:rFonts w:ascii="Microsoft YaHei" w:hAnsi="Microsoft YaHei"/>
                <w:sz w:val="16"/>
              </w:rPr>
              <w:t>总账</w:t>
            </w:r>
          </w:p>
        </w:tc>
        <w:tc>
          <w:tcPr>
            <w:tcW w:type="dxa" w:w="794"/>
            <w:vAlign w:val="center"/>
          </w:tcPr>
          <w:p>
            <w:pPr>
              <w:spacing w:after="20" w:line="252" w:lineRule="auto"/>
            </w:pPr>
            <w:r>
              <w:rPr>
                <w:rFonts w:ascii="Microsoft YaHei" w:hAnsi="Microsoft YaHei"/>
                <w:sz w:val="16"/>
              </w:rPr>
              <w:t>T+2</w:t>
            </w:r>
          </w:p>
        </w:tc>
        <w:tc>
          <w:tcPr>
            <w:tcW w:type="dxa" w:w="2381"/>
            <w:vAlign w:val="center"/>
          </w:tcPr>
          <w:p>
            <w:pPr>
              <w:spacing w:after="20" w:line="252" w:lineRule="auto"/>
            </w:pPr>
            <w:r>
              <w:rPr>
                <w:rFonts w:ascii="Microsoft YaHei" w:hAnsi="Microsoft YaHei"/>
                <w:sz w:val="16"/>
              </w:rPr>
              <w:t>客户明细、收款、发票、退款</w:t>
            </w:r>
          </w:p>
        </w:tc>
        <w:tc>
          <w:tcPr>
            <w:tcW w:type="dxa" w:w="2268"/>
            <w:vAlign w:val="center"/>
          </w:tcPr>
          <w:p>
            <w:pPr>
              <w:spacing w:after="20" w:line="252" w:lineRule="auto"/>
            </w:pPr>
            <w:r>
              <w:rPr>
                <w:rFonts w:ascii="Microsoft YaHei" w:hAnsi="Microsoft YaHei"/>
                <w:sz w:val="16"/>
              </w:rPr>
              <w:t>不得机械重分类</w:t>
            </w:r>
          </w:p>
        </w:tc>
      </w:tr>
      <w:tr>
        <w:tc>
          <w:tcPr>
            <w:tcW w:type="dxa" w:w="2948"/>
            <w:vAlign w:val="center"/>
            <w:shd w:fill="F4F7FA"/>
          </w:tcPr>
          <w:p>
            <w:pPr>
              <w:spacing w:after="20" w:line="252" w:lineRule="auto"/>
            </w:pPr>
            <w:r>
              <w:rPr>
                <w:rFonts w:ascii="Microsoft YaHei" w:hAnsi="Microsoft YaHei"/>
                <w:sz w:val="16"/>
              </w:rPr>
              <w:t>核对银行回款与AR核销，列示未认领款</w:t>
            </w:r>
          </w:p>
        </w:tc>
        <w:tc>
          <w:tcPr>
            <w:tcW w:type="dxa" w:w="1247"/>
            <w:vAlign w:val="center"/>
            <w:shd w:fill="F4F7FA"/>
          </w:tcPr>
          <w:p>
            <w:pPr>
              <w:spacing w:after="20" w:line="252" w:lineRule="auto"/>
            </w:pPr>
            <w:r>
              <w:rPr>
                <w:rFonts w:ascii="Microsoft YaHei" w:hAnsi="Microsoft YaHei"/>
                <w:sz w:val="16"/>
              </w:rPr>
              <w:t>资金/AR</w:t>
            </w:r>
          </w:p>
        </w:tc>
        <w:tc>
          <w:tcPr>
            <w:tcW w:type="dxa" w:w="794"/>
            <w:vAlign w:val="center"/>
            <w:shd w:fill="F4F7FA"/>
          </w:tcPr>
          <w:p>
            <w:pPr>
              <w:spacing w:after="20" w:line="252" w:lineRule="auto"/>
            </w:pPr>
            <w:r>
              <w:rPr>
                <w:rFonts w:ascii="Microsoft YaHei" w:hAnsi="Microsoft YaHei"/>
                <w:sz w:val="16"/>
              </w:rPr>
              <w:t>T+1</w:t>
            </w:r>
          </w:p>
        </w:tc>
        <w:tc>
          <w:tcPr>
            <w:tcW w:type="dxa" w:w="2381"/>
            <w:vAlign w:val="center"/>
            <w:shd w:fill="F4F7FA"/>
          </w:tcPr>
          <w:p>
            <w:pPr>
              <w:spacing w:after="20" w:line="252" w:lineRule="auto"/>
            </w:pPr>
            <w:r>
              <w:rPr>
                <w:rFonts w:ascii="Microsoft YaHei" w:hAnsi="Microsoft YaHei"/>
                <w:sz w:val="16"/>
              </w:rPr>
              <w:t>银行流水、核销日志</w:t>
            </w:r>
          </w:p>
        </w:tc>
        <w:tc>
          <w:tcPr>
            <w:tcW w:type="dxa" w:w="2268"/>
            <w:vAlign w:val="center"/>
            <w:shd w:fill="F4F7FA"/>
          </w:tcPr>
          <w:p>
            <w:pPr>
              <w:spacing w:after="20" w:line="252" w:lineRule="auto"/>
            </w:pPr>
            <w:r>
              <w:rPr>
                <w:rFonts w:ascii="Microsoft YaHei" w:hAnsi="Microsoft YaHei"/>
                <w:sz w:val="16"/>
              </w:rPr>
              <w:t>未认领有责任人</w:t>
            </w:r>
          </w:p>
        </w:tc>
      </w:tr>
      <w:tr>
        <w:tc>
          <w:tcPr>
            <w:tcW w:type="dxa" w:w="2948"/>
            <w:vAlign w:val="center"/>
          </w:tcPr>
          <w:p>
            <w:pPr>
              <w:spacing w:after="20" w:line="252" w:lineRule="auto"/>
            </w:pPr>
            <w:r>
              <w:rPr>
                <w:rFonts w:ascii="Microsoft YaHei" w:hAnsi="Microsoft YaHei"/>
                <w:sz w:val="16"/>
              </w:rPr>
              <w:t>复核本月新增大额应收及账期例外</w:t>
            </w:r>
          </w:p>
        </w:tc>
        <w:tc>
          <w:tcPr>
            <w:tcW w:type="dxa" w:w="1247"/>
            <w:vAlign w:val="center"/>
          </w:tcPr>
          <w:p>
            <w:pPr>
              <w:spacing w:after="20" w:line="252" w:lineRule="auto"/>
            </w:pPr>
            <w:r>
              <w:rPr>
                <w:rFonts w:ascii="Microsoft YaHei" w:hAnsi="Microsoft YaHei"/>
                <w:sz w:val="16"/>
              </w:rPr>
              <w:t>财务主管</w:t>
            </w:r>
          </w:p>
        </w:tc>
        <w:tc>
          <w:tcPr>
            <w:tcW w:type="dxa" w:w="794"/>
            <w:vAlign w:val="center"/>
          </w:tcPr>
          <w:p>
            <w:pPr>
              <w:spacing w:after="20" w:line="252" w:lineRule="auto"/>
            </w:pPr>
            <w:r>
              <w:rPr>
                <w:rFonts w:ascii="Microsoft YaHei" w:hAnsi="Microsoft YaHei"/>
                <w:sz w:val="16"/>
              </w:rPr>
              <w:t>T+2</w:t>
            </w:r>
          </w:p>
        </w:tc>
        <w:tc>
          <w:tcPr>
            <w:tcW w:type="dxa" w:w="2381"/>
            <w:vAlign w:val="center"/>
          </w:tcPr>
          <w:p>
            <w:pPr>
              <w:spacing w:after="20" w:line="252" w:lineRule="auto"/>
            </w:pPr>
            <w:r>
              <w:rPr>
                <w:rFonts w:ascii="Microsoft YaHei" w:hAnsi="Microsoft YaHei"/>
                <w:sz w:val="16"/>
              </w:rPr>
              <w:t>合同、订单、审批</w:t>
            </w:r>
          </w:p>
        </w:tc>
        <w:tc>
          <w:tcPr>
            <w:tcW w:type="dxa" w:w="2268"/>
            <w:vAlign w:val="center"/>
          </w:tcPr>
          <w:p>
            <w:pPr>
              <w:spacing w:after="20" w:line="252" w:lineRule="auto"/>
            </w:pPr>
            <w:r>
              <w:rPr>
                <w:rFonts w:ascii="Microsoft YaHei" w:hAnsi="Microsoft YaHei"/>
                <w:sz w:val="16"/>
              </w:rPr>
              <w:t>超政策均有审批</w:t>
            </w:r>
          </w:p>
        </w:tc>
      </w:tr>
      <w:tr>
        <w:tc>
          <w:tcPr>
            <w:tcW w:type="dxa" w:w="2948"/>
            <w:vAlign w:val="center"/>
            <w:shd w:fill="F4F7FA"/>
          </w:tcPr>
          <w:p>
            <w:pPr>
              <w:spacing w:after="20" w:line="252" w:lineRule="auto"/>
            </w:pPr>
            <w:r>
              <w:rPr>
                <w:rFonts w:ascii="Microsoft YaHei" w:hAnsi="Microsoft YaHei"/>
                <w:sz w:val="16"/>
              </w:rPr>
              <w:t>复核收入、开票和应收截止</w:t>
            </w:r>
          </w:p>
        </w:tc>
        <w:tc>
          <w:tcPr>
            <w:tcW w:type="dxa" w:w="1247"/>
            <w:vAlign w:val="center"/>
            <w:shd w:fill="F4F7FA"/>
          </w:tcPr>
          <w:p>
            <w:pPr>
              <w:spacing w:after="20" w:line="252" w:lineRule="auto"/>
            </w:pPr>
            <w:r>
              <w:rPr>
                <w:rFonts w:ascii="Microsoft YaHei" w:hAnsi="Microsoft YaHei"/>
                <w:sz w:val="16"/>
              </w:rPr>
              <w:t>总账</w:t>
            </w:r>
          </w:p>
        </w:tc>
        <w:tc>
          <w:tcPr>
            <w:tcW w:type="dxa" w:w="794"/>
            <w:vAlign w:val="center"/>
            <w:shd w:fill="F4F7FA"/>
          </w:tcPr>
          <w:p>
            <w:pPr>
              <w:spacing w:after="20" w:line="252" w:lineRule="auto"/>
            </w:pPr>
            <w:r>
              <w:rPr>
                <w:rFonts w:ascii="Microsoft YaHei" w:hAnsi="Microsoft YaHei"/>
                <w:sz w:val="16"/>
              </w:rPr>
              <w:t>T+2</w:t>
            </w:r>
          </w:p>
        </w:tc>
        <w:tc>
          <w:tcPr>
            <w:tcW w:type="dxa" w:w="2381"/>
            <w:vAlign w:val="center"/>
            <w:shd w:fill="F4F7FA"/>
          </w:tcPr>
          <w:p>
            <w:pPr>
              <w:spacing w:after="20" w:line="252" w:lineRule="auto"/>
            </w:pPr>
            <w:r>
              <w:rPr>
                <w:rFonts w:ascii="Microsoft YaHei" w:hAnsi="Microsoft YaHei"/>
                <w:sz w:val="16"/>
              </w:rPr>
              <w:t>发货、验收、开票、收入明细</w:t>
            </w:r>
          </w:p>
        </w:tc>
        <w:tc>
          <w:tcPr>
            <w:tcW w:type="dxa" w:w="2268"/>
            <w:vAlign w:val="center"/>
            <w:shd w:fill="F4F7FA"/>
          </w:tcPr>
          <w:p>
            <w:pPr>
              <w:spacing w:after="20" w:line="252" w:lineRule="auto"/>
            </w:pPr>
            <w:r>
              <w:rPr>
                <w:rFonts w:ascii="Microsoft YaHei" w:hAnsi="Microsoft YaHei"/>
                <w:sz w:val="16"/>
              </w:rPr>
              <w:t>跨期差异已处理</w:t>
            </w:r>
          </w:p>
        </w:tc>
      </w:tr>
      <w:tr>
        <w:tc>
          <w:tcPr>
            <w:tcW w:type="dxa" w:w="2948"/>
            <w:vAlign w:val="center"/>
          </w:tcPr>
          <w:p>
            <w:pPr>
              <w:spacing w:after="20" w:line="252" w:lineRule="auto"/>
            </w:pPr>
            <w:r>
              <w:rPr>
                <w:rFonts w:ascii="Microsoft YaHei" w:hAnsi="Microsoft YaHei"/>
                <w:sz w:val="16"/>
              </w:rPr>
              <w:t>更新争议款清单和预计解决日期</w:t>
            </w:r>
          </w:p>
        </w:tc>
        <w:tc>
          <w:tcPr>
            <w:tcW w:type="dxa" w:w="1247"/>
            <w:vAlign w:val="center"/>
          </w:tcPr>
          <w:p>
            <w:pPr>
              <w:spacing w:after="20" w:line="252" w:lineRule="auto"/>
            </w:pPr>
            <w:r>
              <w:rPr>
                <w:rFonts w:ascii="Microsoft YaHei" w:hAnsi="Microsoft YaHei"/>
                <w:sz w:val="16"/>
              </w:rPr>
              <w:t>销售/项目</w:t>
            </w:r>
          </w:p>
        </w:tc>
        <w:tc>
          <w:tcPr>
            <w:tcW w:type="dxa" w:w="794"/>
            <w:vAlign w:val="center"/>
          </w:tcPr>
          <w:p>
            <w:pPr>
              <w:spacing w:after="20" w:line="252" w:lineRule="auto"/>
            </w:pPr>
            <w:r>
              <w:rPr>
                <w:rFonts w:ascii="Microsoft YaHei" w:hAnsi="Microsoft YaHei"/>
                <w:sz w:val="16"/>
              </w:rPr>
              <w:t>T+2</w:t>
            </w:r>
          </w:p>
        </w:tc>
        <w:tc>
          <w:tcPr>
            <w:tcW w:type="dxa" w:w="2381"/>
            <w:vAlign w:val="center"/>
          </w:tcPr>
          <w:p>
            <w:pPr>
              <w:spacing w:after="20" w:line="252" w:lineRule="auto"/>
            </w:pPr>
            <w:r>
              <w:rPr>
                <w:rFonts w:ascii="Microsoft YaHei" w:hAnsi="Microsoft YaHei"/>
                <w:sz w:val="16"/>
              </w:rPr>
              <w:t>客户异议、质量或验收资料</w:t>
            </w:r>
          </w:p>
        </w:tc>
        <w:tc>
          <w:tcPr>
            <w:tcW w:type="dxa" w:w="2268"/>
            <w:vAlign w:val="center"/>
          </w:tcPr>
          <w:p>
            <w:pPr>
              <w:spacing w:after="20" w:line="252" w:lineRule="auto"/>
            </w:pPr>
            <w:r>
              <w:rPr>
                <w:rFonts w:ascii="Microsoft YaHei" w:hAnsi="Microsoft YaHei"/>
                <w:sz w:val="16"/>
              </w:rPr>
              <w:t>责任部门和截止明确</w:t>
            </w:r>
          </w:p>
        </w:tc>
      </w:tr>
      <w:tr>
        <w:tc>
          <w:tcPr>
            <w:tcW w:type="dxa" w:w="2948"/>
            <w:vAlign w:val="center"/>
            <w:shd w:fill="F4F7FA"/>
          </w:tcPr>
          <w:p>
            <w:pPr>
              <w:spacing w:after="20" w:line="252" w:lineRule="auto"/>
            </w:pPr>
            <w:r>
              <w:rPr>
                <w:rFonts w:ascii="Microsoft YaHei" w:hAnsi="Microsoft YaHei"/>
                <w:sz w:val="16"/>
              </w:rPr>
              <w:t>复核ECL模型、账龄迁徙和个别评估</w:t>
            </w:r>
          </w:p>
        </w:tc>
        <w:tc>
          <w:tcPr>
            <w:tcW w:type="dxa" w:w="1247"/>
            <w:vAlign w:val="center"/>
            <w:shd w:fill="F4F7FA"/>
          </w:tcPr>
          <w:p>
            <w:pPr>
              <w:spacing w:after="20" w:line="252" w:lineRule="auto"/>
            </w:pPr>
            <w:r>
              <w:rPr>
                <w:rFonts w:ascii="Microsoft YaHei" w:hAnsi="Microsoft YaHei"/>
                <w:sz w:val="16"/>
              </w:rPr>
              <w:t>财务主管</w:t>
            </w:r>
          </w:p>
        </w:tc>
        <w:tc>
          <w:tcPr>
            <w:tcW w:type="dxa" w:w="794"/>
            <w:vAlign w:val="center"/>
            <w:shd w:fill="F4F7FA"/>
          </w:tcPr>
          <w:p>
            <w:pPr>
              <w:spacing w:after="20" w:line="252" w:lineRule="auto"/>
            </w:pPr>
            <w:r>
              <w:rPr>
                <w:rFonts w:ascii="Microsoft YaHei" w:hAnsi="Microsoft YaHei"/>
                <w:sz w:val="16"/>
              </w:rPr>
              <w:t>T+3</w:t>
            </w:r>
          </w:p>
        </w:tc>
        <w:tc>
          <w:tcPr>
            <w:tcW w:type="dxa" w:w="2381"/>
            <w:vAlign w:val="center"/>
            <w:shd w:fill="F4F7FA"/>
          </w:tcPr>
          <w:p>
            <w:pPr>
              <w:spacing w:after="20" w:line="252" w:lineRule="auto"/>
            </w:pPr>
            <w:r>
              <w:rPr>
                <w:rFonts w:ascii="Microsoft YaHei" w:hAnsi="Microsoft YaHei"/>
                <w:sz w:val="16"/>
              </w:rPr>
              <w:t>ECL底稿、法务和销售信息</w:t>
            </w:r>
          </w:p>
        </w:tc>
        <w:tc>
          <w:tcPr>
            <w:tcW w:type="dxa" w:w="2268"/>
            <w:vAlign w:val="center"/>
            <w:shd w:fill="F4F7FA"/>
          </w:tcPr>
          <w:p>
            <w:pPr>
              <w:spacing w:after="20" w:line="252" w:lineRule="auto"/>
            </w:pPr>
            <w:r>
              <w:rPr>
                <w:rFonts w:ascii="Microsoft YaHei" w:hAnsi="Microsoft YaHei"/>
                <w:sz w:val="16"/>
              </w:rPr>
              <w:t>假设有证据并经审批</w:t>
            </w:r>
          </w:p>
        </w:tc>
      </w:tr>
      <w:tr>
        <w:tc>
          <w:tcPr>
            <w:tcW w:type="dxa" w:w="2948"/>
            <w:vAlign w:val="center"/>
          </w:tcPr>
          <w:p>
            <w:pPr>
              <w:spacing w:after="20" w:line="252" w:lineRule="auto"/>
            </w:pPr>
            <w:r>
              <w:rPr>
                <w:rFonts w:ascii="Microsoft YaHei" w:hAnsi="Microsoft YaHei"/>
                <w:sz w:val="16"/>
              </w:rPr>
              <w:t>核对客户对账覆盖率和重大未回函</w:t>
            </w:r>
          </w:p>
        </w:tc>
        <w:tc>
          <w:tcPr>
            <w:tcW w:type="dxa" w:w="1247"/>
            <w:vAlign w:val="center"/>
          </w:tcPr>
          <w:p>
            <w:pPr>
              <w:spacing w:after="20" w:line="252" w:lineRule="auto"/>
            </w:pPr>
            <w:r>
              <w:rPr>
                <w:rFonts w:ascii="Microsoft YaHei" w:hAnsi="Microsoft YaHei"/>
                <w:sz w:val="16"/>
              </w:rPr>
              <w:t>AR</w:t>
            </w:r>
          </w:p>
        </w:tc>
        <w:tc>
          <w:tcPr>
            <w:tcW w:type="dxa" w:w="794"/>
            <w:vAlign w:val="center"/>
          </w:tcPr>
          <w:p>
            <w:pPr>
              <w:spacing w:after="20" w:line="252" w:lineRule="auto"/>
            </w:pPr>
            <w:r>
              <w:rPr>
                <w:rFonts w:ascii="Microsoft YaHei" w:hAnsi="Microsoft YaHei"/>
                <w:sz w:val="16"/>
              </w:rPr>
              <w:t>T+3</w:t>
            </w:r>
          </w:p>
        </w:tc>
        <w:tc>
          <w:tcPr>
            <w:tcW w:type="dxa" w:w="2381"/>
            <w:vAlign w:val="center"/>
          </w:tcPr>
          <w:p>
            <w:pPr>
              <w:spacing w:after="20" w:line="252" w:lineRule="auto"/>
            </w:pPr>
            <w:r>
              <w:rPr>
                <w:rFonts w:ascii="Microsoft YaHei" w:hAnsi="Microsoft YaHei"/>
                <w:sz w:val="16"/>
              </w:rPr>
              <w:t>对账函、替代证据</w:t>
            </w:r>
          </w:p>
        </w:tc>
        <w:tc>
          <w:tcPr>
            <w:tcW w:type="dxa" w:w="2268"/>
            <w:vAlign w:val="center"/>
          </w:tcPr>
          <w:p>
            <w:pPr>
              <w:spacing w:after="20" w:line="252" w:lineRule="auto"/>
            </w:pPr>
            <w:r>
              <w:rPr>
                <w:rFonts w:ascii="Microsoft YaHei" w:hAnsi="Microsoft YaHei"/>
                <w:sz w:val="16"/>
              </w:rPr>
              <w:t>重大余额有证据</w:t>
            </w:r>
          </w:p>
        </w:tc>
      </w:tr>
      <w:tr>
        <w:tc>
          <w:tcPr>
            <w:tcW w:type="dxa" w:w="2948"/>
            <w:vAlign w:val="center"/>
            <w:shd w:fill="F4F7FA"/>
          </w:tcPr>
          <w:p>
            <w:pPr>
              <w:spacing w:after="20" w:line="252" w:lineRule="auto"/>
            </w:pPr>
            <w:r>
              <w:rPr>
                <w:rFonts w:ascii="Microsoft YaHei" w:hAnsi="Microsoft YaHei"/>
                <w:sz w:val="16"/>
              </w:rPr>
              <w:t>更新信用额度占用和冻结客户</w:t>
            </w:r>
          </w:p>
        </w:tc>
        <w:tc>
          <w:tcPr>
            <w:tcW w:type="dxa" w:w="1247"/>
            <w:vAlign w:val="center"/>
            <w:shd w:fill="F4F7FA"/>
          </w:tcPr>
          <w:p>
            <w:pPr>
              <w:spacing w:after="20" w:line="252" w:lineRule="auto"/>
            </w:pPr>
            <w:r>
              <w:rPr>
                <w:rFonts w:ascii="Microsoft YaHei" w:hAnsi="Microsoft YaHei"/>
                <w:sz w:val="16"/>
              </w:rPr>
              <w:t>信用管理</w:t>
            </w:r>
          </w:p>
        </w:tc>
        <w:tc>
          <w:tcPr>
            <w:tcW w:type="dxa" w:w="794"/>
            <w:vAlign w:val="center"/>
            <w:shd w:fill="F4F7FA"/>
          </w:tcPr>
          <w:p>
            <w:pPr>
              <w:spacing w:after="20" w:line="252" w:lineRule="auto"/>
            </w:pPr>
            <w:r>
              <w:rPr>
                <w:rFonts w:ascii="Microsoft YaHei" w:hAnsi="Microsoft YaHei"/>
                <w:sz w:val="16"/>
              </w:rPr>
              <w:t>月末</w:t>
            </w:r>
          </w:p>
        </w:tc>
        <w:tc>
          <w:tcPr>
            <w:tcW w:type="dxa" w:w="2381"/>
            <w:vAlign w:val="center"/>
            <w:shd w:fill="F4F7FA"/>
          </w:tcPr>
          <w:p>
            <w:pPr>
              <w:spacing w:after="20" w:line="252" w:lineRule="auto"/>
            </w:pPr>
            <w:r>
              <w:rPr>
                <w:rFonts w:ascii="Microsoft YaHei" w:hAnsi="Microsoft YaHei"/>
                <w:sz w:val="16"/>
              </w:rPr>
              <w:t>额度、应收、在途订单</w:t>
            </w:r>
          </w:p>
        </w:tc>
        <w:tc>
          <w:tcPr>
            <w:tcW w:type="dxa" w:w="2268"/>
            <w:vAlign w:val="center"/>
            <w:shd w:fill="F4F7FA"/>
          </w:tcPr>
          <w:p>
            <w:pPr>
              <w:spacing w:after="20" w:line="252" w:lineRule="auto"/>
            </w:pPr>
            <w:r>
              <w:rPr>
                <w:rFonts w:ascii="Microsoft YaHei" w:hAnsi="Microsoft YaHei"/>
                <w:sz w:val="16"/>
              </w:rPr>
              <w:t>系统状态一致</w:t>
            </w:r>
          </w:p>
        </w:tc>
      </w:tr>
      <w:tr>
        <w:tc>
          <w:tcPr>
            <w:tcW w:type="dxa" w:w="2948"/>
            <w:vAlign w:val="center"/>
          </w:tcPr>
          <w:p>
            <w:pPr>
              <w:spacing w:after="20" w:line="252" w:lineRule="auto"/>
            </w:pPr>
            <w:r>
              <w:rPr>
                <w:rFonts w:ascii="Microsoft YaHei" w:hAnsi="Microsoft YaHei"/>
                <w:sz w:val="16"/>
              </w:rPr>
              <w:t>形成应收管理一页报告</w:t>
            </w:r>
          </w:p>
        </w:tc>
        <w:tc>
          <w:tcPr>
            <w:tcW w:type="dxa" w:w="1247"/>
            <w:vAlign w:val="center"/>
          </w:tcPr>
          <w:p>
            <w:pPr>
              <w:spacing w:after="20" w:line="252" w:lineRule="auto"/>
            </w:pPr>
            <w:r>
              <w:rPr>
                <w:rFonts w:ascii="Microsoft YaHei" w:hAnsi="Microsoft YaHei"/>
                <w:sz w:val="16"/>
              </w:rPr>
              <w:t>财务主管</w:t>
            </w:r>
          </w:p>
        </w:tc>
        <w:tc>
          <w:tcPr>
            <w:tcW w:type="dxa" w:w="794"/>
            <w:vAlign w:val="center"/>
          </w:tcPr>
          <w:p>
            <w:pPr>
              <w:spacing w:after="20" w:line="252" w:lineRule="auto"/>
            </w:pPr>
            <w:r>
              <w:rPr>
                <w:rFonts w:ascii="Microsoft YaHei" w:hAnsi="Microsoft YaHei"/>
                <w:sz w:val="16"/>
              </w:rPr>
              <w:t>T+4</w:t>
            </w:r>
          </w:p>
        </w:tc>
        <w:tc>
          <w:tcPr>
            <w:tcW w:type="dxa" w:w="2381"/>
            <w:vAlign w:val="center"/>
          </w:tcPr>
          <w:p>
            <w:pPr>
              <w:spacing w:after="20" w:line="252" w:lineRule="auto"/>
            </w:pPr>
            <w:r>
              <w:rPr>
                <w:rFonts w:ascii="Microsoft YaHei" w:hAnsi="Microsoft YaHei"/>
                <w:sz w:val="16"/>
              </w:rPr>
              <w:t>余额、逾期、回款和风险</w:t>
            </w:r>
          </w:p>
        </w:tc>
        <w:tc>
          <w:tcPr>
            <w:tcW w:type="dxa" w:w="2268"/>
            <w:vAlign w:val="center"/>
          </w:tcPr>
          <w:p>
            <w:pPr>
              <w:spacing w:after="20" w:line="252" w:lineRule="auto"/>
            </w:pPr>
            <w:r>
              <w:rPr>
                <w:rFonts w:ascii="Microsoft YaHei" w:hAnsi="Microsoft YaHei"/>
                <w:sz w:val="16"/>
              </w:rPr>
              <w:t>结论、行动、Owner和期限齐全</w:t>
            </w:r>
          </w:p>
        </w:tc>
      </w:tr>
      <w:tr>
        <w:tc>
          <w:tcPr>
            <w:tcW w:type="dxa" w:w="2948"/>
            <w:vAlign w:val="center"/>
            <w:shd w:fill="F4F7FA"/>
          </w:tcPr>
          <w:p>
            <w:pPr>
              <w:spacing w:after="20" w:line="252" w:lineRule="auto"/>
            </w:pPr>
            <w:r>
              <w:rPr>
                <w:rFonts w:ascii="Microsoft YaHei" w:hAnsi="Microsoft YaHei"/>
                <w:sz w:val="16"/>
              </w:rPr>
              <w:t>归档月结底稿和复核证据</w:t>
            </w:r>
          </w:p>
        </w:tc>
        <w:tc>
          <w:tcPr>
            <w:tcW w:type="dxa" w:w="1247"/>
            <w:vAlign w:val="center"/>
            <w:shd w:fill="F4F7FA"/>
          </w:tcPr>
          <w:p>
            <w:pPr>
              <w:spacing w:after="20" w:line="252" w:lineRule="auto"/>
            </w:pPr>
            <w:r>
              <w:rPr>
                <w:rFonts w:ascii="Microsoft YaHei" w:hAnsi="Microsoft YaHei"/>
                <w:sz w:val="16"/>
              </w:rPr>
              <w:t>总账</w:t>
            </w:r>
          </w:p>
        </w:tc>
        <w:tc>
          <w:tcPr>
            <w:tcW w:type="dxa" w:w="794"/>
            <w:vAlign w:val="center"/>
            <w:shd w:fill="F4F7FA"/>
          </w:tcPr>
          <w:p>
            <w:pPr>
              <w:spacing w:after="20" w:line="252" w:lineRule="auto"/>
            </w:pPr>
            <w:r>
              <w:rPr>
                <w:rFonts w:ascii="Microsoft YaHei" w:hAnsi="Microsoft YaHei"/>
                <w:sz w:val="16"/>
              </w:rPr>
              <w:t>T+4</w:t>
            </w:r>
          </w:p>
        </w:tc>
        <w:tc>
          <w:tcPr>
            <w:tcW w:type="dxa" w:w="2381"/>
            <w:vAlign w:val="center"/>
            <w:shd w:fill="F4F7FA"/>
          </w:tcPr>
          <w:p>
            <w:pPr>
              <w:spacing w:after="20" w:line="252" w:lineRule="auto"/>
            </w:pPr>
            <w:r>
              <w:rPr>
                <w:rFonts w:ascii="Microsoft YaHei" w:hAnsi="Microsoft YaHei"/>
                <w:sz w:val="16"/>
              </w:rPr>
              <w:t>底稿目录</w:t>
            </w:r>
          </w:p>
        </w:tc>
        <w:tc>
          <w:tcPr>
            <w:tcW w:type="dxa" w:w="2268"/>
            <w:vAlign w:val="center"/>
            <w:shd w:fill="F4F7FA"/>
          </w:tcPr>
          <w:p>
            <w:pPr>
              <w:spacing w:after="20" w:line="252" w:lineRule="auto"/>
            </w:pPr>
            <w:r>
              <w:rPr>
                <w:rFonts w:ascii="Microsoft YaHei" w:hAnsi="Microsoft YaHei"/>
                <w:sz w:val="16"/>
              </w:rPr>
              <w:t>文件可追溯</w:t>
            </w:r>
          </w:p>
        </w:tc>
      </w:tr>
    </w:tbl>
    <w:p>
      <w:pPr>
        <w:spacing w:after="40"/>
      </w:pPr>
    </w:p>
    <w:p>
      <w:pPr>
        <w:pStyle w:val="Heading1"/>
        <w:keepNext/>
      </w:pPr>
      <w:r>
        <w:t>第十四章 财务经理和管理层视角</w:t>
      </w:r>
    </w:p>
    <w:p>
      <w:pPr>
        <w:pStyle w:val="Heading2"/>
        <w:keepNext/>
      </w:pPr>
      <w:r>
        <w:t>14.1 一页管理报告只保留重要结论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134"/>
            <w:shd w:fill="17365D"/>
            <w:vAlign w:val="center"/>
          </w:tcPr>
          <w:p>
            <w:r>
              <w:rPr>
                <w:b/>
                <w:color w:val="FFFFFF"/>
                <w:sz w:val="17"/>
              </w:rPr>
              <w:t>区域</w:t>
            </w:r>
          </w:p>
        </w:tc>
        <w:tc>
          <w:tcPr>
            <w:tcW w:type="dxa" w:w="3628"/>
            <w:shd w:fill="17365D"/>
            <w:vAlign w:val="center"/>
          </w:tcPr>
          <w:p>
            <w:r>
              <w:rPr>
                <w:b/>
                <w:color w:val="FFFFFF"/>
                <w:sz w:val="17"/>
              </w:rPr>
              <w:t>管理层要看什么</w:t>
            </w:r>
          </w:p>
        </w:tc>
        <w:tc>
          <w:tcPr>
            <w:tcW w:type="dxa" w:w="3855"/>
            <w:shd w:fill="17365D"/>
            <w:vAlign w:val="center"/>
          </w:tcPr>
          <w:p>
            <w:r>
              <w:rPr>
                <w:b/>
                <w:color w:val="FFFFFF"/>
                <w:sz w:val="17"/>
              </w:rPr>
              <w:t>表达方式</w:t>
            </w:r>
          </w:p>
        </w:tc>
      </w:tr>
      <w:tr>
        <w:tc>
          <w:tcPr>
            <w:tcW w:type="dxa" w:w="1134"/>
            <w:vAlign w:val="center"/>
          </w:tcPr>
          <w:p>
            <w:pPr>
              <w:spacing w:after="20" w:line="252" w:lineRule="auto"/>
            </w:pPr>
            <w:r>
              <w:rPr>
                <w:rFonts w:ascii="Microsoft YaHei" w:hAnsi="Microsoft YaHei"/>
                <w:sz w:val="17"/>
              </w:rPr>
              <w:t>规模</w:t>
            </w:r>
          </w:p>
        </w:tc>
        <w:tc>
          <w:tcPr>
            <w:tcW w:type="dxa" w:w="3628"/>
            <w:vAlign w:val="center"/>
          </w:tcPr>
          <w:p>
            <w:pPr>
              <w:spacing w:after="20" w:line="252" w:lineRule="auto"/>
            </w:pPr>
            <w:r>
              <w:rPr>
                <w:rFonts w:ascii="Microsoft YaHei" w:hAnsi="Microsoft YaHei"/>
                <w:sz w:val="17"/>
              </w:rPr>
              <w:t>应收余额、赊销收入和环比变化</w:t>
            </w:r>
          </w:p>
        </w:tc>
        <w:tc>
          <w:tcPr>
            <w:tcW w:type="dxa" w:w="3855"/>
            <w:vAlign w:val="center"/>
          </w:tcPr>
          <w:p>
            <w:pPr>
              <w:spacing w:after="20" w:line="252" w:lineRule="auto"/>
            </w:pPr>
            <w:r>
              <w:rPr>
                <w:rFonts w:ascii="Microsoft YaHei" w:hAnsi="Microsoft YaHei"/>
                <w:sz w:val="17"/>
              </w:rPr>
              <w:t>余额增加多少，其中多少由收入增长解释</w:t>
            </w:r>
          </w:p>
        </w:tc>
      </w:tr>
      <w:tr>
        <w:tc>
          <w:tcPr>
            <w:tcW w:type="dxa" w:w="1134"/>
            <w:vAlign w:val="center"/>
            <w:shd w:fill="F4F7FA"/>
          </w:tcPr>
          <w:p>
            <w:pPr>
              <w:spacing w:after="20" w:line="252" w:lineRule="auto"/>
            </w:pPr>
            <w:r>
              <w:rPr>
                <w:rFonts w:ascii="Microsoft YaHei" w:hAnsi="Microsoft YaHei"/>
                <w:sz w:val="17"/>
              </w:rPr>
              <w:t>质量</w:t>
            </w:r>
          </w:p>
        </w:tc>
        <w:tc>
          <w:tcPr>
            <w:tcW w:type="dxa" w:w="3628"/>
            <w:vAlign w:val="center"/>
            <w:shd w:fill="F4F7FA"/>
          </w:tcPr>
          <w:p>
            <w:pPr>
              <w:spacing w:after="20" w:line="252" w:lineRule="auto"/>
            </w:pPr>
            <w:r>
              <w:rPr>
                <w:rFonts w:ascii="Microsoft YaHei" w:hAnsi="Microsoft YaHei"/>
                <w:sz w:val="17"/>
              </w:rPr>
              <w:t>逾期率、90天以上、争议和集中度</w:t>
            </w:r>
          </w:p>
        </w:tc>
        <w:tc>
          <w:tcPr>
            <w:tcW w:type="dxa" w:w="3855"/>
            <w:vAlign w:val="center"/>
            <w:shd w:fill="F4F7FA"/>
          </w:tcPr>
          <w:p>
            <w:pPr>
              <w:spacing w:after="20" w:line="252" w:lineRule="auto"/>
            </w:pPr>
            <w:r>
              <w:rPr>
                <w:rFonts w:ascii="Microsoft YaHei" w:hAnsi="Microsoft YaHei"/>
                <w:sz w:val="17"/>
              </w:rPr>
              <w:t>风险集中在哪些客户和原因</w:t>
            </w:r>
          </w:p>
        </w:tc>
      </w:tr>
      <w:tr>
        <w:tc>
          <w:tcPr>
            <w:tcW w:type="dxa" w:w="1134"/>
            <w:vAlign w:val="center"/>
          </w:tcPr>
          <w:p>
            <w:pPr>
              <w:spacing w:after="20" w:line="252" w:lineRule="auto"/>
            </w:pPr>
            <w:r>
              <w:rPr>
                <w:rFonts w:ascii="Microsoft YaHei" w:hAnsi="Microsoft YaHei"/>
                <w:sz w:val="17"/>
              </w:rPr>
              <w:t>现金</w:t>
            </w:r>
          </w:p>
        </w:tc>
        <w:tc>
          <w:tcPr>
            <w:tcW w:type="dxa" w:w="3628"/>
            <w:vAlign w:val="center"/>
          </w:tcPr>
          <w:p>
            <w:pPr>
              <w:spacing w:after="20" w:line="252" w:lineRule="auto"/>
            </w:pPr>
            <w:r>
              <w:rPr>
                <w:rFonts w:ascii="Microsoft YaHei" w:hAnsi="Microsoft YaHei"/>
                <w:sz w:val="17"/>
              </w:rPr>
              <w:t>本月回款、下月预测和预测准确率</w:t>
            </w:r>
          </w:p>
        </w:tc>
        <w:tc>
          <w:tcPr>
            <w:tcW w:type="dxa" w:w="3855"/>
            <w:vAlign w:val="center"/>
          </w:tcPr>
          <w:p>
            <w:pPr>
              <w:spacing w:after="20" w:line="252" w:lineRule="auto"/>
            </w:pPr>
            <w:r>
              <w:rPr>
                <w:rFonts w:ascii="Microsoft YaHei" w:hAnsi="Microsoft YaHei"/>
                <w:sz w:val="17"/>
              </w:rPr>
              <w:t>现金缺口及承诺客户</w:t>
            </w:r>
          </w:p>
        </w:tc>
      </w:tr>
      <w:tr>
        <w:tc>
          <w:tcPr>
            <w:tcW w:type="dxa" w:w="1134"/>
            <w:vAlign w:val="center"/>
            <w:shd w:fill="F4F7FA"/>
          </w:tcPr>
          <w:p>
            <w:pPr>
              <w:spacing w:after="20" w:line="252" w:lineRule="auto"/>
            </w:pPr>
            <w:r>
              <w:rPr>
                <w:rFonts w:ascii="Microsoft YaHei" w:hAnsi="Microsoft YaHei"/>
                <w:sz w:val="17"/>
              </w:rPr>
              <w:t>风险</w:t>
            </w:r>
          </w:p>
        </w:tc>
        <w:tc>
          <w:tcPr>
            <w:tcW w:type="dxa" w:w="3628"/>
            <w:vAlign w:val="center"/>
            <w:shd w:fill="F4F7FA"/>
          </w:tcPr>
          <w:p>
            <w:pPr>
              <w:spacing w:after="20" w:line="252" w:lineRule="auto"/>
            </w:pPr>
            <w:r>
              <w:rPr>
                <w:rFonts w:ascii="Microsoft YaHei" w:hAnsi="Microsoft YaHei"/>
                <w:sz w:val="17"/>
              </w:rPr>
              <w:t>冻结客户、额度例外、诉讼和ECL</w:t>
            </w:r>
          </w:p>
        </w:tc>
        <w:tc>
          <w:tcPr>
            <w:tcW w:type="dxa" w:w="3855"/>
            <w:vAlign w:val="center"/>
            <w:shd w:fill="F4F7FA"/>
          </w:tcPr>
          <w:p>
            <w:pPr>
              <w:spacing w:after="20" w:line="252" w:lineRule="auto"/>
            </w:pPr>
            <w:r>
              <w:rPr>
                <w:rFonts w:ascii="Microsoft YaHei" w:hAnsi="Microsoft YaHei"/>
                <w:sz w:val="17"/>
              </w:rPr>
              <w:t>最坏情形及报表影响</w:t>
            </w:r>
          </w:p>
        </w:tc>
      </w:tr>
      <w:tr>
        <w:tc>
          <w:tcPr>
            <w:tcW w:type="dxa" w:w="1134"/>
            <w:vAlign w:val="center"/>
          </w:tcPr>
          <w:p>
            <w:pPr>
              <w:spacing w:after="20" w:line="252" w:lineRule="auto"/>
            </w:pPr>
            <w:r>
              <w:rPr>
                <w:rFonts w:ascii="Microsoft YaHei" w:hAnsi="Microsoft YaHei"/>
                <w:sz w:val="17"/>
              </w:rPr>
              <w:t>行动</w:t>
            </w:r>
          </w:p>
        </w:tc>
        <w:tc>
          <w:tcPr>
            <w:tcW w:type="dxa" w:w="3628"/>
            <w:vAlign w:val="center"/>
          </w:tcPr>
          <w:p>
            <w:pPr>
              <w:spacing w:after="20" w:line="252" w:lineRule="auto"/>
            </w:pPr>
            <w:r>
              <w:rPr>
                <w:rFonts w:ascii="Microsoft YaHei" w:hAnsi="Microsoft YaHei"/>
                <w:sz w:val="17"/>
              </w:rPr>
              <w:t>Top Issue、Owner和截止</w:t>
            </w:r>
          </w:p>
        </w:tc>
        <w:tc>
          <w:tcPr>
            <w:tcW w:type="dxa" w:w="3855"/>
            <w:vAlign w:val="center"/>
          </w:tcPr>
          <w:p>
            <w:pPr>
              <w:spacing w:after="20" w:line="252" w:lineRule="auto"/>
            </w:pPr>
            <w:r>
              <w:rPr>
                <w:rFonts w:ascii="Microsoft YaHei" w:hAnsi="Microsoft YaHei"/>
                <w:sz w:val="17"/>
              </w:rPr>
              <w:t>需要管理层决定什么</w:t>
            </w:r>
          </w:p>
        </w:tc>
      </w:tr>
    </w:tbl>
    <w:p>
      <w:pPr>
        <w:spacing w:after="40"/>
      </w:pPr>
    </w:p>
    <w:p>
      <w:pPr>
        <w:pStyle w:val="Heading2"/>
        <w:keepNext/>
      </w:pPr>
      <w:r>
        <w:t>14.2 管理层决策问题</w:t>
      </w:r>
    </w:p>
    <w:p>
      <w:pPr>
        <w:pStyle w:val="ListBullet"/>
        <w:spacing w:after="40"/>
      </w:pPr>
      <w:r>
        <w:t>继续增长是否需要放宽信用，能承受多大现金占用和损失。</w:t>
      </w:r>
    </w:p>
    <w:p>
      <w:pPr>
        <w:pStyle w:val="ListBullet"/>
        <w:spacing w:after="40"/>
      </w:pPr>
      <w:r>
        <w:t>大客户高毛利但账期长，回报是否覆盖资金成本和风险。</w:t>
      </w:r>
    </w:p>
    <w:p>
      <w:pPr>
        <w:pStyle w:val="ListBullet"/>
        <w:spacing w:after="40"/>
      </w:pPr>
      <w:r>
        <w:t>现金紧张时，催收、保理、信用保险和停止发货如何组合。</w:t>
      </w:r>
    </w:p>
    <w:p>
      <w:pPr>
        <w:pStyle w:val="ListBullet"/>
        <w:spacing w:after="40"/>
      </w:pPr>
      <w:r>
        <w:t>逾期问题来自客户、销售激励还是交付质量，应该改变哪项机制。</w:t>
      </w:r>
    </w:p>
    <w:p>
      <w:pPr>
        <w:pStyle w:val="Heading1"/>
        <w:keepNext/>
      </w:pPr>
      <w:r>
        <w:t>第十五章 20%核心知识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2268"/>
            <w:shd w:fill="17365D"/>
            <w:vAlign w:val="center"/>
          </w:tcPr>
          <w:p>
            <w:r>
              <w:rPr>
                <w:b/>
                <w:color w:val="FFFFFF"/>
                <w:sz w:val="18"/>
              </w:rPr>
              <w:t>核心能力</w:t>
            </w:r>
          </w:p>
        </w:tc>
        <w:tc>
          <w:tcPr>
            <w:tcW w:type="dxa" w:w="6633"/>
            <w:shd w:fill="17365D"/>
            <w:vAlign w:val="center"/>
          </w:tcPr>
          <w:p>
            <w:r>
              <w:rPr>
                <w:b/>
                <w:color w:val="FFFFFF"/>
                <w:sz w:val="18"/>
              </w:rPr>
              <w:t>达到的工作标准</w:t>
            </w:r>
          </w:p>
        </w:tc>
      </w:tr>
      <w:tr>
        <w:tc>
          <w:tcPr>
            <w:tcW w:type="dxa" w:w="2268"/>
            <w:vAlign w:val="center"/>
          </w:tcPr>
          <w:p>
            <w:pPr>
              <w:spacing w:after="20" w:line="252" w:lineRule="auto"/>
            </w:pPr>
            <w:r>
              <w:rPr>
                <w:rFonts w:ascii="Microsoft YaHei" w:hAnsi="Microsoft YaHei"/>
                <w:sz w:val="18"/>
              </w:rPr>
              <w:t>客户信用</w:t>
            </w:r>
          </w:p>
        </w:tc>
        <w:tc>
          <w:tcPr>
            <w:tcW w:type="dxa" w:w="6633"/>
            <w:vAlign w:val="center"/>
          </w:tcPr>
          <w:p>
            <w:pPr>
              <w:spacing w:after="20" w:line="252" w:lineRule="auto"/>
            </w:pPr>
            <w:r>
              <w:rPr>
                <w:rFonts w:ascii="Microsoft YaHei" w:hAnsi="Microsoft YaHei"/>
                <w:sz w:val="18"/>
              </w:rPr>
              <w:t>知道风险敞口，不只看账面应收</w:t>
            </w:r>
          </w:p>
        </w:tc>
      </w:tr>
      <w:tr>
        <w:tc>
          <w:tcPr>
            <w:tcW w:type="dxa" w:w="2268"/>
            <w:vAlign w:val="center"/>
            <w:shd w:fill="F4F7FA"/>
          </w:tcPr>
          <w:p>
            <w:pPr>
              <w:spacing w:after="20" w:line="252" w:lineRule="auto"/>
            </w:pPr>
            <w:r>
              <w:rPr>
                <w:rFonts w:ascii="Microsoft YaHei" w:hAnsi="Microsoft YaHei"/>
                <w:sz w:val="18"/>
              </w:rPr>
              <w:t>账龄</w:t>
            </w:r>
          </w:p>
        </w:tc>
        <w:tc>
          <w:tcPr>
            <w:tcW w:type="dxa" w:w="6633"/>
            <w:vAlign w:val="center"/>
            <w:shd w:fill="F4F7FA"/>
          </w:tcPr>
          <w:p>
            <w:pPr>
              <w:spacing w:after="20" w:line="252" w:lineRule="auto"/>
            </w:pPr>
            <w:r>
              <w:rPr>
                <w:rFonts w:ascii="Microsoft YaHei" w:hAnsi="Microsoft YaHei"/>
                <w:sz w:val="18"/>
              </w:rPr>
              <w:t>能解释到期日来源，区分逾期和未到期</w:t>
            </w:r>
          </w:p>
        </w:tc>
      </w:tr>
      <w:tr>
        <w:tc>
          <w:tcPr>
            <w:tcW w:type="dxa" w:w="2268"/>
            <w:vAlign w:val="center"/>
          </w:tcPr>
          <w:p>
            <w:pPr>
              <w:spacing w:after="20" w:line="252" w:lineRule="auto"/>
            </w:pPr>
            <w:r>
              <w:rPr>
                <w:rFonts w:ascii="Microsoft YaHei" w:hAnsi="Microsoft YaHei"/>
                <w:sz w:val="18"/>
              </w:rPr>
              <w:t>催收</w:t>
            </w:r>
          </w:p>
        </w:tc>
        <w:tc>
          <w:tcPr>
            <w:tcW w:type="dxa" w:w="6633"/>
            <w:vAlign w:val="center"/>
          </w:tcPr>
          <w:p>
            <w:pPr>
              <w:spacing w:after="20" w:line="252" w:lineRule="auto"/>
            </w:pPr>
            <w:r>
              <w:rPr>
                <w:rFonts w:ascii="Microsoft YaHei" w:hAnsi="Microsoft YaHei"/>
                <w:sz w:val="18"/>
              </w:rPr>
              <w:t>每笔重大逾期有Owner、行动和证据</w:t>
            </w:r>
          </w:p>
        </w:tc>
      </w:tr>
      <w:tr>
        <w:tc>
          <w:tcPr>
            <w:tcW w:type="dxa" w:w="2268"/>
            <w:vAlign w:val="center"/>
            <w:shd w:fill="F4F7FA"/>
          </w:tcPr>
          <w:p>
            <w:pPr>
              <w:spacing w:after="20" w:line="252" w:lineRule="auto"/>
            </w:pPr>
            <w:r>
              <w:rPr>
                <w:rFonts w:ascii="Microsoft YaHei" w:hAnsi="Microsoft YaHei"/>
                <w:sz w:val="18"/>
              </w:rPr>
              <w:t>争议</w:t>
            </w:r>
          </w:p>
        </w:tc>
        <w:tc>
          <w:tcPr>
            <w:tcW w:type="dxa" w:w="6633"/>
            <w:vAlign w:val="center"/>
            <w:shd w:fill="F4F7FA"/>
          </w:tcPr>
          <w:p>
            <w:pPr>
              <w:spacing w:after="20" w:line="252" w:lineRule="auto"/>
            </w:pPr>
            <w:r>
              <w:rPr>
                <w:rFonts w:ascii="Microsoft YaHei" w:hAnsi="Microsoft YaHei"/>
                <w:sz w:val="18"/>
              </w:rPr>
              <w:t>能区分信用、验收、质量、价格和发票问题</w:t>
            </w:r>
          </w:p>
        </w:tc>
      </w:tr>
      <w:tr>
        <w:tc>
          <w:tcPr>
            <w:tcW w:type="dxa" w:w="2268"/>
            <w:vAlign w:val="center"/>
          </w:tcPr>
          <w:p>
            <w:pPr>
              <w:spacing w:after="20" w:line="252" w:lineRule="auto"/>
            </w:pPr>
            <w:r>
              <w:rPr>
                <w:rFonts w:ascii="Microsoft YaHei" w:hAnsi="Microsoft YaHei"/>
                <w:sz w:val="18"/>
              </w:rPr>
              <w:t>核销</w:t>
            </w:r>
          </w:p>
        </w:tc>
        <w:tc>
          <w:tcPr>
            <w:tcW w:type="dxa" w:w="6633"/>
            <w:vAlign w:val="center"/>
          </w:tcPr>
          <w:p>
            <w:pPr>
              <w:spacing w:after="20" w:line="252" w:lineRule="auto"/>
            </w:pPr>
            <w:r>
              <w:rPr>
                <w:rFonts w:ascii="Microsoft YaHei" w:hAnsi="Microsoft YaHei"/>
                <w:sz w:val="18"/>
              </w:rPr>
              <w:t>到账、认领、核销和银行勾稽一致</w:t>
            </w:r>
          </w:p>
        </w:tc>
      </w:tr>
      <w:tr>
        <w:tc>
          <w:tcPr>
            <w:tcW w:type="dxa" w:w="2268"/>
            <w:vAlign w:val="center"/>
            <w:shd w:fill="F4F7FA"/>
          </w:tcPr>
          <w:p>
            <w:pPr>
              <w:spacing w:after="20" w:line="252" w:lineRule="auto"/>
            </w:pPr>
            <w:r>
              <w:rPr>
                <w:rFonts w:ascii="Microsoft YaHei" w:hAnsi="Microsoft YaHei"/>
                <w:sz w:val="18"/>
              </w:rPr>
              <w:t>ECL</w:t>
            </w:r>
          </w:p>
        </w:tc>
        <w:tc>
          <w:tcPr>
            <w:tcW w:type="dxa" w:w="6633"/>
            <w:vAlign w:val="center"/>
            <w:shd w:fill="F4F7FA"/>
          </w:tcPr>
          <w:p>
            <w:pPr>
              <w:spacing w:after="20" w:line="252" w:lineRule="auto"/>
            </w:pPr>
            <w:r>
              <w:rPr>
                <w:rFonts w:ascii="Microsoft YaHei" w:hAnsi="Microsoft YaHei"/>
                <w:sz w:val="18"/>
              </w:rPr>
              <w:t>组合参数有证据，重大客户做个别评估</w:t>
            </w:r>
          </w:p>
        </w:tc>
      </w:tr>
      <w:tr>
        <w:tc>
          <w:tcPr>
            <w:tcW w:type="dxa" w:w="2268"/>
            <w:vAlign w:val="center"/>
          </w:tcPr>
          <w:p>
            <w:pPr>
              <w:spacing w:after="20" w:line="252" w:lineRule="auto"/>
            </w:pPr>
            <w:r>
              <w:rPr>
                <w:rFonts w:ascii="Microsoft YaHei" w:hAnsi="Microsoft YaHei"/>
                <w:sz w:val="18"/>
              </w:rPr>
              <w:t>系统</w:t>
            </w:r>
          </w:p>
        </w:tc>
        <w:tc>
          <w:tcPr>
            <w:tcW w:type="dxa" w:w="6633"/>
            <w:vAlign w:val="center"/>
          </w:tcPr>
          <w:p>
            <w:pPr>
              <w:spacing w:after="20" w:line="252" w:lineRule="auto"/>
            </w:pPr>
            <w:r>
              <w:rPr>
                <w:rFonts w:ascii="Microsoft YaHei" w:hAnsi="Microsoft YaHei"/>
                <w:sz w:val="18"/>
              </w:rPr>
              <w:t>理解CRM、销售、AR、银行和GL数据流</w:t>
            </w:r>
          </w:p>
        </w:tc>
      </w:tr>
      <w:tr>
        <w:tc>
          <w:tcPr>
            <w:tcW w:type="dxa" w:w="2268"/>
            <w:vAlign w:val="center"/>
            <w:shd w:fill="F4F7FA"/>
          </w:tcPr>
          <w:p>
            <w:pPr>
              <w:spacing w:after="20" w:line="252" w:lineRule="auto"/>
            </w:pPr>
            <w:r>
              <w:rPr>
                <w:rFonts w:ascii="Microsoft YaHei" w:hAnsi="Microsoft YaHei"/>
                <w:sz w:val="18"/>
              </w:rPr>
              <w:t>控制</w:t>
            </w:r>
          </w:p>
        </w:tc>
        <w:tc>
          <w:tcPr>
            <w:tcW w:type="dxa" w:w="6633"/>
            <w:vAlign w:val="center"/>
            <w:shd w:fill="F4F7FA"/>
          </w:tcPr>
          <w:p>
            <w:pPr>
              <w:spacing w:after="20" w:line="252" w:lineRule="auto"/>
            </w:pPr>
            <w:r>
              <w:rPr>
                <w:rFonts w:ascii="Microsoft YaHei" w:hAnsi="Microsoft YaHei"/>
                <w:sz w:val="18"/>
              </w:rPr>
              <w:t>额度、发货、收款、核销和核销坏账职责分离</w:t>
            </w:r>
          </w:p>
        </w:tc>
      </w:tr>
      <w:tr>
        <w:tc>
          <w:tcPr>
            <w:tcW w:type="dxa" w:w="2268"/>
            <w:vAlign w:val="center"/>
          </w:tcPr>
          <w:p>
            <w:pPr>
              <w:spacing w:after="20" w:line="252" w:lineRule="auto"/>
            </w:pPr>
            <w:r>
              <w:rPr>
                <w:rFonts w:ascii="Microsoft YaHei" w:hAnsi="Microsoft YaHei"/>
                <w:sz w:val="18"/>
              </w:rPr>
              <w:t>主管管理</w:t>
            </w:r>
          </w:p>
        </w:tc>
        <w:tc>
          <w:tcPr>
            <w:tcW w:type="dxa" w:w="6633"/>
            <w:vAlign w:val="center"/>
          </w:tcPr>
          <w:p>
            <w:pPr>
              <w:spacing w:after="20" w:line="252" w:lineRule="auto"/>
            </w:pPr>
            <w:r>
              <w:rPr>
                <w:rFonts w:ascii="Microsoft YaHei" w:hAnsi="Microsoft YaHei"/>
                <w:sz w:val="18"/>
              </w:rPr>
              <w:t>用Issue和Closure推动跨部门解决</w:t>
            </w:r>
          </w:p>
        </w:tc>
      </w:tr>
      <w:tr>
        <w:tc>
          <w:tcPr>
            <w:tcW w:type="dxa" w:w="2268"/>
            <w:vAlign w:val="center"/>
            <w:shd w:fill="F4F7FA"/>
          </w:tcPr>
          <w:p>
            <w:pPr>
              <w:spacing w:after="20" w:line="252" w:lineRule="auto"/>
            </w:pPr>
            <w:r>
              <w:rPr>
                <w:rFonts w:ascii="Microsoft YaHei" w:hAnsi="Microsoft YaHei"/>
                <w:sz w:val="18"/>
              </w:rPr>
              <w:t>管理报告</w:t>
            </w:r>
          </w:p>
        </w:tc>
        <w:tc>
          <w:tcPr>
            <w:tcW w:type="dxa" w:w="6633"/>
            <w:vAlign w:val="center"/>
            <w:shd w:fill="F4F7FA"/>
          </w:tcPr>
          <w:p>
            <w:pPr>
              <w:spacing w:after="20" w:line="252" w:lineRule="auto"/>
            </w:pPr>
            <w:r>
              <w:rPr>
                <w:rFonts w:ascii="Microsoft YaHei" w:hAnsi="Microsoft YaHei"/>
                <w:sz w:val="18"/>
              </w:rPr>
              <w:t>把余额压缩为现金、风险、原因和行动</w:t>
            </w:r>
          </w:p>
        </w:tc>
      </w:tr>
    </w:tbl>
    <w:p>
      <w:pPr>
        <w:spacing w:after="40"/>
      </w:pPr>
    </w:p>
    <w:p>
      <w:pPr>
        <w:pStyle w:val="Heading1"/>
        <w:keepNext/>
      </w:pPr>
      <w:r>
        <w:t>附录A 贯穿案例客户与应收明细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6"/>
        <w:gridCol w:w="1416"/>
        <w:gridCol w:w="1416"/>
        <w:gridCol w:w="1416"/>
        <w:gridCol w:w="1416"/>
        <w:gridCol w:w="1416"/>
        <w:gridCol w:w="1416"/>
      </w:tblGrid>
      <w:tr>
        <w:trPr>
          <w:tblHeader w:val="true"/>
        </w:trPr>
        <w:tc>
          <w:tcPr>
            <w:tcW w:type="dxa" w:w="1984"/>
            <w:shd w:fill="17365D"/>
            <w:vAlign w:val="center"/>
          </w:tcPr>
          <w:p>
            <w:r>
              <w:rPr>
                <w:b/>
                <w:color w:val="FFFFFF"/>
                <w:sz w:val="15"/>
              </w:rPr>
              <w:t>客户</w:t>
            </w:r>
          </w:p>
        </w:tc>
        <w:tc>
          <w:tcPr>
            <w:tcW w:type="dxa" w:w="1134"/>
            <w:shd w:fill="17365D"/>
            <w:vAlign w:val="center"/>
          </w:tcPr>
          <w:p>
            <w:r>
              <w:rPr>
                <w:b/>
                <w:color w:val="FFFFFF"/>
                <w:sz w:val="15"/>
              </w:rPr>
              <w:t>类型</w:t>
            </w:r>
          </w:p>
        </w:tc>
        <w:tc>
          <w:tcPr>
            <w:tcW w:type="dxa" w:w="907"/>
            <w:shd w:fill="17365D"/>
            <w:vAlign w:val="center"/>
          </w:tcPr>
          <w:p>
            <w:r>
              <w:rPr>
                <w:b/>
                <w:color w:val="FFFFFF"/>
                <w:sz w:val="15"/>
              </w:rPr>
              <w:t>信用级别</w:t>
            </w:r>
          </w:p>
        </w:tc>
        <w:tc>
          <w:tcPr>
            <w:tcW w:type="dxa" w:w="1134"/>
            <w:shd w:fill="17365D"/>
            <w:vAlign w:val="center"/>
          </w:tcPr>
          <w:p>
            <w:r>
              <w:rPr>
                <w:b/>
                <w:color w:val="FFFFFF"/>
                <w:sz w:val="15"/>
              </w:rPr>
              <w:t>额度</w:t>
            </w:r>
          </w:p>
        </w:tc>
        <w:tc>
          <w:tcPr>
            <w:tcW w:type="dxa" w:w="794"/>
            <w:shd w:fill="17365D"/>
            <w:vAlign w:val="center"/>
          </w:tcPr>
          <w:p>
            <w:r>
              <w:rPr>
                <w:b/>
                <w:color w:val="FFFFFF"/>
                <w:sz w:val="15"/>
              </w:rPr>
              <w:t>账期</w:t>
            </w:r>
          </w:p>
        </w:tc>
        <w:tc>
          <w:tcPr>
            <w:tcW w:type="dxa" w:w="1020"/>
            <w:shd w:fill="17365D"/>
            <w:vAlign w:val="center"/>
          </w:tcPr>
          <w:p>
            <w:r>
              <w:rPr>
                <w:b/>
                <w:color w:val="FFFFFF"/>
                <w:sz w:val="15"/>
              </w:rPr>
              <w:t>销售</w:t>
            </w:r>
          </w:p>
        </w:tc>
        <w:tc>
          <w:tcPr>
            <w:tcW w:type="dxa" w:w="1247"/>
            <w:shd w:fill="17365D"/>
            <w:vAlign w:val="center"/>
          </w:tcPr>
          <w:p>
            <w:r>
              <w:rPr>
                <w:b/>
                <w:color w:val="FFFFFF"/>
                <w:sz w:val="15"/>
              </w:rPr>
              <w:t>状态</w:t>
            </w:r>
          </w:p>
        </w:tc>
      </w:tr>
      <w:tr>
        <w:tc>
          <w:tcPr>
            <w:tcW w:type="dxa" w:w="1984"/>
            <w:vAlign w:val="center"/>
          </w:tcPr>
          <w:p>
            <w:pPr>
              <w:spacing w:after="20" w:line="252" w:lineRule="auto"/>
            </w:pPr>
            <w:r>
              <w:rPr>
                <w:rFonts w:ascii="Microsoft YaHei" w:hAnsi="Microsoft YaHei"/>
                <w:sz w:val="15"/>
              </w:rPr>
              <w:t>华东工业集团</w:t>
            </w:r>
          </w:p>
        </w:tc>
        <w:tc>
          <w:tcPr>
            <w:tcW w:type="dxa" w:w="1134"/>
            <w:vAlign w:val="center"/>
          </w:tcPr>
          <w:p>
            <w:pPr>
              <w:spacing w:after="20" w:line="252" w:lineRule="auto"/>
            </w:pPr>
            <w:r>
              <w:rPr>
                <w:rFonts w:ascii="Microsoft YaHei" w:hAnsi="Microsoft YaHei"/>
                <w:sz w:val="15"/>
              </w:rPr>
              <w:t>国企</w:t>
            </w:r>
          </w:p>
        </w:tc>
        <w:tc>
          <w:tcPr>
            <w:tcW w:type="dxa" w:w="907"/>
            <w:vAlign w:val="center"/>
          </w:tcPr>
          <w:p>
            <w:pPr>
              <w:spacing w:after="20" w:line="252" w:lineRule="auto"/>
            </w:pPr>
            <w:r>
              <w:rPr>
                <w:rFonts w:ascii="Microsoft YaHei" w:hAnsi="Microsoft YaHei"/>
                <w:sz w:val="15"/>
              </w:rPr>
              <w:t>A级</w:t>
            </w:r>
          </w:p>
        </w:tc>
        <w:tc>
          <w:tcPr>
            <w:tcW w:type="dxa" w:w="1134"/>
            <w:vAlign w:val="center"/>
          </w:tcPr>
          <w:p>
            <w:pPr>
              <w:spacing w:after="20" w:line="252" w:lineRule="auto"/>
            </w:pPr>
            <w:r>
              <w:rPr>
                <w:rFonts w:ascii="Microsoft YaHei" w:hAnsi="Microsoft YaHei"/>
                <w:sz w:val="15"/>
              </w:rPr>
              <w:t>5000000</w:t>
            </w:r>
          </w:p>
        </w:tc>
        <w:tc>
          <w:tcPr>
            <w:tcW w:type="dxa" w:w="794"/>
            <w:vAlign w:val="center"/>
          </w:tcPr>
          <w:p>
            <w:pPr>
              <w:spacing w:after="20" w:line="252" w:lineRule="auto"/>
            </w:pPr>
            <w:r>
              <w:rPr>
                <w:rFonts w:ascii="Microsoft YaHei" w:hAnsi="Microsoft YaHei"/>
                <w:sz w:val="15"/>
              </w:rPr>
              <w:t>60</w:t>
            </w:r>
          </w:p>
        </w:tc>
        <w:tc>
          <w:tcPr>
            <w:tcW w:type="dxa" w:w="1020"/>
            <w:vAlign w:val="center"/>
          </w:tcPr>
          <w:p>
            <w:pPr>
              <w:spacing w:after="20" w:line="252" w:lineRule="auto"/>
            </w:pPr>
            <w:r>
              <w:rPr>
                <w:rFonts w:ascii="Microsoft YaHei" w:hAnsi="Microsoft YaHei"/>
                <w:sz w:val="15"/>
              </w:rPr>
              <w:t>张华</w:t>
            </w:r>
          </w:p>
        </w:tc>
        <w:tc>
          <w:tcPr>
            <w:tcW w:type="dxa" w:w="1247"/>
            <w:vAlign w:val="center"/>
          </w:tcPr>
          <w:p>
            <w:pPr>
              <w:spacing w:after="20" w:line="252" w:lineRule="auto"/>
            </w:pPr>
            <w:r>
              <w:rPr>
                <w:rFonts w:ascii="Microsoft YaHei" w:hAnsi="Microsoft YaHei"/>
                <w:sz w:val="15"/>
              </w:rPr>
              <w:t>正常</w:t>
            </w:r>
          </w:p>
        </w:tc>
      </w:tr>
      <w:tr>
        <w:tc>
          <w:tcPr>
            <w:tcW w:type="dxa" w:w="1984"/>
            <w:vAlign w:val="center"/>
            <w:shd w:fill="F4F7FA"/>
          </w:tcPr>
          <w:p>
            <w:pPr>
              <w:spacing w:after="20" w:line="252" w:lineRule="auto"/>
            </w:pPr>
            <w:r>
              <w:rPr>
                <w:rFonts w:ascii="Microsoft YaHei" w:hAnsi="Microsoft YaHei"/>
                <w:sz w:val="15"/>
              </w:rPr>
              <w:t>南方电子科技</w:t>
            </w:r>
          </w:p>
        </w:tc>
        <w:tc>
          <w:tcPr>
            <w:tcW w:type="dxa" w:w="1134"/>
            <w:vAlign w:val="center"/>
            <w:shd w:fill="F4F7FA"/>
          </w:tcPr>
          <w:p>
            <w:pPr>
              <w:spacing w:after="20" w:line="252" w:lineRule="auto"/>
            </w:pPr>
            <w:r>
              <w:rPr>
                <w:rFonts w:ascii="Microsoft YaHei" w:hAnsi="Microsoft YaHei"/>
                <w:sz w:val="15"/>
              </w:rPr>
              <w:t>民营</w:t>
            </w:r>
          </w:p>
        </w:tc>
        <w:tc>
          <w:tcPr>
            <w:tcW w:type="dxa" w:w="907"/>
            <w:vAlign w:val="center"/>
            <w:shd w:fill="F4F7FA"/>
          </w:tcPr>
          <w:p>
            <w:pPr>
              <w:spacing w:after="20" w:line="252" w:lineRule="auto"/>
            </w:pPr>
            <w:r>
              <w:rPr>
                <w:rFonts w:ascii="Microsoft YaHei" w:hAnsi="Microsoft YaHei"/>
                <w:sz w:val="15"/>
              </w:rPr>
              <w:t>B级</w:t>
            </w:r>
          </w:p>
        </w:tc>
        <w:tc>
          <w:tcPr>
            <w:tcW w:type="dxa" w:w="1134"/>
            <w:vAlign w:val="center"/>
            <w:shd w:fill="F4F7FA"/>
          </w:tcPr>
          <w:p>
            <w:pPr>
              <w:spacing w:after="20" w:line="252" w:lineRule="auto"/>
            </w:pPr>
            <w:r>
              <w:rPr>
                <w:rFonts w:ascii="Microsoft YaHei" w:hAnsi="Microsoft YaHei"/>
                <w:sz w:val="15"/>
              </w:rPr>
              <w:t>3000000</w:t>
            </w:r>
          </w:p>
        </w:tc>
        <w:tc>
          <w:tcPr>
            <w:tcW w:type="dxa" w:w="794"/>
            <w:vAlign w:val="center"/>
            <w:shd w:fill="F4F7FA"/>
          </w:tcPr>
          <w:p>
            <w:pPr>
              <w:spacing w:after="20" w:line="252" w:lineRule="auto"/>
            </w:pPr>
            <w:r>
              <w:rPr>
                <w:rFonts w:ascii="Microsoft YaHei" w:hAnsi="Microsoft YaHei"/>
                <w:sz w:val="15"/>
              </w:rPr>
              <w:t>60</w:t>
            </w:r>
          </w:p>
        </w:tc>
        <w:tc>
          <w:tcPr>
            <w:tcW w:type="dxa" w:w="1020"/>
            <w:vAlign w:val="center"/>
            <w:shd w:fill="F4F7FA"/>
          </w:tcPr>
          <w:p>
            <w:pPr>
              <w:spacing w:after="20" w:line="252" w:lineRule="auto"/>
            </w:pPr>
            <w:r>
              <w:rPr>
                <w:rFonts w:ascii="Microsoft YaHei" w:hAnsi="Microsoft YaHei"/>
                <w:sz w:val="15"/>
              </w:rPr>
              <w:t>李敏</w:t>
            </w:r>
          </w:p>
        </w:tc>
        <w:tc>
          <w:tcPr>
            <w:tcW w:type="dxa" w:w="1247"/>
            <w:vAlign w:val="center"/>
            <w:shd w:fill="F4F7FA"/>
          </w:tcPr>
          <w:p>
            <w:pPr>
              <w:spacing w:after="20" w:line="252" w:lineRule="auto"/>
            </w:pPr>
            <w:r>
              <w:rPr>
                <w:rFonts w:ascii="Microsoft YaHei" w:hAnsi="Microsoft YaHei"/>
                <w:sz w:val="15"/>
              </w:rPr>
              <w:t>关注</w:t>
            </w:r>
          </w:p>
        </w:tc>
      </w:tr>
      <w:tr>
        <w:tc>
          <w:tcPr>
            <w:tcW w:type="dxa" w:w="1984"/>
            <w:vAlign w:val="center"/>
          </w:tcPr>
          <w:p>
            <w:pPr>
              <w:spacing w:after="20" w:line="252" w:lineRule="auto"/>
            </w:pPr>
            <w:r>
              <w:rPr>
                <w:rFonts w:ascii="Microsoft YaHei" w:hAnsi="Microsoft YaHei"/>
                <w:sz w:val="15"/>
              </w:rPr>
              <w:t>北方自动化</w:t>
            </w:r>
          </w:p>
        </w:tc>
        <w:tc>
          <w:tcPr>
            <w:tcW w:type="dxa" w:w="1134"/>
            <w:vAlign w:val="center"/>
          </w:tcPr>
          <w:p>
            <w:pPr>
              <w:spacing w:after="20" w:line="252" w:lineRule="auto"/>
            </w:pPr>
            <w:r>
              <w:rPr>
                <w:rFonts w:ascii="Microsoft YaHei" w:hAnsi="Microsoft YaHei"/>
                <w:sz w:val="15"/>
              </w:rPr>
              <w:t>民营</w:t>
            </w:r>
          </w:p>
        </w:tc>
        <w:tc>
          <w:tcPr>
            <w:tcW w:type="dxa" w:w="907"/>
            <w:vAlign w:val="center"/>
          </w:tcPr>
          <w:p>
            <w:pPr>
              <w:spacing w:after="20" w:line="252" w:lineRule="auto"/>
            </w:pPr>
            <w:r>
              <w:rPr>
                <w:rFonts w:ascii="Microsoft YaHei" w:hAnsi="Microsoft YaHei"/>
                <w:sz w:val="15"/>
              </w:rPr>
              <w:t>C级</w:t>
            </w:r>
          </w:p>
        </w:tc>
        <w:tc>
          <w:tcPr>
            <w:tcW w:type="dxa" w:w="1134"/>
            <w:vAlign w:val="center"/>
          </w:tcPr>
          <w:p>
            <w:pPr>
              <w:spacing w:after="20" w:line="252" w:lineRule="auto"/>
            </w:pPr>
            <w:r>
              <w:rPr>
                <w:rFonts w:ascii="Microsoft YaHei" w:hAnsi="Microsoft YaHei"/>
                <w:sz w:val="15"/>
              </w:rPr>
              <w:t>1500000</w:t>
            </w:r>
          </w:p>
        </w:tc>
        <w:tc>
          <w:tcPr>
            <w:tcW w:type="dxa" w:w="794"/>
            <w:vAlign w:val="center"/>
          </w:tcPr>
          <w:p>
            <w:pPr>
              <w:spacing w:after="20" w:line="252" w:lineRule="auto"/>
            </w:pPr>
            <w:r>
              <w:rPr>
                <w:rFonts w:ascii="Microsoft YaHei" w:hAnsi="Microsoft YaHei"/>
                <w:sz w:val="15"/>
              </w:rPr>
              <w:t>45</w:t>
            </w:r>
          </w:p>
        </w:tc>
        <w:tc>
          <w:tcPr>
            <w:tcW w:type="dxa" w:w="1020"/>
            <w:vAlign w:val="center"/>
          </w:tcPr>
          <w:p>
            <w:pPr>
              <w:spacing w:after="20" w:line="252" w:lineRule="auto"/>
            </w:pPr>
            <w:r>
              <w:rPr>
                <w:rFonts w:ascii="Microsoft YaHei" w:hAnsi="Microsoft YaHei"/>
                <w:sz w:val="15"/>
              </w:rPr>
              <w:t>王强</w:t>
            </w:r>
          </w:p>
        </w:tc>
        <w:tc>
          <w:tcPr>
            <w:tcW w:type="dxa" w:w="1247"/>
            <w:vAlign w:val="center"/>
          </w:tcPr>
          <w:p>
            <w:pPr>
              <w:spacing w:after="20" w:line="252" w:lineRule="auto"/>
            </w:pPr>
            <w:r>
              <w:rPr>
                <w:rFonts w:ascii="Microsoft YaHei" w:hAnsi="Microsoft YaHei"/>
                <w:sz w:val="15"/>
              </w:rPr>
              <w:t>冻结</w:t>
            </w:r>
          </w:p>
        </w:tc>
      </w:tr>
      <w:tr>
        <w:tc>
          <w:tcPr>
            <w:tcW w:type="dxa" w:w="1984"/>
            <w:vAlign w:val="center"/>
            <w:shd w:fill="F4F7FA"/>
          </w:tcPr>
          <w:p>
            <w:pPr>
              <w:spacing w:after="20" w:line="252" w:lineRule="auto"/>
            </w:pPr>
            <w:r>
              <w:rPr>
                <w:rFonts w:ascii="Microsoft YaHei" w:hAnsi="Microsoft YaHei"/>
                <w:sz w:val="15"/>
              </w:rPr>
              <w:t>西部设备公司</w:t>
            </w:r>
          </w:p>
        </w:tc>
        <w:tc>
          <w:tcPr>
            <w:tcW w:type="dxa" w:w="1134"/>
            <w:vAlign w:val="center"/>
            <w:shd w:fill="F4F7FA"/>
          </w:tcPr>
          <w:p>
            <w:pPr>
              <w:spacing w:after="20" w:line="252" w:lineRule="auto"/>
            </w:pPr>
            <w:r>
              <w:rPr>
                <w:rFonts w:ascii="Microsoft YaHei" w:hAnsi="Microsoft YaHei"/>
                <w:sz w:val="15"/>
              </w:rPr>
              <w:t>国企</w:t>
            </w:r>
          </w:p>
        </w:tc>
        <w:tc>
          <w:tcPr>
            <w:tcW w:type="dxa" w:w="907"/>
            <w:vAlign w:val="center"/>
            <w:shd w:fill="F4F7FA"/>
          </w:tcPr>
          <w:p>
            <w:pPr>
              <w:spacing w:after="20" w:line="252" w:lineRule="auto"/>
            </w:pPr>
            <w:r>
              <w:rPr>
                <w:rFonts w:ascii="Microsoft YaHei" w:hAnsi="Microsoft YaHei"/>
                <w:sz w:val="15"/>
              </w:rPr>
              <w:t>A级</w:t>
            </w:r>
          </w:p>
        </w:tc>
        <w:tc>
          <w:tcPr>
            <w:tcW w:type="dxa" w:w="1134"/>
            <w:vAlign w:val="center"/>
            <w:shd w:fill="F4F7FA"/>
          </w:tcPr>
          <w:p>
            <w:pPr>
              <w:spacing w:after="20" w:line="252" w:lineRule="auto"/>
            </w:pPr>
            <w:r>
              <w:rPr>
                <w:rFonts w:ascii="Microsoft YaHei" w:hAnsi="Microsoft YaHei"/>
                <w:sz w:val="15"/>
              </w:rPr>
              <w:t>4000000</w:t>
            </w:r>
          </w:p>
        </w:tc>
        <w:tc>
          <w:tcPr>
            <w:tcW w:type="dxa" w:w="794"/>
            <w:vAlign w:val="center"/>
            <w:shd w:fill="F4F7FA"/>
          </w:tcPr>
          <w:p>
            <w:pPr>
              <w:spacing w:after="20" w:line="252" w:lineRule="auto"/>
            </w:pPr>
            <w:r>
              <w:rPr>
                <w:rFonts w:ascii="Microsoft YaHei" w:hAnsi="Microsoft YaHei"/>
                <w:sz w:val="15"/>
              </w:rPr>
              <w:t>90</w:t>
            </w:r>
          </w:p>
        </w:tc>
        <w:tc>
          <w:tcPr>
            <w:tcW w:type="dxa" w:w="1020"/>
            <w:vAlign w:val="center"/>
            <w:shd w:fill="F4F7FA"/>
          </w:tcPr>
          <w:p>
            <w:pPr>
              <w:spacing w:after="20" w:line="252" w:lineRule="auto"/>
            </w:pPr>
            <w:r>
              <w:rPr>
                <w:rFonts w:ascii="Microsoft YaHei" w:hAnsi="Microsoft YaHei"/>
                <w:sz w:val="15"/>
              </w:rPr>
              <w:t>赵雪</w:t>
            </w:r>
          </w:p>
        </w:tc>
        <w:tc>
          <w:tcPr>
            <w:tcW w:type="dxa" w:w="1247"/>
            <w:vAlign w:val="center"/>
            <w:shd w:fill="F4F7FA"/>
          </w:tcPr>
          <w:p>
            <w:pPr>
              <w:spacing w:after="20" w:line="252" w:lineRule="auto"/>
            </w:pPr>
            <w:r>
              <w:rPr>
                <w:rFonts w:ascii="Microsoft YaHei" w:hAnsi="Microsoft YaHei"/>
                <w:sz w:val="15"/>
              </w:rPr>
              <w:t>正常</w:t>
            </w:r>
          </w:p>
        </w:tc>
      </w:tr>
      <w:tr>
        <w:tc>
          <w:tcPr>
            <w:tcW w:type="dxa" w:w="1984"/>
            <w:vAlign w:val="center"/>
          </w:tcPr>
          <w:p>
            <w:pPr>
              <w:spacing w:after="20" w:line="252" w:lineRule="auto"/>
            </w:pPr>
            <w:r>
              <w:rPr>
                <w:rFonts w:ascii="Microsoft YaHei" w:hAnsi="Microsoft YaHei"/>
                <w:sz w:val="15"/>
              </w:rPr>
              <w:t>新锐机器人</w:t>
            </w:r>
          </w:p>
        </w:tc>
        <w:tc>
          <w:tcPr>
            <w:tcW w:type="dxa" w:w="1134"/>
            <w:vAlign w:val="center"/>
          </w:tcPr>
          <w:p>
            <w:pPr>
              <w:spacing w:after="20" w:line="252" w:lineRule="auto"/>
            </w:pPr>
            <w:r>
              <w:rPr>
                <w:rFonts w:ascii="Microsoft YaHei" w:hAnsi="Microsoft YaHei"/>
                <w:sz w:val="15"/>
              </w:rPr>
              <w:t>初创</w:t>
            </w:r>
          </w:p>
        </w:tc>
        <w:tc>
          <w:tcPr>
            <w:tcW w:type="dxa" w:w="907"/>
            <w:vAlign w:val="center"/>
          </w:tcPr>
          <w:p>
            <w:pPr>
              <w:spacing w:after="20" w:line="252" w:lineRule="auto"/>
            </w:pPr>
            <w:r>
              <w:rPr>
                <w:rFonts w:ascii="Microsoft YaHei" w:hAnsi="Microsoft YaHei"/>
                <w:sz w:val="15"/>
              </w:rPr>
              <w:t>C级</w:t>
            </w:r>
          </w:p>
        </w:tc>
        <w:tc>
          <w:tcPr>
            <w:tcW w:type="dxa" w:w="1134"/>
            <w:vAlign w:val="center"/>
          </w:tcPr>
          <w:p>
            <w:pPr>
              <w:spacing w:after="20" w:line="252" w:lineRule="auto"/>
            </w:pPr>
            <w:r>
              <w:rPr>
                <w:rFonts w:ascii="Microsoft YaHei" w:hAnsi="Microsoft YaHei"/>
                <w:sz w:val="15"/>
              </w:rPr>
              <w:t>500000</w:t>
            </w:r>
          </w:p>
        </w:tc>
        <w:tc>
          <w:tcPr>
            <w:tcW w:type="dxa" w:w="794"/>
            <w:vAlign w:val="center"/>
          </w:tcPr>
          <w:p>
            <w:pPr>
              <w:spacing w:after="20" w:line="252" w:lineRule="auto"/>
            </w:pPr>
            <w:r>
              <w:rPr>
                <w:rFonts w:ascii="Microsoft YaHei" w:hAnsi="Microsoft YaHei"/>
                <w:sz w:val="15"/>
              </w:rPr>
              <w:t>30</w:t>
            </w:r>
          </w:p>
        </w:tc>
        <w:tc>
          <w:tcPr>
            <w:tcW w:type="dxa" w:w="1020"/>
            <w:vAlign w:val="center"/>
          </w:tcPr>
          <w:p>
            <w:pPr>
              <w:spacing w:after="20" w:line="252" w:lineRule="auto"/>
            </w:pPr>
            <w:r>
              <w:rPr>
                <w:rFonts w:ascii="Microsoft YaHei" w:hAnsi="Microsoft YaHei"/>
                <w:sz w:val="15"/>
              </w:rPr>
              <w:t>陈晨</w:t>
            </w:r>
          </w:p>
        </w:tc>
        <w:tc>
          <w:tcPr>
            <w:tcW w:type="dxa" w:w="1247"/>
            <w:vAlign w:val="center"/>
          </w:tcPr>
          <w:p>
            <w:pPr>
              <w:spacing w:after="20" w:line="252" w:lineRule="auto"/>
            </w:pPr>
            <w:r>
              <w:rPr>
                <w:rFonts w:ascii="Microsoft YaHei" w:hAnsi="Microsoft YaHei"/>
                <w:sz w:val="15"/>
              </w:rPr>
              <w:t>关注</w:t>
            </w:r>
          </w:p>
        </w:tc>
      </w:tr>
      <w:tr>
        <w:tc>
          <w:tcPr>
            <w:tcW w:type="dxa" w:w="1984"/>
            <w:vAlign w:val="center"/>
            <w:shd w:fill="F4F7FA"/>
          </w:tcPr>
          <w:p>
            <w:pPr>
              <w:spacing w:after="20" w:line="252" w:lineRule="auto"/>
            </w:pPr>
            <w:r>
              <w:rPr>
                <w:rFonts w:ascii="Microsoft YaHei" w:hAnsi="Microsoft YaHei"/>
                <w:sz w:val="15"/>
              </w:rPr>
              <w:t>海外贸易代理</w:t>
            </w:r>
          </w:p>
        </w:tc>
        <w:tc>
          <w:tcPr>
            <w:tcW w:type="dxa" w:w="1134"/>
            <w:vAlign w:val="center"/>
            <w:shd w:fill="F4F7FA"/>
          </w:tcPr>
          <w:p>
            <w:pPr>
              <w:spacing w:after="20" w:line="252" w:lineRule="auto"/>
            </w:pPr>
            <w:r>
              <w:rPr>
                <w:rFonts w:ascii="Microsoft YaHei" w:hAnsi="Microsoft YaHei"/>
                <w:sz w:val="15"/>
              </w:rPr>
              <w:t>贸易商</w:t>
            </w:r>
          </w:p>
        </w:tc>
        <w:tc>
          <w:tcPr>
            <w:tcW w:type="dxa" w:w="907"/>
            <w:vAlign w:val="center"/>
            <w:shd w:fill="F4F7FA"/>
          </w:tcPr>
          <w:p>
            <w:pPr>
              <w:spacing w:after="20" w:line="252" w:lineRule="auto"/>
            </w:pPr>
            <w:r>
              <w:rPr>
                <w:rFonts w:ascii="Microsoft YaHei" w:hAnsi="Microsoft YaHei"/>
                <w:sz w:val="15"/>
              </w:rPr>
              <w:t>B级</w:t>
            </w:r>
          </w:p>
        </w:tc>
        <w:tc>
          <w:tcPr>
            <w:tcW w:type="dxa" w:w="1134"/>
            <w:vAlign w:val="center"/>
            <w:shd w:fill="F4F7FA"/>
          </w:tcPr>
          <w:p>
            <w:pPr>
              <w:spacing w:after="20" w:line="252" w:lineRule="auto"/>
            </w:pPr>
            <w:r>
              <w:rPr>
                <w:rFonts w:ascii="Microsoft YaHei" w:hAnsi="Microsoft YaHei"/>
                <w:sz w:val="15"/>
              </w:rPr>
              <w:t>2000000</w:t>
            </w:r>
          </w:p>
        </w:tc>
        <w:tc>
          <w:tcPr>
            <w:tcW w:type="dxa" w:w="794"/>
            <w:vAlign w:val="center"/>
            <w:shd w:fill="F4F7FA"/>
          </w:tcPr>
          <w:p>
            <w:pPr>
              <w:spacing w:after="20" w:line="252" w:lineRule="auto"/>
            </w:pPr>
            <w:r>
              <w:rPr>
                <w:rFonts w:ascii="Microsoft YaHei" w:hAnsi="Microsoft YaHei"/>
                <w:sz w:val="15"/>
              </w:rPr>
              <w:t>45</w:t>
            </w:r>
          </w:p>
        </w:tc>
        <w:tc>
          <w:tcPr>
            <w:tcW w:type="dxa" w:w="1020"/>
            <w:vAlign w:val="center"/>
            <w:shd w:fill="F4F7FA"/>
          </w:tcPr>
          <w:p>
            <w:pPr>
              <w:spacing w:after="20" w:line="252" w:lineRule="auto"/>
            </w:pPr>
            <w:r>
              <w:rPr>
                <w:rFonts w:ascii="Microsoft YaHei" w:hAnsi="Microsoft YaHei"/>
                <w:sz w:val="15"/>
              </w:rPr>
              <w:t>刘洋</w:t>
            </w:r>
          </w:p>
        </w:tc>
        <w:tc>
          <w:tcPr>
            <w:tcW w:type="dxa" w:w="1247"/>
            <w:vAlign w:val="center"/>
            <w:shd w:fill="F4F7FA"/>
          </w:tcPr>
          <w:p>
            <w:pPr>
              <w:spacing w:after="20" w:line="252" w:lineRule="auto"/>
            </w:pPr>
            <w:r>
              <w:rPr>
                <w:rFonts w:ascii="Microsoft YaHei" w:hAnsi="Microsoft YaHei"/>
                <w:sz w:val="15"/>
              </w:rPr>
              <w:t>正常</w:t>
            </w:r>
          </w:p>
        </w:tc>
      </w:tr>
      <w:tr>
        <w:tc>
          <w:tcPr>
            <w:tcW w:type="dxa" w:w="1984"/>
            <w:vAlign w:val="center"/>
          </w:tcPr>
          <w:p>
            <w:pPr>
              <w:spacing w:after="20" w:line="252" w:lineRule="auto"/>
            </w:pPr>
            <w:r>
              <w:rPr>
                <w:rFonts w:ascii="Microsoft YaHei" w:hAnsi="Microsoft YaHei"/>
                <w:sz w:val="15"/>
              </w:rPr>
              <w:t>华中制造</w:t>
            </w:r>
          </w:p>
        </w:tc>
        <w:tc>
          <w:tcPr>
            <w:tcW w:type="dxa" w:w="1134"/>
            <w:vAlign w:val="center"/>
          </w:tcPr>
          <w:p>
            <w:pPr>
              <w:spacing w:after="20" w:line="252" w:lineRule="auto"/>
            </w:pPr>
            <w:r>
              <w:rPr>
                <w:rFonts w:ascii="Microsoft YaHei" w:hAnsi="Microsoft YaHei"/>
                <w:sz w:val="15"/>
              </w:rPr>
              <w:t>民营</w:t>
            </w:r>
          </w:p>
        </w:tc>
        <w:tc>
          <w:tcPr>
            <w:tcW w:type="dxa" w:w="907"/>
            <w:vAlign w:val="center"/>
          </w:tcPr>
          <w:p>
            <w:pPr>
              <w:spacing w:after="20" w:line="252" w:lineRule="auto"/>
            </w:pPr>
            <w:r>
              <w:rPr>
                <w:rFonts w:ascii="Microsoft YaHei" w:hAnsi="Microsoft YaHei"/>
                <w:sz w:val="15"/>
              </w:rPr>
              <w:t>B级</w:t>
            </w:r>
          </w:p>
        </w:tc>
        <w:tc>
          <w:tcPr>
            <w:tcW w:type="dxa" w:w="1134"/>
            <w:vAlign w:val="center"/>
          </w:tcPr>
          <w:p>
            <w:pPr>
              <w:spacing w:after="20" w:line="252" w:lineRule="auto"/>
            </w:pPr>
            <w:r>
              <w:rPr>
                <w:rFonts w:ascii="Microsoft YaHei" w:hAnsi="Microsoft YaHei"/>
                <w:sz w:val="15"/>
              </w:rPr>
              <w:t>1800000</w:t>
            </w:r>
          </w:p>
        </w:tc>
        <w:tc>
          <w:tcPr>
            <w:tcW w:type="dxa" w:w="794"/>
            <w:vAlign w:val="center"/>
          </w:tcPr>
          <w:p>
            <w:pPr>
              <w:spacing w:after="20" w:line="252" w:lineRule="auto"/>
            </w:pPr>
            <w:r>
              <w:rPr>
                <w:rFonts w:ascii="Microsoft YaHei" w:hAnsi="Microsoft YaHei"/>
                <w:sz w:val="15"/>
              </w:rPr>
              <w:t>60</w:t>
            </w:r>
          </w:p>
        </w:tc>
        <w:tc>
          <w:tcPr>
            <w:tcW w:type="dxa" w:w="1020"/>
            <w:vAlign w:val="center"/>
          </w:tcPr>
          <w:p>
            <w:pPr>
              <w:spacing w:after="20" w:line="252" w:lineRule="auto"/>
            </w:pPr>
            <w:r>
              <w:rPr>
                <w:rFonts w:ascii="Microsoft YaHei" w:hAnsi="Microsoft YaHei"/>
                <w:sz w:val="15"/>
              </w:rPr>
              <w:t>周俊</w:t>
            </w:r>
          </w:p>
        </w:tc>
        <w:tc>
          <w:tcPr>
            <w:tcW w:type="dxa" w:w="1247"/>
            <w:vAlign w:val="center"/>
          </w:tcPr>
          <w:p>
            <w:pPr>
              <w:spacing w:after="20" w:line="252" w:lineRule="auto"/>
            </w:pPr>
            <w:r>
              <w:rPr>
                <w:rFonts w:ascii="Microsoft YaHei" w:hAnsi="Microsoft YaHei"/>
                <w:sz w:val="15"/>
              </w:rPr>
              <w:t>正常</w:t>
            </w:r>
          </w:p>
        </w:tc>
      </w:tr>
      <w:tr>
        <w:tc>
          <w:tcPr>
            <w:tcW w:type="dxa" w:w="1984"/>
            <w:vAlign w:val="center"/>
            <w:shd w:fill="F4F7FA"/>
          </w:tcPr>
          <w:p>
            <w:pPr>
              <w:spacing w:after="20" w:line="252" w:lineRule="auto"/>
            </w:pPr>
            <w:r>
              <w:rPr>
                <w:rFonts w:ascii="Microsoft YaHei" w:hAnsi="Microsoft YaHei"/>
                <w:sz w:val="15"/>
              </w:rPr>
              <w:t>东南系统集成</w:t>
            </w:r>
          </w:p>
        </w:tc>
        <w:tc>
          <w:tcPr>
            <w:tcW w:type="dxa" w:w="1134"/>
            <w:vAlign w:val="center"/>
            <w:shd w:fill="F4F7FA"/>
          </w:tcPr>
          <w:p>
            <w:pPr>
              <w:spacing w:after="20" w:line="252" w:lineRule="auto"/>
            </w:pPr>
            <w:r>
              <w:rPr>
                <w:rFonts w:ascii="Microsoft YaHei" w:hAnsi="Microsoft YaHei"/>
                <w:sz w:val="15"/>
              </w:rPr>
              <w:t>民营</w:t>
            </w:r>
          </w:p>
        </w:tc>
        <w:tc>
          <w:tcPr>
            <w:tcW w:type="dxa" w:w="907"/>
            <w:vAlign w:val="center"/>
            <w:shd w:fill="F4F7FA"/>
          </w:tcPr>
          <w:p>
            <w:pPr>
              <w:spacing w:after="20" w:line="252" w:lineRule="auto"/>
            </w:pPr>
            <w:r>
              <w:rPr>
                <w:rFonts w:ascii="Microsoft YaHei" w:hAnsi="Microsoft YaHei"/>
                <w:sz w:val="15"/>
              </w:rPr>
              <w:t>B级</w:t>
            </w:r>
          </w:p>
        </w:tc>
        <w:tc>
          <w:tcPr>
            <w:tcW w:type="dxa" w:w="1134"/>
            <w:vAlign w:val="center"/>
            <w:shd w:fill="F4F7FA"/>
          </w:tcPr>
          <w:p>
            <w:pPr>
              <w:spacing w:after="20" w:line="252" w:lineRule="auto"/>
            </w:pPr>
            <w:r>
              <w:rPr>
                <w:rFonts w:ascii="Microsoft YaHei" w:hAnsi="Microsoft YaHei"/>
                <w:sz w:val="15"/>
              </w:rPr>
              <w:t>1200000</w:t>
            </w:r>
          </w:p>
        </w:tc>
        <w:tc>
          <w:tcPr>
            <w:tcW w:type="dxa" w:w="794"/>
            <w:vAlign w:val="center"/>
            <w:shd w:fill="F4F7FA"/>
          </w:tcPr>
          <w:p>
            <w:pPr>
              <w:spacing w:after="20" w:line="252" w:lineRule="auto"/>
            </w:pPr>
            <w:r>
              <w:rPr>
                <w:rFonts w:ascii="Microsoft YaHei" w:hAnsi="Microsoft YaHei"/>
                <w:sz w:val="15"/>
              </w:rPr>
              <w:t>45</w:t>
            </w:r>
          </w:p>
        </w:tc>
        <w:tc>
          <w:tcPr>
            <w:tcW w:type="dxa" w:w="1020"/>
            <w:vAlign w:val="center"/>
            <w:shd w:fill="F4F7FA"/>
          </w:tcPr>
          <w:p>
            <w:pPr>
              <w:spacing w:after="20" w:line="252" w:lineRule="auto"/>
            </w:pPr>
            <w:r>
              <w:rPr>
                <w:rFonts w:ascii="Microsoft YaHei" w:hAnsi="Microsoft YaHei"/>
                <w:sz w:val="15"/>
              </w:rPr>
              <w:t>吴迪</w:t>
            </w:r>
          </w:p>
        </w:tc>
        <w:tc>
          <w:tcPr>
            <w:tcW w:type="dxa" w:w="1247"/>
            <w:vAlign w:val="center"/>
            <w:shd w:fill="F4F7FA"/>
          </w:tcPr>
          <w:p>
            <w:pPr>
              <w:spacing w:after="20" w:line="252" w:lineRule="auto"/>
            </w:pPr>
            <w:r>
              <w:rPr>
                <w:rFonts w:ascii="Microsoft YaHei" w:hAnsi="Microsoft YaHei"/>
                <w:sz w:val="15"/>
              </w:rPr>
              <w:t>关注</w:t>
            </w:r>
          </w:p>
        </w:tc>
      </w:tr>
      <w:tr>
        <w:tc>
          <w:tcPr>
            <w:tcW w:type="dxa" w:w="1984"/>
            <w:vAlign w:val="center"/>
          </w:tcPr>
          <w:p>
            <w:pPr>
              <w:spacing w:after="20" w:line="252" w:lineRule="auto"/>
            </w:pPr>
            <w:r>
              <w:rPr>
                <w:rFonts w:ascii="Microsoft YaHei" w:hAnsi="Microsoft YaHei"/>
                <w:sz w:val="15"/>
              </w:rPr>
              <w:t>城市轨道项目部</w:t>
            </w:r>
          </w:p>
        </w:tc>
        <w:tc>
          <w:tcPr>
            <w:tcW w:type="dxa" w:w="1134"/>
            <w:vAlign w:val="center"/>
          </w:tcPr>
          <w:p>
            <w:pPr>
              <w:spacing w:after="20" w:line="252" w:lineRule="auto"/>
            </w:pPr>
            <w:r>
              <w:rPr>
                <w:rFonts w:ascii="Microsoft YaHei" w:hAnsi="Microsoft YaHei"/>
                <w:sz w:val="15"/>
              </w:rPr>
              <w:t>事业单位</w:t>
            </w:r>
          </w:p>
        </w:tc>
        <w:tc>
          <w:tcPr>
            <w:tcW w:type="dxa" w:w="907"/>
            <w:vAlign w:val="center"/>
          </w:tcPr>
          <w:p>
            <w:pPr>
              <w:spacing w:after="20" w:line="252" w:lineRule="auto"/>
            </w:pPr>
            <w:r>
              <w:rPr>
                <w:rFonts w:ascii="Microsoft YaHei" w:hAnsi="Microsoft YaHei"/>
                <w:sz w:val="15"/>
              </w:rPr>
              <w:t>A级</w:t>
            </w:r>
          </w:p>
        </w:tc>
        <w:tc>
          <w:tcPr>
            <w:tcW w:type="dxa" w:w="1134"/>
            <w:vAlign w:val="center"/>
          </w:tcPr>
          <w:p>
            <w:pPr>
              <w:spacing w:after="20" w:line="252" w:lineRule="auto"/>
            </w:pPr>
            <w:r>
              <w:rPr>
                <w:rFonts w:ascii="Microsoft YaHei" w:hAnsi="Microsoft YaHei"/>
                <w:sz w:val="15"/>
              </w:rPr>
              <w:t>6000000</w:t>
            </w:r>
          </w:p>
        </w:tc>
        <w:tc>
          <w:tcPr>
            <w:tcW w:type="dxa" w:w="794"/>
            <w:vAlign w:val="center"/>
          </w:tcPr>
          <w:p>
            <w:pPr>
              <w:spacing w:after="20" w:line="252" w:lineRule="auto"/>
            </w:pPr>
            <w:r>
              <w:rPr>
                <w:rFonts w:ascii="Microsoft YaHei" w:hAnsi="Microsoft YaHei"/>
                <w:sz w:val="15"/>
              </w:rPr>
              <w:t>120</w:t>
            </w:r>
          </w:p>
        </w:tc>
        <w:tc>
          <w:tcPr>
            <w:tcW w:type="dxa" w:w="1020"/>
            <w:vAlign w:val="center"/>
          </w:tcPr>
          <w:p>
            <w:pPr>
              <w:spacing w:after="20" w:line="252" w:lineRule="auto"/>
            </w:pPr>
            <w:r>
              <w:rPr>
                <w:rFonts w:ascii="Microsoft YaHei" w:hAnsi="Microsoft YaHei"/>
                <w:sz w:val="15"/>
              </w:rPr>
              <w:t>孙磊</w:t>
            </w:r>
          </w:p>
        </w:tc>
        <w:tc>
          <w:tcPr>
            <w:tcW w:type="dxa" w:w="1247"/>
            <w:vAlign w:val="center"/>
          </w:tcPr>
          <w:p>
            <w:pPr>
              <w:spacing w:after="20" w:line="252" w:lineRule="auto"/>
            </w:pPr>
            <w:r>
              <w:rPr>
                <w:rFonts w:ascii="Microsoft YaHei" w:hAnsi="Microsoft YaHei"/>
                <w:sz w:val="15"/>
              </w:rPr>
              <w:t>正常</w:t>
            </w:r>
          </w:p>
        </w:tc>
      </w:tr>
      <w:tr>
        <w:tc>
          <w:tcPr>
            <w:tcW w:type="dxa" w:w="1984"/>
            <w:vAlign w:val="center"/>
            <w:shd w:fill="F4F7FA"/>
          </w:tcPr>
          <w:p>
            <w:pPr>
              <w:spacing w:after="20" w:line="252" w:lineRule="auto"/>
            </w:pPr>
            <w:r>
              <w:rPr>
                <w:rFonts w:ascii="Microsoft YaHei" w:hAnsi="Microsoft YaHei"/>
                <w:sz w:val="15"/>
              </w:rPr>
              <w:t>安达经销商</w:t>
            </w:r>
          </w:p>
        </w:tc>
        <w:tc>
          <w:tcPr>
            <w:tcW w:type="dxa" w:w="1134"/>
            <w:vAlign w:val="center"/>
            <w:shd w:fill="F4F7FA"/>
          </w:tcPr>
          <w:p>
            <w:pPr>
              <w:spacing w:after="20" w:line="252" w:lineRule="auto"/>
            </w:pPr>
            <w:r>
              <w:rPr>
                <w:rFonts w:ascii="Microsoft YaHei" w:hAnsi="Microsoft YaHei"/>
                <w:sz w:val="15"/>
              </w:rPr>
              <w:t>经销商</w:t>
            </w:r>
          </w:p>
        </w:tc>
        <w:tc>
          <w:tcPr>
            <w:tcW w:type="dxa" w:w="907"/>
            <w:vAlign w:val="center"/>
            <w:shd w:fill="F4F7FA"/>
          </w:tcPr>
          <w:p>
            <w:pPr>
              <w:spacing w:after="20" w:line="252" w:lineRule="auto"/>
            </w:pPr>
            <w:r>
              <w:rPr>
                <w:rFonts w:ascii="Microsoft YaHei" w:hAnsi="Microsoft YaHei"/>
                <w:sz w:val="15"/>
              </w:rPr>
              <w:t>C级</w:t>
            </w:r>
          </w:p>
        </w:tc>
        <w:tc>
          <w:tcPr>
            <w:tcW w:type="dxa" w:w="1134"/>
            <w:vAlign w:val="center"/>
            <w:shd w:fill="F4F7FA"/>
          </w:tcPr>
          <w:p>
            <w:pPr>
              <w:spacing w:after="20" w:line="252" w:lineRule="auto"/>
            </w:pPr>
            <w:r>
              <w:rPr>
                <w:rFonts w:ascii="Microsoft YaHei" w:hAnsi="Microsoft YaHei"/>
                <w:sz w:val="15"/>
              </w:rPr>
              <w:t>800000</w:t>
            </w:r>
          </w:p>
        </w:tc>
        <w:tc>
          <w:tcPr>
            <w:tcW w:type="dxa" w:w="794"/>
            <w:vAlign w:val="center"/>
            <w:shd w:fill="F4F7FA"/>
          </w:tcPr>
          <w:p>
            <w:pPr>
              <w:spacing w:after="20" w:line="252" w:lineRule="auto"/>
            </w:pPr>
            <w:r>
              <w:rPr>
                <w:rFonts w:ascii="Microsoft YaHei" w:hAnsi="Microsoft YaHei"/>
                <w:sz w:val="15"/>
              </w:rPr>
              <w:t>30</w:t>
            </w:r>
          </w:p>
        </w:tc>
        <w:tc>
          <w:tcPr>
            <w:tcW w:type="dxa" w:w="1020"/>
            <w:vAlign w:val="center"/>
            <w:shd w:fill="F4F7FA"/>
          </w:tcPr>
          <w:p>
            <w:pPr>
              <w:spacing w:after="20" w:line="252" w:lineRule="auto"/>
            </w:pPr>
            <w:r>
              <w:rPr>
                <w:rFonts w:ascii="Microsoft YaHei" w:hAnsi="Microsoft YaHei"/>
                <w:sz w:val="15"/>
              </w:rPr>
              <w:t>郑凯</w:t>
            </w:r>
          </w:p>
        </w:tc>
        <w:tc>
          <w:tcPr>
            <w:tcW w:type="dxa" w:w="1247"/>
            <w:vAlign w:val="center"/>
            <w:shd w:fill="F4F7FA"/>
          </w:tcPr>
          <w:p>
            <w:pPr>
              <w:spacing w:after="20" w:line="252" w:lineRule="auto"/>
            </w:pPr>
            <w:r>
              <w:rPr>
                <w:rFonts w:ascii="Microsoft YaHei" w:hAnsi="Microsoft YaHei"/>
                <w:sz w:val="15"/>
              </w:rPr>
              <w:t>冻结</w:t>
            </w:r>
          </w:p>
        </w:tc>
      </w:tr>
      <w:tr>
        <w:tc>
          <w:tcPr>
            <w:tcW w:type="dxa" w:w="1984"/>
            <w:vAlign w:val="center"/>
          </w:tcPr>
          <w:p>
            <w:pPr>
              <w:spacing w:after="20" w:line="252" w:lineRule="auto"/>
            </w:pPr>
            <w:r>
              <w:rPr>
                <w:rFonts w:ascii="Microsoft YaHei" w:hAnsi="Microsoft YaHei"/>
                <w:sz w:val="15"/>
              </w:rPr>
              <w:t>长江仪器</w:t>
            </w:r>
          </w:p>
        </w:tc>
        <w:tc>
          <w:tcPr>
            <w:tcW w:type="dxa" w:w="1134"/>
            <w:vAlign w:val="center"/>
          </w:tcPr>
          <w:p>
            <w:pPr>
              <w:spacing w:after="20" w:line="252" w:lineRule="auto"/>
            </w:pPr>
            <w:r>
              <w:rPr>
                <w:rFonts w:ascii="Microsoft YaHei" w:hAnsi="Microsoft YaHei"/>
                <w:sz w:val="15"/>
              </w:rPr>
              <w:t>民营</w:t>
            </w:r>
          </w:p>
        </w:tc>
        <w:tc>
          <w:tcPr>
            <w:tcW w:type="dxa" w:w="907"/>
            <w:vAlign w:val="center"/>
          </w:tcPr>
          <w:p>
            <w:pPr>
              <w:spacing w:after="20" w:line="252" w:lineRule="auto"/>
            </w:pPr>
            <w:r>
              <w:rPr>
                <w:rFonts w:ascii="Microsoft YaHei" w:hAnsi="Microsoft YaHei"/>
                <w:sz w:val="15"/>
              </w:rPr>
              <w:t>B级</w:t>
            </w:r>
          </w:p>
        </w:tc>
        <w:tc>
          <w:tcPr>
            <w:tcW w:type="dxa" w:w="1134"/>
            <w:vAlign w:val="center"/>
          </w:tcPr>
          <w:p>
            <w:pPr>
              <w:spacing w:after="20" w:line="252" w:lineRule="auto"/>
            </w:pPr>
            <w:r>
              <w:rPr>
                <w:rFonts w:ascii="Microsoft YaHei" w:hAnsi="Microsoft YaHei"/>
                <w:sz w:val="15"/>
              </w:rPr>
              <w:t>1500000</w:t>
            </w:r>
          </w:p>
        </w:tc>
        <w:tc>
          <w:tcPr>
            <w:tcW w:type="dxa" w:w="794"/>
            <w:vAlign w:val="center"/>
          </w:tcPr>
          <w:p>
            <w:pPr>
              <w:spacing w:after="20" w:line="252" w:lineRule="auto"/>
            </w:pPr>
            <w:r>
              <w:rPr>
                <w:rFonts w:ascii="Microsoft YaHei" w:hAnsi="Microsoft YaHei"/>
                <w:sz w:val="15"/>
              </w:rPr>
              <w:t>60</w:t>
            </w:r>
          </w:p>
        </w:tc>
        <w:tc>
          <w:tcPr>
            <w:tcW w:type="dxa" w:w="1020"/>
            <w:vAlign w:val="center"/>
          </w:tcPr>
          <w:p>
            <w:pPr>
              <w:spacing w:after="20" w:line="252" w:lineRule="auto"/>
            </w:pPr>
            <w:r>
              <w:rPr>
                <w:rFonts w:ascii="Microsoft YaHei" w:hAnsi="Microsoft YaHei"/>
                <w:sz w:val="15"/>
              </w:rPr>
              <w:t>李敏</w:t>
            </w:r>
          </w:p>
        </w:tc>
        <w:tc>
          <w:tcPr>
            <w:tcW w:type="dxa" w:w="1247"/>
            <w:vAlign w:val="center"/>
          </w:tcPr>
          <w:p>
            <w:pPr>
              <w:spacing w:after="20" w:line="252" w:lineRule="auto"/>
            </w:pPr>
            <w:r>
              <w:rPr>
                <w:rFonts w:ascii="Microsoft YaHei" w:hAnsi="Microsoft YaHei"/>
                <w:sz w:val="15"/>
              </w:rPr>
              <w:t>正常</w:t>
            </w:r>
          </w:p>
        </w:tc>
      </w:tr>
      <w:tr>
        <w:tc>
          <w:tcPr>
            <w:tcW w:type="dxa" w:w="1984"/>
            <w:vAlign w:val="center"/>
            <w:shd w:fill="F4F7FA"/>
          </w:tcPr>
          <w:p>
            <w:pPr>
              <w:spacing w:after="20" w:line="252" w:lineRule="auto"/>
            </w:pPr>
            <w:r>
              <w:rPr>
                <w:rFonts w:ascii="Microsoft YaHei" w:hAnsi="Microsoft YaHei"/>
                <w:sz w:val="15"/>
              </w:rPr>
              <w:t>智联数据中心</w:t>
            </w:r>
          </w:p>
        </w:tc>
        <w:tc>
          <w:tcPr>
            <w:tcW w:type="dxa" w:w="1134"/>
            <w:vAlign w:val="center"/>
            <w:shd w:fill="F4F7FA"/>
          </w:tcPr>
          <w:p>
            <w:pPr>
              <w:spacing w:after="20" w:line="252" w:lineRule="auto"/>
            </w:pPr>
            <w:r>
              <w:rPr>
                <w:rFonts w:ascii="Microsoft YaHei" w:hAnsi="Microsoft YaHei"/>
                <w:sz w:val="15"/>
              </w:rPr>
              <w:t>上市公司</w:t>
            </w:r>
          </w:p>
        </w:tc>
        <w:tc>
          <w:tcPr>
            <w:tcW w:type="dxa" w:w="907"/>
            <w:vAlign w:val="center"/>
            <w:shd w:fill="F4F7FA"/>
          </w:tcPr>
          <w:p>
            <w:pPr>
              <w:spacing w:after="20" w:line="252" w:lineRule="auto"/>
            </w:pPr>
            <w:r>
              <w:rPr>
                <w:rFonts w:ascii="Microsoft YaHei" w:hAnsi="Microsoft YaHei"/>
                <w:sz w:val="15"/>
              </w:rPr>
              <w:t>A级</w:t>
            </w:r>
          </w:p>
        </w:tc>
        <w:tc>
          <w:tcPr>
            <w:tcW w:type="dxa" w:w="1134"/>
            <w:vAlign w:val="center"/>
            <w:shd w:fill="F4F7FA"/>
          </w:tcPr>
          <w:p>
            <w:pPr>
              <w:spacing w:after="20" w:line="252" w:lineRule="auto"/>
            </w:pPr>
            <w:r>
              <w:rPr>
                <w:rFonts w:ascii="Microsoft YaHei" w:hAnsi="Microsoft YaHei"/>
                <w:sz w:val="15"/>
              </w:rPr>
              <w:t>3500000</w:t>
            </w:r>
          </w:p>
        </w:tc>
        <w:tc>
          <w:tcPr>
            <w:tcW w:type="dxa" w:w="794"/>
            <w:vAlign w:val="center"/>
            <w:shd w:fill="F4F7FA"/>
          </w:tcPr>
          <w:p>
            <w:pPr>
              <w:spacing w:after="20" w:line="252" w:lineRule="auto"/>
            </w:pPr>
            <w:r>
              <w:rPr>
                <w:rFonts w:ascii="Microsoft YaHei" w:hAnsi="Microsoft YaHei"/>
                <w:sz w:val="15"/>
              </w:rPr>
              <w:t>75</w:t>
            </w:r>
          </w:p>
        </w:tc>
        <w:tc>
          <w:tcPr>
            <w:tcW w:type="dxa" w:w="1020"/>
            <w:vAlign w:val="center"/>
            <w:shd w:fill="F4F7FA"/>
          </w:tcPr>
          <w:p>
            <w:pPr>
              <w:spacing w:after="20" w:line="252" w:lineRule="auto"/>
            </w:pPr>
            <w:r>
              <w:rPr>
                <w:rFonts w:ascii="Microsoft YaHei" w:hAnsi="Microsoft YaHei"/>
                <w:sz w:val="15"/>
              </w:rPr>
              <w:t>张华</w:t>
            </w:r>
          </w:p>
        </w:tc>
        <w:tc>
          <w:tcPr>
            <w:tcW w:type="dxa" w:w="1247"/>
            <w:vAlign w:val="center"/>
            <w:shd w:fill="F4F7FA"/>
          </w:tcPr>
          <w:p>
            <w:pPr>
              <w:spacing w:after="20" w:line="252" w:lineRule="auto"/>
            </w:pPr>
            <w:r>
              <w:rPr>
                <w:rFonts w:ascii="Microsoft YaHei" w:hAnsi="Microsoft YaHei"/>
                <w:sz w:val="15"/>
              </w:rPr>
              <w:t>正常</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1247"/>
            <w:shd w:fill="17365D"/>
            <w:vAlign w:val="center"/>
          </w:tcPr>
          <w:p>
            <w:r>
              <w:rPr>
                <w:b/>
                <w:color w:val="FFFFFF"/>
                <w:sz w:val="16"/>
              </w:rPr>
              <w:t>应收ID</w:t>
            </w:r>
          </w:p>
        </w:tc>
        <w:tc>
          <w:tcPr>
            <w:tcW w:type="dxa" w:w="2268"/>
            <w:shd w:fill="17365D"/>
            <w:vAlign w:val="center"/>
          </w:tcPr>
          <w:p>
            <w:r>
              <w:rPr>
                <w:b/>
                <w:color w:val="FFFFFF"/>
                <w:sz w:val="16"/>
              </w:rPr>
              <w:t>客户</w:t>
            </w:r>
          </w:p>
        </w:tc>
        <w:tc>
          <w:tcPr>
            <w:tcW w:type="dxa" w:w="1361"/>
            <w:shd w:fill="17365D"/>
            <w:vAlign w:val="center"/>
          </w:tcPr>
          <w:p>
            <w:r>
              <w:rPr>
                <w:b/>
                <w:color w:val="FFFFFF"/>
                <w:sz w:val="16"/>
              </w:rPr>
              <w:t>到期日</w:t>
            </w:r>
          </w:p>
        </w:tc>
        <w:tc>
          <w:tcPr>
            <w:tcW w:type="dxa" w:w="1417"/>
            <w:shd w:fill="17365D"/>
            <w:vAlign w:val="center"/>
          </w:tcPr>
          <w:p>
            <w:r>
              <w:rPr>
                <w:b/>
                <w:color w:val="FFFFFF"/>
                <w:sz w:val="16"/>
              </w:rPr>
              <w:t>金额</w:t>
            </w:r>
          </w:p>
        </w:tc>
        <w:tc>
          <w:tcPr>
            <w:tcW w:type="dxa" w:w="2608"/>
            <w:shd w:fill="17365D"/>
            <w:vAlign w:val="center"/>
          </w:tcPr>
          <w:p>
            <w:r>
              <w:rPr>
                <w:b/>
                <w:color w:val="FFFFFF"/>
                <w:sz w:val="16"/>
              </w:rPr>
              <w:t>状态</w:t>
            </w:r>
          </w:p>
        </w:tc>
      </w:tr>
      <w:tr>
        <w:tc>
          <w:tcPr>
            <w:tcW w:type="dxa" w:w="1247"/>
            <w:vAlign w:val="center"/>
          </w:tcPr>
          <w:p>
            <w:pPr>
              <w:spacing w:after="20" w:line="252" w:lineRule="auto"/>
            </w:pPr>
            <w:r>
              <w:rPr>
                <w:rFonts w:ascii="Microsoft YaHei" w:hAnsi="Microsoft YaHei"/>
                <w:sz w:val="16"/>
              </w:rPr>
              <w:t>AR001</w:t>
            </w:r>
          </w:p>
        </w:tc>
        <w:tc>
          <w:tcPr>
            <w:tcW w:type="dxa" w:w="2268"/>
            <w:vAlign w:val="center"/>
          </w:tcPr>
          <w:p>
            <w:pPr>
              <w:spacing w:after="20" w:line="252" w:lineRule="auto"/>
            </w:pPr>
            <w:r>
              <w:rPr>
                <w:rFonts w:ascii="Microsoft YaHei" w:hAnsi="Microsoft YaHei"/>
                <w:sz w:val="16"/>
              </w:rPr>
              <w:t>华东工业集团</w:t>
            </w:r>
          </w:p>
        </w:tc>
        <w:tc>
          <w:tcPr>
            <w:tcW w:type="dxa" w:w="1361"/>
            <w:vAlign w:val="center"/>
          </w:tcPr>
          <w:p>
            <w:pPr>
              <w:spacing w:after="20" w:line="252" w:lineRule="auto"/>
            </w:pPr>
            <w:r>
              <w:rPr>
                <w:rFonts w:ascii="Microsoft YaHei" w:hAnsi="Microsoft YaHei"/>
                <w:sz w:val="16"/>
              </w:rPr>
              <w:t>2026-08-26</w:t>
            </w:r>
          </w:p>
        </w:tc>
        <w:tc>
          <w:tcPr>
            <w:tcW w:type="dxa" w:w="1417"/>
            <w:vAlign w:val="center"/>
          </w:tcPr>
          <w:p>
            <w:pPr>
              <w:spacing w:after="20" w:line="252" w:lineRule="auto"/>
            </w:pPr>
            <w:r>
              <w:rPr>
                <w:rFonts w:ascii="Microsoft YaHei" w:hAnsi="Microsoft YaHei"/>
                <w:sz w:val="16"/>
              </w:rPr>
              <w:t>1130000</w:t>
            </w:r>
          </w:p>
        </w:tc>
        <w:tc>
          <w:tcPr>
            <w:tcW w:type="dxa" w:w="2608"/>
            <w:vAlign w:val="center"/>
          </w:tcPr>
          <w:p>
            <w:pPr>
              <w:spacing w:after="20" w:line="252" w:lineRule="auto"/>
            </w:pPr>
            <w:r>
              <w:rPr>
                <w:rFonts w:ascii="Microsoft YaHei" w:hAnsi="Microsoft YaHei"/>
                <w:sz w:val="16"/>
              </w:rPr>
              <w:t>正常</w:t>
            </w:r>
          </w:p>
        </w:tc>
      </w:tr>
      <w:tr>
        <w:tc>
          <w:tcPr>
            <w:tcW w:type="dxa" w:w="1247"/>
            <w:vAlign w:val="center"/>
            <w:shd w:fill="F4F7FA"/>
          </w:tcPr>
          <w:p>
            <w:pPr>
              <w:spacing w:after="20" w:line="252" w:lineRule="auto"/>
            </w:pPr>
            <w:r>
              <w:rPr>
                <w:rFonts w:ascii="Microsoft YaHei" w:hAnsi="Microsoft YaHei"/>
                <w:sz w:val="16"/>
              </w:rPr>
              <w:t>AR002</w:t>
            </w:r>
          </w:p>
        </w:tc>
        <w:tc>
          <w:tcPr>
            <w:tcW w:type="dxa" w:w="2268"/>
            <w:vAlign w:val="center"/>
            <w:shd w:fill="F4F7FA"/>
          </w:tcPr>
          <w:p>
            <w:pPr>
              <w:spacing w:after="20" w:line="252" w:lineRule="auto"/>
            </w:pPr>
            <w:r>
              <w:rPr>
                <w:rFonts w:ascii="Microsoft YaHei" w:hAnsi="Microsoft YaHei"/>
                <w:sz w:val="16"/>
              </w:rPr>
              <w:t>华东工业集团</w:t>
            </w:r>
          </w:p>
        </w:tc>
        <w:tc>
          <w:tcPr>
            <w:tcW w:type="dxa" w:w="1361"/>
            <w:vAlign w:val="center"/>
            <w:shd w:fill="F4F7FA"/>
          </w:tcPr>
          <w:p>
            <w:pPr>
              <w:spacing w:after="20" w:line="252" w:lineRule="auto"/>
            </w:pPr>
            <w:r>
              <w:rPr>
                <w:rFonts w:ascii="Microsoft YaHei" w:hAnsi="Microsoft YaHei"/>
                <w:sz w:val="16"/>
              </w:rPr>
              <w:t>2026-10-20</w:t>
            </w:r>
          </w:p>
        </w:tc>
        <w:tc>
          <w:tcPr>
            <w:tcW w:type="dxa" w:w="1417"/>
            <w:vAlign w:val="center"/>
            <w:shd w:fill="F4F7FA"/>
          </w:tcPr>
          <w:p>
            <w:pPr>
              <w:spacing w:after="20" w:line="252" w:lineRule="auto"/>
            </w:pPr>
            <w:r>
              <w:rPr>
                <w:rFonts w:ascii="Microsoft YaHei" w:hAnsi="Microsoft YaHei"/>
                <w:sz w:val="16"/>
              </w:rPr>
              <w:t>2260000</w:t>
            </w:r>
          </w:p>
        </w:tc>
        <w:tc>
          <w:tcPr>
            <w:tcW w:type="dxa" w:w="2608"/>
            <w:vAlign w:val="center"/>
            <w:shd w:fill="F4F7FA"/>
          </w:tcPr>
          <w:p>
            <w:pPr>
              <w:spacing w:after="20" w:line="252" w:lineRule="auto"/>
            </w:pPr>
            <w:r>
              <w:rPr>
                <w:rFonts w:ascii="Microsoft YaHei" w:hAnsi="Microsoft YaHei"/>
                <w:sz w:val="16"/>
              </w:rPr>
              <w:t>未到期</w:t>
            </w:r>
          </w:p>
        </w:tc>
      </w:tr>
      <w:tr>
        <w:tc>
          <w:tcPr>
            <w:tcW w:type="dxa" w:w="1247"/>
            <w:vAlign w:val="center"/>
          </w:tcPr>
          <w:p>
            <w:pPr>
              <w:spacing w:after="20" w:line="252" w:lineRule="auto"/>
            </w:pPr>
            <w:r>
              <w:rPr>
                <w:rFonts w:ascii="Microsoft YaHei" w:hAnsi="Microsoft YaHei"/>
                <w:sz w:val="16"/>
              </w:rPr>
              <w:t>AR003</w:t>
            </w:r>
          </w:p>
        </w:tc>
        <w:tc>
          <w:tcPr>
            <w:tcW w:type="dxa" w:w="2268"/>
            <w:vAlign w:val="center"/>
          </w:tcPr>
          <w:p>
            <w:pPr>
              <w:spacing w:after="20" w:line="252" w:lineRule="auto"/>
            </w:pPr>
            <w:r>
              <w:rPr>
                <w:rFonts w:ascii="Microsoft YaHei" w:hAnsi="Microsoft YaHei"/>
                <w:sz w:val="16"/>
              </w:rPr>
              <w:t>南方电子科技</w:t>
            </w:r>
          </w:p>
        </w:tc>
        <w:tc>
          <w:tcPr>
            <w:tcW w:type="dxa" w:w="1361"/>
            <w:vAlign w:val="center"/>
          </w:tcPr>
          <w:p>
            <w:pPr>
              <w:spacing w:after="20" w:line="252" w:lineRule="auto"/>
            </w:pPr>
            <w:r>
              <w:rPr>
                <w:rFonts w:ascii="Microsoft YaHei" w:hAnsi="Microsoft YaHei"/>
                <w:sz w:val="16"/>
              </w:rPr>
              <w:t>2026-07-22</w:t>
            </w:r>
          </w:p>
        </w:tc>
        <w:tc>
          <w:tcPr>
            <w:tcW w:type="dxa" w:w="1417"/>
            <w:vAlign w:val="center"/>
          </w:tcPr>
          <w:p>
            <w:pPr>
              <w:spacing w:after="20" w:line="252" w:lineRule="auto"/>
            </w:pPr>
            <w:r>
              <w:rPr>
                <w:rFonts w:ascii="Microsoft YaHei" w:hAnsi="Microsoft YaHei"/>
                <w:sz w:val="16"/>
              </w:rPr>
              <w:t>1695000</w:t>
            </w:r>
          </w:p>
        </w:tc>
        <w:tc>
          <w:tcPr>
            <w:tcW w:type="dxa" w:w="2608"/>
            <w:vAlign w:val="center"/>
          </w:tcPr>
          <w:p>
            <w:pPr>
              <w:spacing w:after="20" w:line="252" w:lineRule="auto"/>
            </w:pPr>
            <w:r>
              <w:rPr>
                <w:rFonts w:ascii="Microsoft YaHei" w:hAnsi="Microsoft YaHei"/>
                <w:sz w:val="16"/>
              </w:rPr>
              <w:t>催收中</w:t>
            </w:r>
          </w:p>
        </w:tc>
      </w:tr>
      <w:tr>
        <w:tc>
          <w:tcPr>
            <w:tcW w:type="dxa" w:w="1247"/>
            <w:vAlign w:val="center"/>
            <w:shd w:fill="F4F7FA"/>
          </w:tcPr>
          <w:p>
            <w:pPr>
              <w:spacing w:after="20" w:line="252" w:lineRule="auto"/>
            </w:pPr>
            <w:r>
              <w:rPr>
                <w:rFonts w:ascii="Microsoft YaHei" w:hAnsi="Microsoft YaHei"/>
                <w:sz w:val="16"/>
              </w:rPr>
              <w:t>AR004</w:t>
            </w:r>
          </w:p>
        </w:tc>
        <w:tc>
          <w:tcPr>
            <w:tcW w:type="dxa" w:w="2268"/>
            <w:vAlign w:val="center"/>
            <w:shd w:fill="F4F7FA"/>
          </w:tcPr>
          <w:p>
            <w:pPr>
              <w:spacing w:after="20" w:line="252" w:lineRule="auto"/>
            </w:pPr>
            <w:r>
              <w:rPr>
                <w:rFonts w:ascii="Microsoft YaHei" w:hAnsi="Microsoft YaHei"/>
                <w:sz w:val="16"/>
              </w:rPr>
              <w:t>北方自动化</w:t>
            </w:r>
          </w:p>
        </w:tc>
        <w:tc>
          <w:tcPr>
            <w:tcW w:type="dxa" w:w="1361"/>
            <w:vAlign w:val="center"/>
            <w:shd w:fill="F4F7FA"/>
          </w:tcPr>
          <w:p>
            <w:pPr>
              <w:spacing w:after="20" w:line="252" w:lineRule="auto"/>
            </w:pPr>
            <w:r>
              <w:rPr>
                <w:rFonts w:ascii="Microsoft YaHei" w:hAnsi="Microsoft YaHei"/>
                <w:sz w:val="16"/>
              </w:rPr>
              <w:t>2026-05-08</w:t>
            </w:r>
          </w:p>
        </w:tc>
        <w:tc>
          <w:tcPr>
            <w:tcW w:type="dxa" w:w="1417"/>
            <w:vAlign w:val="center"/>
            <w:shd w:fill="F4F7FA"/>
          </w:tcPr>
          <w:p>
            <w:pPr>
              <w:spacing w:after="20" w:line="252" w:lineRule="auto"/>
            </w:pPr>
            <w:r>
              <w:rPr>
                <w:rFonts w:ascii="Microsoft YaHei" w:hAnsi="Microsoft YaHei"/>
                <w:sz w:val="16"/>
              </w:rPr>
              <w:t>904000</w:t>
            </w:r>
          </w:p>
        </w:tc>
        <w:tc>
          <w:tcPr>
            <w:tcW w:type="dxa" w:w="2608"/>
            <w:vAlign w:val="center"/>
            <w:shd w:fill="F4F7FA"/>
          </w:tcPr>
          <w:p>
            <w:pPr>
              <w:spacing w:after="20" w:line="252" w:lineRule="auto"/>
            </w:pPr>
            <w:r>
              <w:rPr>
                <w:rFonts w:ascii="Microsoft YaHei" w:hAnsi="Microsoft YaHei"/>
                <w:sz w:val="16"/>
              </w:rPr>
              <w:t>验收争议</w:t>
            </w:r>
          </w:p>
        </w:tc>
      </w:tr>
      <w:tr>
        <w:tc>
          <w:tcPr>
            <w:tcW w:type="dxa" w:w="1247"/>
            <w:vAlign w:val="center"/>
          </w:tcPr>
          <w:p>
            <w:pPr>
              <w:spacing w:after="20" w:line="252" w:lineRule="auto"/>
            </w:pPr>
            <w:r>
              <w:rPr>
                <w:rFonts w:ascii="Microsoft YaHei" w:hAnsi="Microsoft YaHei"/>
                <w:sz w:val="16"/>
              </w:rPr>
              <w:t>AR005</w:t>
            </w:r>
          </w:p>
        </w:tc>
        <w:tc>
          <w:tcPr>
            <w:tcW w:type="dxa" w:w="2268"/>
            <w:vAlign w:val="center"/>
          </w:tcPr>
          <w:p>
            <w:pPr>
              <w:spacing w:after="20" w:line="252" w:lineRule="auto"/>
            </w:pPr>
            <w:r>
              <w:rPr>
                <w:rFonts w:ascii="Microsoft YaHei" w:hAnsi="Microsoft YaHei"/>
                <w:sz w:val="16"/>
              </w:rPr>
              <w:t>西部设备公司</w:t>
            </w:r>
          </w:p>
        </w:tc>
        <w:tc>
          <w:tcPr>
            <w:tcW w:type="dxa" w:w="1361"/>
            <w:vAlign w:val="center"/>
          </w:tcPr>
          <w:p>
            <w:pPr>
              <w:spacing w:after="20" w:line="252" w:lineRule="auto"/>
            </w:pPr>
            <w:r>
              <w:rPr>
                <w:rFonts w:ascii="Microsoft YaHei" w:hAnsi="Microsoft YaHei"/>
                <w:sz w:val="16"/>
              </w:rPr>
              <w:t>2026-09-10</w:t>
            </w:r>
          </w:p>
        </w:tc>
        <w:tc>
          <w:tcPr>
            <w:tcW w:type="dxa" w:w="1417"/>
            <w:vAlign w:val="center"/>
          </w:tcPr>
          <w:p>
            <w:pPr>
              <w:spacing w:after="20" w:line="252" w:lineRule="auto"/>
            </w:pPr>
            <w:r>
              <w:rPr>
                <w:rFonts w:ascii="Microsoft YaHei" w:hAnsi="Microsoft YaHei"/>
                <w:sz w:val="16"/>
              </w:rPr>
              <w:t>3390000</w:t>
            </w:r>
          </w:p>
        </w:tc>
        <w:tc>
          <w:tcPr>
            <w:tcW w:type="dxa" w:w="2608"/>
            <w:vAlign w:val="center"/>
          </w:tcPr>
          <w:p>
            <w:pPr>
              <w:spacing w:after="20" w:line="252" w:lineRule="auto"/>
            </w:pPr>
            <w:r>
              <w:rPr>
                <w:rFonts w:ascii="Microsoft YaHei" w:hAnsi="Microsoft YaHei"/>
                <w:sz w:val="16"/>
              </w:rPr>
              <w:t>未到期</w:t>
            </w:r>
          </w:p>
        </w:tc>
      </w:tr>
      <w:tr>
        <w:tc>
          <w:tcPr>
            <w:tcW w:type="dxa" w:w="1247"/>
            <w:vAlign w:val="center"/>
            <w:shd w:fill="F4F7FA"/>
          </w:tcPr>
          <w:p>
            <w:pPr>
              <w:spacing w:after="20" w:line="252" w:lineRule="auto"/>
            </w:pPr>
            <w:r>
              <w:rPr>
                <w:rFonts w:ascii="Microsoft YaHei" w:hAnsi="Microsoft YaHei"/>
                <w:sz w:val="16"/>
              </w:rPr>
              <w:t>AR006</w:t>
            </w:r>
          </w:p>
        </w:tc>
        <w:tc>
          <w:tcPr>
            <w:tcW w:type="dxa" w:w="2268"/>
            <w:vAlign w:val="center"/>
            <w:shd w:fill="F4F7FA"/>
          </w:tcPr>
          <w:p>
            <w:pPr>
              <w:spacing w:after="20" w:line="252" w:lineRule="auto"/>
            </w:pPr>
            <w:r>
              <w:rPr>
                <w:rFonts w:ascii="Microsoft YaHei" w:hAnsi="Microsoft YaHei"/>
                <w:sz w:val="16"/>
              </w:rPr>
              <w:t>新锐机器人</w:t>
            </w:r>
          </w:p>
        </w:tc>
        <w:tc>
          <w:tcPr>
            <w:tcW w:type="dxa" w:w="1361"/>
            <w:vAlign w:val="center"/>
            <w:shd w:fill="F4F7FA"/>
          </w:tcPr>
          <w:p>
            <w:pPr>
              <w:spacing w:after="20" w:line="252" w:lineRule="auto"/>
            </w:pPr>
            <w:r>
              <w:rPr>
                <w:rFonts w:ascii="Microsoft YaHei" w:hAnsi="Microsoft YaHei"/>
                <w:sz w:val="16"/>
              </w:rPr>
              <w:t>2026-08-16</w:t>
            </w:r>
          </w:p>
        </w:tc>
        <w:tc>
          <w:tcPr>
            <w:tcW w:type="dxa" w:w="1417"/>
            <w:vAlign w:val="center"/>
            <w:shd w:fill="F4F7FA"/>
          </w:tcPr>
          <w:p>
            <w:pPr>
              <w:spacing w:after="20" w:line="252" w:lineRule="auto"/>
            </w:pPr>
            <w:r>
              <w:rPr>
                <w:rFonts w:ascii="Microsoft YaHei" w:hAnsi="Microsoft YaHei"/>
                <w:sz w:val="16"/>
              </w:rPr>
              <w:t>452000</w:t>
            </w:r>
          </w:p>
        </w:tc>
        <w:tc>
          <w:tcPr>
            <w:tcW w:type="dxa" w:w="2608"/>
            <w:vAlign w:val="center"/>
            <w:shd w:fill="F4F7FA"/>
          </w:tcPr>
          <w:p>
            <w:pPr>
              <w:spacing w:after="20" w:line="252" w:lineRule="auto"/>
            </w:pPr>
            <w:r>
              <w:rPr>
                <w:rFonts w:ascii="Microsoft YaHei" w:hAnsi="Microsoft YaHei"/>
                <w:sz w:val="16"/>
              </w:rPr>
              <w:t>关注</w:t>
            </w:r>
          </w:p>
        </w:tc>
      </w:tr>
      <w:tr>
        <w:tc>
          <w:tcPr>
            <w:tcW w:type="dxa" w:w="1247"/>
            <w:vAlign w:val="center"/>
          </w:tcPr>
          <w:p>
            <w:pPr>
              <w:spacing w:after="20" w:line="252" w:lineRule="auto"/>
            </w:pPr>
            <w:r>
              <w:rPr>
                <w:rFonts w:ascii="Microsoft YaHei" w:hAnsi="Microsoft YaHei"/>
                <w:sz w:val="16"/>
              </w:rPr>
              <w:t>AR007</w:t>
            </w:r>
          </w:p>
        </w:tc>
        <w:tc>
          <w:tcPr>
            <w:tcW w:type="dxa" w:w="2268"/>
            <w:vAlign w:val="center"/>
          </w:tcPr>
          <w:p>
            <w:pPr>
              <w:spacing w:after="20" w:line="252" w:lineRule="auto"/>
            </w:pPr>
            <w:r>
              <w:rPr>
                <w:rFonts w:ascii="Microsoft YaHei" w:hAnsi="Microsoft YaHei"/>
                <w:sz w:val="16"/>
              </w:rPr>
              <w:t>海外贸易代理</w:t>
            </w:r>
          </w:p>
        </w:tc>
        <w:tc>
          <w:tcPr>
            <w:tcW w:type="dxa" w:w="1361"/>
            <w:vAlign w:val="center"/>
          </w:tcPr>
          <w:p>
            <w:pPr>
              <w:spacing w:after="20" w:line="252" w:lineRule="auto"/>
            </w:pPr>
            <w:r>
              <w:rPr>
                <w:rFonts w:ascii="Microsoft YaHei" w:hAnsi="Microsoft YaHei"/>
                <w:sz w:val="16"/>
              </w:rPr>
              <w:t>2026-08-21</w:t>
            </w:r>
          </w:p>
        </w:tc>
        <w:tc>
          <w:tcPr>
            <w:tcW w:type="dxa" w:w="1417"/>
            <w:vAlign w:val="center"/>
          </w:tcPr>
          <w:p>
            <w:pPr>
              <w:spacing w:after="20" w:line="252" w:lineRule="auto"/>
            </w:pPr>
            <w:r>
              <w:rPr>
                <w:rFonts w:ascii="Microsoft YaHei" w:hAnsi="Microsoft YaHei"/>
                <w:sz w:val="16"/>
              </w:rPr>
              <w:t>1130000</w:t>
            </w:r>
          </w:p>
        </w:tc>
        <w:tc>
          <w:tcPr>
            <w:tcW w:type="dxa" w:w="2608"/>
            <w:vAlign w:val="center"/>
          </w:tcPr>
          <w:p>
            <w:pPr>
              <w:spacing w:after="20" w:line="252" w:lineRule="auto"/>
            </w:pPr>
            <w:r>
              <w:rPr>
                <w:rFonts w:ascii="Microsoft YaHei" w:hAnsi="Microsoft YaHei"/>
                <w:sz w:val="16"/>
              </w:rPr>
              <w:t>催收中</w:t>
            </w:r>
          </w:p>
        </w:tc>
      </w:tr>
      <w:tr>
        <w:tc>
          <w:tcPr>
            <w:tcW w:type="dxa" w:w="1247"/>
            <w:vAlign w:val="center"/>
            <w:shd w:fill="F4F7FA"/>
          </w:tcPr>
          <w:p>
            <w:pPr>
              <w:spacing w:after="20" w:line="252" w:lineRule="auto"/>
            </w:pPr>
            <w:r>
              <w:rPr>
                <w:rFonts w:ascii="Microsoft YaHei" w:hAnsi="Microsoft YaHei"/>
                <w:sz w:val="16"/>
              </w:rPr>
              <w:t>AR008</w:t>
            </w:r>
          </w:p>
        </w:tc>
        <w:tc>
          <w:tcPr>
            <w:tcW w:type="dxa" w:w="2268"/>
            <w:vAlign w:val="center"/>
            <w:shd w:fill="F4F7FA"/>
          </w:tcPr>
          <w:p>
            <w:pPr>
              <w:spacing w:after="20" w:line="252" w:lineRule="auto"/>
            </w:pPr>
            <w:r>
              <w:rPr>
                <w:rFonts w:ascii="Microsoft YaHei" w:hAnsi="Microsoft YaHei"/>
                <w:sz w:val="16"/>
              </w:rPr>
              <w:t>华中制造</w:t>
            </w:r>
          </w:p>
        </w:tc>
        <w:tc>
          <w:tcPr>
            <w:tcW w:type="dxa" w:w="1361"/>
            <w:vAlign w:val="center"/>
            <w:shd w:fill="F4F7FA"/>
          </w:tcPr>
          <w:p>
            <w:pPr>
              <w:spacing w:after="20" w:line="252" w:lineRule="auto"/>
            </w:pPr>
            <w:r>
              <w:rPr>
                <w:rFonts w:ascii="Microsoft YaHei" w:hAnsi="Microsoft YaHei"/>
                <w:sz w:val="16"/>
              </w:rPr>
              <w:t>2026-09-30</w:t>
            </w:r>
          </w:p>
        </w:tc>
        <w:tc>
          <w:tcPr>
            <w:tcW w:type="dxa" w:w="1417"/>
            <w:vAlign w:val="center"/>
            <w:shd w:fill="F4F7FA"/>
          </w:tcPr>
          <w:p>
            <w:pPr>
              <w:spacing w:after="20" w:line="252" w:lineRule="auto"/>
            </w:pPr>
            <w:r>
              <w:rPr>
                <w:rFonts w:ascii="Microsoft YaHei" w:hAnsi="Microsoft YaHei"/>
                <w:sz w:val="16"/>
              </w:rPr>
              <w:t>2034000</w:t>
            </w:r>
          </w:p>
        </w:tc>
        <w:tc>
          <w:tcPr>
            <w:tcW w:type="dxa" w:w="2608"/>
            <w:vAlign w:val="center"/>
            <w:shd w:fill="F4F7FA"/>
          </w:tcPr>
          <w:p>
            <w:pPr>
              <w:spacing w:after="20" w:line="252" w:lineRule="auto"/>
            </w:pPr>
            <w:r>
              <w:rPr>
                <w:rFonts w:ascii="Microsoft YaHei" w:hAnsi="Microsoft YaHei"/>
                <w:sz w:val="16"/>
              </w:rPr>
              <w:t>未到期</w:t>
            </w:r>
          </w:p>
        </w:tc>
      </w:tr>
      <w:tr>
        <w:tc>
          <w:tcPr>
            <w:tcW w:type="dxa" w:w="1247"/>
            <w:vAlign w:val="center"/>
          </w:tcPr>
          <w:p>
            <w:pPr>
              <w:spacing w:after="20" w:line="252" w:lineRule="auto"/>
            </w:pPr>
            <w:r>
              <w:rPr>
                <w:rFonts w:ascii="Microsoft YaHei" w:hAnsi="Microsoft YaHei"/>
                <w:sz w:val="16"/>
              </w:rPr>
              <w:t>AR009</w:t>
            </w:r>
          </w:p>
        </w:tc>
        <w:tc>
          <w:tcPr>
            <w:tcW w:type="dxa" w:w="2268"/>
            <w:vAlign w:val="center"/>
          </w:tcPr>
          <w:p>
            <w:pPr>
              <w:spacing w:after="20" w:line="252" w:lineRule="auto"/>
            </w:pPr>
            <w:r>
              <w:rPr>
                <w:rFonts w:ascii="Microsoft YaHei" w:hAnsi="Microsoft YaHei"/>
                <w:sz w:val="16"/>
              </w:rPr>
              <w:t>东南系统集成</w:t>
            </w:r>
          </w:p>
        </w:tc>
        <w:tc>
          <w:tcPr>
            <w:tcW w:type="dxa" w:w="1361"/>
            <w:vAlign w:val="center"/>
          </w:tcPr>
          <w:p>
            <w:pPr>
              <w:spacing w:after="20" w:line="252" w:lineRule="auto"/>
            </w:pPr>
            <w:r>
              <w:rPr>
                <w:rFonts w:ascii="Microsoft YaHei" w:hAnsi="Microsoft YaHei"/>
                <w:sz w:val="16"/>
              </w:rPr>
              <w:t>2026-05-28</w:t>
            </w:r>
          </w:p>
        </w:tc>
        <w:tc>
          <w:tcPr>
            <w:tcW w:type="dxa" w:w="1417"/>
            <w:vAlign w:val="center"/>
          </w:tcPr>
          <w:p>
            <w:pPr>
              <w:spacing w:after="20" w:line="252" w:lineRule="auto"/>
            </w:pPr>
            <w:r>
              <w:rPr>
                <w:rFonts w:ascii="Microsoft YaHei" w:hAnsi="Microsoft YaHei"/>
                <w:sz w:val="16"/>
              </w:rPr>
              <w:t>791000</w:t>
            </w:r>
          </w:p>
        </w:tc>
        <w:tc>
          <w:tcPr>
            <w:tcW w:type="dxa" w:w="2608"/>
            <w:vAlign w:val="center"/>
          </w:tcPr>
          <w:p>
            <w:pPr>
              <w:spacing w:after="20" w:line="252" w:lineRule="auto"/>
            </w:pPr>
            <w:r>
              <w:rPr>
                <w:rFonts w:ascii="Microsoft YaHei" w:hAnsi="Microsoft YaHei"/>
                <w:sz w:val="16"/>
              </w:rPr>
              <w:t>验收争议</w:t>
            </w:r>
          </w:p>
        </w:tc>
      </w:tr>
      <w:tr>
        <w:tc>
          <w:tcPr>
            <w:tcW w:type="dxa" w:w="1247"/>
            <w:vAlign w:val="center"/>
            <w:shd w:fill="F4F7FA"/>
          </w:tcPr>
          <w:p>
            <w:pPr>
              <w:spacing w:after="20" w:line="252" w:lineRule="auto"/>
            </w:pPr>
            <w:r>
              <w:rPr>
                <w:rFonts w:ascii="Microsoft YaHei" w:hAnsi="Microsoft YaHei"/>
                <w:sz w:val="16"/>
              </w:rPr>
              <w:t>AR010</w:t>
            </w:r>
          </w:p>
        </w:tc>
        <w:tc>
          <w:tcPr>
            <w:tcW w:type="dxa" w:w="2268"/>
            <w:vAlign w:val="center"/>
            <w:shd w:fill="F4F7FA"/>
          </w:tcPr>
          <w:p>
            <w:pPr>
              <w:spacing w:after="20" w:line="252" w:lineRule="auto"/>
            </w:pPr>
            <w:r>
              <w:rPr>
                <w:rFonts w:ascii="Microsoft YaHei" w:hAnsi="Microsoft YaHei"/>
                <w:sz w:val="16"/>
              </w:rPr>
              <w:t>城市轨道项目部</w:t>
            </w:r>
          </w:p>
        </w:tc>
        <w:tc>
          <w:tcPr>
            <w:tcW w:type="dxa" w:w="1361"/>
            <w:vAlign w:val="center"/>
            <w:shd w:fill="F4F7FA"/>
          </w:tcPr>
          <w:p>
            <w:pPr>
              <w:spacing w:after="20" w:line="252" w:lineRule="auto"/>
            </w:pPr>
            <w:r>
              <w:rPr>
                <w:rFonts w:ascii="Microsoft YaHei" w:hAnsi="Microsoft YaHei"/>
                <w:sz w:val="16"/>
              </w:rPr>
              <w:t>2026-10-20</w:t>
            </w:r>
          </w:p>
        </w:tc>
        <w:tc>
          <w:tcPr>
            <w:tcW w:type="dxa" w:w="1417"/>
            <w:vAlign w:val="center"/>
            <w:shd w:fill="F4F7FA"/>
          </w:tcPr>
          <w:p>
            <w:pPr>
              <w:spacing w:after="20" w:line="252" w:lineRule="auto"/>
            </w:pPr>
            <w:r>
              <w:rPr>
                <w:rFonts w:ascii="Microsoft YaHei" w:hAnsi="Microsoft YaHei"/>
                <w:sz w:val="16"/>
              </w:rPr>
              <w:t>4520000</w:t>
            </w:r>
          </w:p>
        </w:tc>
        <w:tc>
          <w:tcPr>
            <w:tcW w:type="dxa" w:w="2608"/>
            <w:vAlign w:val="center"/>
            <w:shd w:fill="F4F7FA"/>
          </w:tcPr>
          <w:p>
            <w:pPr>
              <w:spacing w:after="20" w:line="252" w:lineRule="auto"/>
            </w:pPr>
            <w:r>
              <w:rPr>
                <w:rFonts w:ascii="Microsoft YaHei" w:hAnsi="Microsoft YaHei"/>
                <w:sz w:val="16"/>
              </w:rPr>
              <w:t>未到期</w:t>
            </w:r>
          </w:p>
        </w:tc>
      </w:tr>
      <w:tr>
        <w:tc>
          <w:tcPr>
            <w:tcW w:type="dxa" w:w="1247"/>
            <w:vAlign w:val="center"/>
          </w:tcPr>
          <w:p>
            <w:pPr>
              <w:spacing w:after="20" w:line="252" w:lineRule="auto"/>
            </w:pPr>
            <w:r>
              <w:rPr>
                <w:rFonts w:ascii="Microsoft YaHei" w:hAnsi="Microsoft YaHei"/>
                <w:sz w:val="16"/>
              </w:rPr>
              <w:t>AR011</w:t>
            </w:r>
          </w:p>
        </w:tc>
        <w:tc>
          <w:tcPr>
            <w:tcW w:type="dxa" w:w="2268"/>
            <w:vAlign w:val="center"/>
          </w:tcPr>
          <w:p>
            <w:pPr>
              <w:spacing w:after="20" w:line="252" w:lineRule="auto"/>
            </w:pPr>
            <w:r>
              <w:rPr>
                <w:rFonts w:ascii="Microsoft YaHei" w:hAnsi="Microsoft YaHei"/>
                <w:sz w:val="16"/>
              </w:rPr>
              <w:t>安达经销商</w:t>
            </w:r>
          </w:p>
        </w:tc>
        <w:tc>
          <w:tcPr>
            <w:tcW w:type="dxa" w:w="1361"/>
            <w:vAlign w:val="center"/>
          </w:tcPr>
          <w:p>
            <w:pPr>
              <w:spacing w:after="20" w:line="252" w:lineRule="auto"/>
            </w:pPr>
            <w:r>
              <w:rPr>
                <w:rFonts w:ascii="Microsoft YaHei" w:hAnsi="Microsoft YaHei"/>
                <w:sz w:val="16"/>
              </w:rPr>
              <w:t>2026-05-23</w:t>
            </w:r>
          </w:p>
        </w:tc>
        <w:tc>
          <w:tcPr>
            <w:tcW w:type="dxa" w:w="1417"/>
            <w:vAlign w:val="center"/>
          </w:tcPr>
          <w:p>
            <w:pPr>
              <w:spacing w:after="20" w:line="252" w:lineRule="auto"/>
            </w:pPr>
            <w:r>
              <w:rPr>
                <w:rFonts w:ascii="Microsoft YaHei" w:hAnsi="Microsoft YaHei"/>
                <w:sz w:val="16"/>
              </w:rPr>
              <w:t>1017000</w:t>
            </w:r>
          </w:p>
        </w:tc>
        <w:tc>
          <w:tcPr>
            <w:tcW w:type="dxa" w:w="2608"/>
            <w:vAlign w:val="center"/>
          </w:tcPr>
          <w:p>
            <w:pPr>
              <w:spacing w:after="20" w:line="252" w:lineRule="auto"/>
            </w:pPr>
            <w:r>
              <w:rPr>
                <w:rFonts w:ascii="Microsoft YaHei" w:hAnsi="Microsoft YaHei"/>
                <w:sz w:val="16"/>
              </w:rPr>
              <w:t>法务评估</w:t>
            </w:r>
          </w:p>
        </w:tc>
      </w:tr>
      <w:tr>
        <w:tc>
          <w:tcPr>
            <w:tcW w:type="dxa" w:w="1247"/>
            <w:vAlign w:val="center"/>
            <w:shd w:fill="F4F7FA"/>
          </w:tcPr>
          <w:p>
            <w:pPr>
              <w:spacing w:after="20" w:line="252" w:lineRule="auto"/>
            </w:pPr>
            <w:r>
              <w:rPr>
                <w:rFonts w:ascii="Microsoft YaHei" w:hAnsi="Microsoft YaHei"/>
                <w:sz w:val="16"/>
              </w:rPr>
              <w:t>AR012</w:t>
            </w:r>
          </w:p>
        </w:tc>
        <w:tc>
          <w:tcPr>
            <w:tcW w:type="dxa" w:w="2268"/>
            <w:vAlign w:val="center"/>
            <w:shd w:fill="F4F7FA"/>
          </w:tcPr>
          <w:p>
            <w:pPr>
              <w:spacing w:after="20" w:line="252" w:lineRule="auto"/>
            </w:pPr>
            <w:r>
              <w:rPr>
                <w:rFonts w:ascii="Microsoft YaHei" w:hAnsi="Microsoft YaHei"/>
                <w:sz w:val="16"/>
              </w:rPr>
              <w:t>长江仪器</w:t>
            </w:r>
          </w:p>
        </w:tc>
        <w:tc>
          <w:tcPr>
            <w:tcW w:type="dxa" w:w="1361"/>
            <w:vAlign w:val="center"/>
            <w:shd w:fill="F4F7FA"/>
          </w:tcPr>
          <w:p>
            <w:pPr>
              <w:spacing w:after="20" w:line="252" w:lineRule="auto"/>
            </w:pPr>
            <w:r>
              <w:rPr>
                <w:rFonts w:ascii="Microsoft YaHei" w:hAnsi="Microsoft YaHei"/>
                <w:sz w:val="16"/>
              </w:rPr>
              <w:t>2026-10-05</w:t>
            </w:r>
          </w:p>
        </w:tc>
        <w:tc>
          <w:tcPr>
            <w:tcW w:type="dxa" w:w="1417"/>
            <w:vAlign w:val="center"/>
            <w:shd w:fill="F4F7FA"/>
          </w:tcPr>
          <w:p>
            <w:pPr>
              <w:spacing w:after="20" w:line="252" w:lineRule="auto"/>
            </w:pPr>
            <w:r>
              <w:rPr>
                <w:rFonts w:ascii="Microsoft YaHei" w:hAnsi="Microsoft YaHei"/>
                <w:sz w:val="16"/>
              </w:rPr>
              <w:t>678000</w:t>
            </w:r>
          </w:p>
        </w:tc>
        <w:tc>
          <w:tcPr>
            <w:tcW w:type="dxa" w:w="2608"/>
            <w:vAlign w:val="center"/>
            <w:shd w:fill="F4F7FA"/>
          </w:tcPr>
          <w:p>
            <w:pPr>
              <w:spacing w:after="20" w:line="252" w:lineRule="auto"/>
            </w:pPr>
            <w:r>
              <w:rPr>
                <w:rFonts w:ascii="Microsoft YaHei" w:hAnsi="Microsoft YaHei"/>
                <w:sz w:val="16"/>
              </w:rPr>
              <w:t>未到期</w:t>
            </w:r>
          </w:p>
        </w:tc>
      </w:tr>
      <w:tr>
        <w:tc>
          <w:tcPr>
            <w:tcW w:type="dxa" w:w="1247"/>
            <w:vAlign w:val="center"/>
          </w:tcPr>
          <w:p>
            <w:pPr>
              <w:spacing w:after="20" w:line="252" w:lineRule="auto"/>
            </w:pPr>
            <w:r>
              <w:rPr>
                <w:rFonts w:ascii="Microsoft YaHei" w:hAnsi="Microsoft YaHei"/>
                <w:sz w:val="16"/>
              </w:rPr>
              <w:t>AR013</w:t>
            </w:r>
          </w:p>
        </w:tc>
        <w:tc>
          <w:tcPr>
            <w:tcW w:type="dxa" w:w="2268"/>
            <w:vAlign w:val="center"/>
          </w:tcPr>
          <w:p>
            <w:pPr>
              <w:spacing w:after="20" w:line="252" w:lineRule="auto"/>
            </w:pPr>
            <w:r>
              <w:rPr>
                <w:rFonts w:ascii="Microsoft YaHei" w:hAnsi="Microsoft YaHei"/>
                <w:sz w:val="16"/>
              </w:rPr>
              <w:t>智联数据中心</w:t>
            </w:r>
          </w:p>
        </w:tc>
        <w:tc>
          <w:tcPr>
            <w:tcW w:type="dxa" w:w="1361"/>
            <w:vAlign w:val="center"/>
          </w:tcPr>
          <w:p>
            <w:pPr>
              <w:spacing w:after="20" w:line="252" w:lineRule="auto"/>
            </w:pPr>
            <w:r>
              <w:rPr>
                <w:rFonts w:ascii="Microsoft YaHei" w:hAnsi="Microsoft YaHei"/>
                <w:sz w:val="16"/>
              </w:rPr>
              <w:t>2026-08-16</w:t>
            </w:r>
          </w:p>
        </w:tc>
        <w:tc>
          <w:tcPr>
            <w:tcW w:type="dxa" w:w="1417"/>
            <w:vAlign w:val="center"/>
          </w:tcPr>
          <w:p>
            <w:pPr>
              <w:spacing w:after="20" w:line="252" w:lineRule="auto"/>
            </w:pPr>
            <w:r>
              <w:rPr>
                <w:rFonts w:ascii="Microsoft YaHei" w:hAnsi="Microsoft YaHei"/>
                <w:sz w:val="16"/>
              </w:rPr>
              <w:t>2825000</w:t>
            </w:r>
          </w:p>
        </w:tc>
        <w:tc>
          <w:tcPr>
            <w:tcW w:type="dxa" w:w="2608"/>
            <w:vAlign w:val="center"/>
          </w:tcPr>
          <w:p>
            <w:pPr>
              <w:spacing w:after="20" w:line="252" w:lineRule="auto"/>
            </w:pPr>
            <w:r>
              <w:rPr>
                <w:rFonts w:ascii="Microsoft YaHei" w:hAnsi="Microsoft YaHei"/>
                <w:sz w:val="16"/>
              </w:rPr>
              <w:t>催收中</w:t>
            </w:r>
          </w:p>
        </w:tc>
      </w:tr>
      <w:tr>
        <w:tc>
          <w:tcPr>
            <w:tcW w:type="dxa" w:w="1247"/>
            <w:vAlign w:val="center"/>
            <w:shd w:fill="F4F7FA"/>
          </w:tcPr>
          <w:p>
            <w:pPr>
              <w:spacing w:after="20" w:line="252" w:lineRule="auto"/>
            </w:pPr>
            <w:r>
              <w:rPr>
                <w:rFonts w:ascii="Microsoft YaHei" w:hAnsi="Microsoft YaHei"/>
                <w:sz w:val="16"/>
              </w:rPr>
              <w:t>AR014</w:t>
            </w:r>
          </w:p>
        </w:tc>
        <w:tc>
          <w:tcPr>
            <w:tcW w:type="dxa" w:w="2268"/>
            <w:vAlign w:val="center"/>
            <w:shd w:fill="F4F7FA"/>
          </w:tcPr>
          <w:p>
            <w:pPr>
              <w:spacing w:after="20" w:line="252" w:lineRule="auto"/>
            </w:pPr>
            <w:r>
              <w:rPr>
                <w:rFonts w:ascii="Microsoft YaHei" w:hAnsi="Microsoft YaHei"/>
                <w:sz w:val="16"/>
              </w:rPr>
              <w:t>北方自动化</w:t>
            </w:r>
          </w:p>
        </w:tc>
        <w:tc>
          <w:tcPr>
            <w:tcW w:type="dxa" w:w="1361"/>
            <w:vAlign w:val="center"/>
            <w:shd w:fill="F4F7FA"/>
          </w:tcPr>
          <w:p>
            <w:pPr>
              <w:spacing w:after="20" w:line="252" w:lineRule="auto"/>
            </w:pPr>
            <w:r>
              <w:rPr>
                <w:rFonts w:ascii="Microsoft YaHei" w:hAnsi="Microsoft YaHei"/>
                <w:sz w:val="16"/>
              </w:rPr>
              <w:t>2026-09-25</w:t>
            </w:r>
          </w:p>
        </w:tc>
        <w:tc>
          <w:tcPr>
            <w:tcW w:type="dxa" w:w="1417"/>
            <w:vAlign w:val="center"/>
            <w:shd w:fill="F4F7FA"/>
          </w:tcPr>
          <w:p>
            <w:pPr>
              <w:spacing w:after="20" w:line="252" w:lineRule="auto"/>
            </w:pPr>
            <w:r>
              <w:rPr>
                <w:rFonts w:ascii="Microsoft YaHei" w:hAnsi="Microsoft YaHei"/>
                <w:sz w:val="16"/>
              </w:rPr>
              <w:t>226000</w:t>
            </w:r>
          </w:p>
        </w:tc>
        <w:tc>
          <w:tcPr>
            <w:tcW w:type="dxa" w:w="2608"/>
            <w:vAlign w:val="center"/>
            <w:shd w:fill="F4F7FA"/>
          </w:tcPr>
          <w:p>
            <w:pPr>
              <w:spacing w:after="20" w:line="252" w:lineRule="auto"/>
            </w:pPr>
            <w:r>
              <w:rPr>
                <w:rFonts w:ascii="Microsoft YaHei" w:hAnsi="Microsoft YaHei"/>
                <w:sz w:val="16"/>
              </w:rPr>
              <w:t>冻结后例外发货</w:t>
            </w:r>
          </w:p>
        </w:tc>
      </w:tr>
      <w:tr>
        <w:tc>
          <w:tcPr>
            <w:tcW w:type="dxa" w:w="1247"/>
            <w:vAlign w:val="center"/>
          </w:tcPr>
          <w:p>
            <w:pPr>
              <w:spacing w:after="20" w:line="252" w:lineRule="auto"/>
            </w:pPr>
            <w:r>
              <w:rPr>
                <w:rFonts w:ascii="Microsoft YaHei" w:hAnsi="Microsoft YaHei"/>
                <w:sz w:val="16"/>
              </w:rPr>
              <w:t>AR015</w:t>
            </w:r>
          </w:p>
        </w:tc>
        <w:tc>
          <w:tcPr>
            <w:tcW w:type="dxa" w:w="2268"/>
            <w:vAlign w:val="center"/>
          </w:tcPr>
          <w:p>
            <w:pPr>
              <w:spacing w:after="20" w:line="252" w:lineRule="auto"/>
            </w:pPr>
            <w:r>
              <w:rPr>
                <w:rFonts w:ascii="Microsoft YaHei" w:hAnsi="Microsoft YaHei"/>
                <w:sz w:val="16"/>
              </w:rPr>
              <w:t>南方电子科技</w:t>
            </w:r>
          </w:p>
        </w:tc>
        <w:tc>
          <w:tcPr>
            <w:tcW w:type="dxa" w:w="1361"/>
            <w:vAlign w:val="center"/>
          </w:tcPr>
          <w:p>
            <w:pPr>
              <w:spacing w:after="20" w:line="252" w:lineRule="auto"/>
            </w:pPr>
            <w:r>
              <w:rPr>
                <w:rFonts w:ascii="Microsoft YaHei" w:hAnsi="Microsoft YaHei"/>
                <w:sz w:val="16"/>
              </w:rPr>
              <w:t>2026-04-03</w:t>
            </w:r>
          </w:p>
        </w:tc>
        <w:tc>
          <w:tcPr>
            <w:tcW w:type="dxa" w:w="1417"/>
            <w:vAlign w:val="center"/>
          </w:tcPr>
          <w:p>
            <w:pPr>
              <w:spacing w:after="20" w:line="252" w:lineRule="auto"/>
            </w:pPr>
            <w:r>
              <w:rPr>
                <w:rFonts w:ascii="Microsoft YaHei" w:hAnsi="Microsoft YaHei"/>
                <w:sz w:val="16"/>
              </w:rPr>
              <w:t>565000</w:t>
            </w:r>
          </w:p>
        </w:tc>
        <w:tc>
          <w:tcPr>
            <w:tcW w:type="dxa" w:w="2608"/>
            <w:vAlign w:val="center"/>
          </w:tcPr>
          <w:p>
            <w:pPr>
              <w:spacing w:after="20" w:line="252" w:lineRule="auto"/>
            </w:pPr>
            <w:r>
              <w:rPr>
                <w:rFonts w:ascii="Microsoft YaHei" w:hAnsi="Microsoft YaHei"/>
                <w:sz w:val="16"/>
              </w:rPr>
              <w:t>长期逾期</w:t>
            </w:r>
          </w:p>
        </w:tc>
      </w:tr>
    </w:tbl>
    <w:p>
      <w:pPr>
        <w:spacing w:after="40"/>
      </w:pPr>
    </w:p>
    <w:p>
      <w:pPr>
        <w:pStyle w:val="Heading1"/>
        <w:keepNext/>
      </w:pPr>
      <w:r>
        <w:t>附录B 主要依据和使用边界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2479"/>
        <w:gridCol w:w="2479"/>
        <w:gridCol w:w="2479"/>
      </w:tblGrid>
      <w:tr>
        <w:trPr>
          <w:tblHeader w:val="true"/>
        </w:trPr>
        <w:tc>
          <w:tcPr>
            <w:tcW w:type="dxa" w:w="2438"/>
            <w:shd w:fill="17365D"/>
            <w:vAlign w:val="center"/>
          </w:tcPr>
          <w:p>
            <w:r>
              <w:rPr>
                <w:b/>
                <w:color w:val="FFFFFF"/>
                <w:sz w:val="14"/>
              </w:rPr>
              <w:t>法规或准则</w:t>
            </w:r>
          </w:p>
        </w:tc>
        <w:tc>
          <w:tcPr>
            <w:tcW w:type="dxa" w:w="1701"/>
            <w:shd w:fill="17365D"/>
            <w:vAlign w:val="center"/>
          </w:tcPr>
          <w:p>
            <w:r>
              <w:rPr>
                <w:b/>
                <w:color w:val="FFFFFF"/>
                <w:sz w:val="14"/>
              </w:rPr>
              <w:t>文件号</w:t>
            </w:r>
          </w:p>
        </w:tc>
        <w:tc>
          <w:tcPr>
            <w:tcW w:type="dxa" w:w="2494"/>
            <w:shd w:fill="17365D"/>
            <w:vAlign w:val="center"/>
          </w:tcPr>
          <w:p>
            <w:r>
              <w:rPr>
                <w:b/>
                <w:color w:val="FFFFFF"/>
                <w:sz w:val="14"/>
              </w:rPr>
              <w:t>与本专题关系</w:t>
            </w:r>
          </w:p>
        </w:tc>
        <w:tc>
          <w:tcPr>
            <w:tcW w:type="dxa" w:w="2268"/>
            <w:shd w:fill="17365D"/>
            <w:vAlign w:val="center"/>
          </w:tcPr>
          <w:p>
            <w:r>
              <w:rPr>
                <w:b/>
                <w:color w:val="FFFFFF"/>
                <w:sz w:val="14"/>
              </w:rPr>
              <w:t>官方来源</w:t>
            </w:r>
          </w:p>
        </w:tc>
      </w:tr>
      <w:tr>
        <w:tc>
          <w:tcPr>
            <w:tcW w:type="dxa" w:w="2438"/>
            <w:vAlign w:val="center"/>
          </w:tcPr>
          <w:p>
            <w:pPr>
              <w:spacing w:after="20" w:line="252" w:lineRule="auto"/>
            </w:pPr>
            <w:r>
              <w:rPr>
                <w:rFonts w:ascii="Microsoft YaHei" w:hAnsi="Microsoft YaHei"/>
                <w:sz w:val="14"/>
              </w:rPr>
              <w:t>企业会计准则第14号 收入</w:t>
            </w:r>
          </w:p>
        </w:tc>
        <w:tc>
          <w:tcPr>
            <w:tcW w:type="dxa" w:w="1701"/>
            <w:vAlign w:val="center"/>
          </w:tcPr>
          <w:p>
            <w:pPr>
              <w:spacing w:after="20" w:line="252" w:lineRule="auto"/>
            </w:pPr>
            <w:r>
              <w:rPr>
                <w:rFonts w:ascii="Microsoft YaHei" w:hAnsi="Microsoft YaHei"/>
                <w:sz w:val="14"/>
              </w:rPr>
              <w:t>财会〔2017〕22号</w:t>
            </w:r>
          </w:p>
        </w:tc>
        <w:tc>
          <w:tcPr>
            <w:tcW w:type="dxa" w:w="2494"/>
            <w:vAlign w:val="center"/>
          </w:tcPr>
          <w:p>
            <w:pPr>
              <w:spacing w:after="20" w:line="252" w:lineRule="auto"/>
            </w:pPr>
            <w:r>
              <w:rPr>
                <w:rFonts w:ascii="Microsoft YaHei" w:hAnsi="Microsoft YaHei"/>
                <w:sz w:val="14"/>
              </w:rPr>
              <w:t>收入确认、合同资产与应收款边界</w:t>
            </w:r>
          </w:p>
        </w:tc>
        <w:tc>
          <w:tcPr>
            <w:tcW w:type="dxa" w:w="2268"/>
            <w:vAlign w:val="center"/>
          </w:tcPr>
          <w:p>
            <w:pPr>
              <w:spacing w:after="20" w:line="252" w:lineRule="auto"/>
            </w:pPr>
            <w:r>
              <w:rPr>
                <w:rFonts w:ascii="Microsoft YaHei" w:hAnsi="Microsoft YaHei"/>
                <w:sz w:val="14"/>
              </w:rPr>
              <w:t>https://kjs.mof.gov.cn/zt/kjzzss/kuaijizhunzeshishi/201709/t20170907_2694006.htm</w:t>
            </w:r>
          </w:p>
        </w:tc>
      </w:tr>
      <w:tr>
        <w:tc>
          <w:tcPr>
            <w:tcW w:type="dxa" w:w="2438"/>
            <w:vAlign w:val="center"/>
            <w:shd w:fill="F4F7FA"/>
          </w:tcPr>
          <w:p>
            <w:pPr>
              <w:spacing w:after="20" w:line="252" w:lineRule="auto"/>
            </w:pPr>
            <w:r>
              <w:rPr>
                <w:rFonts w:ascii="Microsoft YaHei" w:hAnsi="Microsoft YaHei"/>
                <w:sz w:val="14"/>
              </w:rPr>
              <w:t>企业会计准则第22号 金融工具确认和计量</w:t>
            </w:r>
          </w:p>
        </w:tc>
        <w:tc>
          <w:tcPr>
            <w:tcW w:type="dxa" w:w="1701"/>
            <w:vAlign w:val="center"/>
            <w:shd w:fill="F4F7FA"/>
          </w:tcPr>
          <w:p>
            <w:pPr>
              <w:spacing w:after="20" w:line="252" w:lineRule="auto"/>
            </w:pPr>
            <w:r>
              <w:rPr>
                <w:rFonts w:ascii="Microsoft YaHei" w:hAnsi="Microsoft YaHei"/>
                <w:sz w:val="14"/>
              </w:rPr>
              <w:t>财会〔2017〕7号</w:t>
            </w:r>
          </w:p>
        </w:tc>
        <w:tc>
          <w:tcPr>
            <w:tcW w:type="dxa" w:w="2494"/>
            <w:vAlign w:val="center"/>
            <w:shd w:fill="F4F7FA"/>
          </w:tcPr>
          <w:p>
            <w:pPr>
              <w:spacing w:after="20" w:line="252" w:lineRule="auto"/>
            </w:pPr>
            <w:r>
              <w:rPr>
                <w:rFonts w:ascii="Microsoft YaHei" w:hAnsi="Microsoft YaHei"/>
                <w:sz w:val="14"/>
              </w:rPr>
              <w:t>预期信用损失、减值计量</w:t>
            </w:r>
          </w:p>
        </w:tc>
        <w:tc>
          <w:tcPr>
            <w:tcW w:type="dxa" w:w="2268"/>
            <w:vAlign w:val="center"/>
            <w:shd w:fill="F4F7FA"/>
          </w:tcPr>
          <w:p>
            <w:pPr>
              <w:spacing w:after="20" w:line="252" w:lineRule="auto"/>
            </w:pPr>
            <w:r>
              <w:rPr>
                <w:rFonts w:ascii="Microsoft YaHei" w:hAnsi="Microsoft YaHei"/>
                <w:sz w:val="14"/>
              </w:rPr>
              <w:t>https://www.mof.gov.cn/zcsjtsgb/gfxwj/201703/t20170331_3583504.htm</w:t>
            </w:r>
          </w:p>
        </w:tc>
      </w:tr>
      <w:tr>
        <w:tc>
          <w:tcPr>
            <w:tcW w:type="dxa" w:w="2438"/>
            <w:vAlign w:val="center"/>
          </w:tcPr>
          <w:p>
            <w:pPr>
              <w:spacing w:after="20" w:line="252" w:lineRule="auto"/>
            </w:pPr>
            <w:r>
              <w:rPr>
                <w:rFonts w:ascii="Microsoft YaHei" w:hAnsi="Microsoft YaHei"/>
                <w:sz w:val="14"/>
              </w:rPr>
              <w:t>关于严格执行企业会计准则切实做好企业2025年年报工作的通知</w:t>
            </w:r>
          </w:p>
        </w:tc>
        <w:tc>
          <w:tcPr>
            <w:tcW w:type="dxa" w:w="1701"/>
            <w:vAlign w:val="center"/>
          </w:tcPr>
          <w:p>
            <w:pPr>
              <w:spacing w:after="20" w:line="252" w:lineRule="auto"/>
            </w:pPr>
            <w:r>
              <w:rPr>
                <w:rFonts w:ascii="Microsoft YaHei" w:hAnsi="Microsoft YaHei"/>
                <w:sz w:val="14"/>
              </w:rPr>
              <w:t>财政部会计司 2025年通知</w:t>
            </w:r>
          </w:p>
        </w:tc>
        <w:tc>
          <w:tcPr>
            <w:tcW w:type="dxa" w:w="2494"/>
            <w:vAlign w:val="center"/>
          </w:tcPr>
          <w:p>
            <w:pPr>
              <w:spacing w:after="20" w:line="252" w:lineRule="auto"/>
            </w:pPr>
            <w:r>
              <w:rPr>
                <w:rFonts w:ascii="Microsoft YaHei" w:hAnsi="Microsoft YaHei"/>
                <w:sz w:val="14"/>
              </w:rPr>
              <w:t>不得无依据少提应收款项预期信用损失</w:t>
            </w:r>
          </w:p>
        </w:tc>
        <w:tc>
          <w:tcPr>
            <w:tcW w:type="dxa" w:w="2268"/>
            <w:vAlign w:val="center"/>
          </w:tcPr>
          <w:p>
            <w:pPr>
              <w:spacing w:after="20" w:line="252" w:lineRule="auto"/>
            </w:pPr>
            <w:r>
              <w:rPr>
                <w:rFonts w:ascii="Microsoft YaHei" w:hAnsi="Microsoft YaHei"/>
                <w:sz w:val="14"/>
              </w:rPr>
              <w:t>https://kjs.mof.gov.cn/gongzuotongzhi/202512/t20251224_3980024.htm</w:t>
            </w:r>
          </w:p>
        </w:tc>
      </w:tr>
      <w:tr>
        <w:tc>
          <w:tcPr>
            <w:tcW w:type="dxa" w:w="2438"/>
            <w:vAlign w:val="center"/>
            <w:shd w:fill="F4F7FA"/>
          </w:tcPr>
          <w:p>
            <w:pPr>
              <w:spacing w:after="20" w:line="252" w:lineRule="auto"/>
            </w:pPr>
            <w:r>
              <w:rPr>
                <w:rFonts w:ascii="Microsoft YaHei" w:hAnsi="Microsoft YaHei"/>
                <w:sz w:val="14"/>
              </w:rPr>
              <w:t>企业内部控制应用指引第9号 销售业务</w:t>
            </w:r>
          </w:p>
        </w:tc>
        <w:tc>
          <w:tcPr>
            <w:tcW w:type="dxa" w:w="1701"/>
            <w:vAlign w:val="center"/>
            <w:shd w:fill="F4F7FA"/>
          </w:tcPr>
          <w:p>
            <w:pPr>
              <w:spacing w:after="20" w:line="252" w:lineRule="auto"/>
            </w:pPr>
            <w:r>
              <w:rPr>
                <w:rFonts w:ascii="Microsoft YaHei" w:hAnsi="Microsoft YaHei"/>
                <w:sz w:val="14"/>
              </w:rPr>
              <w:t>财会〔2010〕11号配套指引</w:t>
            </w:r>
          </w:p>
        </w:tc>
        <w:tc>
          <w:tcPr>
            <w:tcW w:type="dxa" w:w="2494"/>
            <w:vAlign w:val="center"/>
            <w:shd w:fill="F4F7FA"/>
          </w:tcPr>
          <w:p>
            <w:pPr>
              <w:spacing w:after="20" w:line="252" w:lineRule="auto"/>
            </w:pPr>
            <w:r>
              <w:rPr>
                <w:rFonts w:ascii="Microsoft YaHei" w:hAnsi="Microsoft YaHei"/>
                <w:sz w:val="14"/>
              </w:rPr>
              <w:t>信用、发货、收款、对账、坏账和职责分离</w:t>
            </w:r>
          </w:p>
        </w:tc>
        <w:tc>
          <w:tcPr>
            <w:tcW w:type="dxa" w:w="2268"/>
            <w:vAlign w:val="center"/>
            <w:shd w:fill="F4F7FA"/>
          </w:tcPr>
          <w:p>
            <w:pPr>
              <w:spacing w:after="20" w:line="252" w:lineRule="auto"/>
            </w:pPr>
            <w:r>
              <w:rPr>
                <w:rFonts w:ascii="Microsoft YaHei" w:hAnsi="Microsoft YaHei"/>
                <w:sz w:val="14"/>
              </w:rPr>
              <w:t>https://www.mof.gov.cn/gp/xxgkml/hjs/201005/P020100518351827137241.pdf</w:t>
            </w:r>
          </w:p>
        </w:tc>
      </w:tr>
      <w:tr>
        <w:tc>
          <w:tcPr>
            <w:tcW w:type="dxa" w:w="2438"/>
            <w:vAlign w:val="center"/>
          </w:tcPr>
          <w:p>
            <w:pPr>
              <w:spacing w:after="20" w:line="252" w:lineRule="auto"/>
            </w:pPr>
            <w:r>
              <w:rPr>
                <w:rFonts w:ascii="Microsoft YaHei" w:hAnsi="Microsoft YaHei"/>
                <w:sz w:val="14"/>
              </w:rPr>
              <w:t>中华人民共和国民法典</w:t>
            </w:r>
          </w:p>
        </w:tc>
        <w:tc>
          <w:tcPr>
            <w:tcW w:type="dxa" w:w="1701"/>
            <w:vAlign w:val="center"/>
          </w:tcPr>
          <w:p>
            <w:pPr>
              <w:spacing w:after="20" w:line="252" w:lineRule="auto"/>
            </w:pPr>
            <w:r>
              <w:rPr>
                <w:rFonts w:ascii="Microsoft YaHei" w:hAnsi="Microsoft YaHei"/>
                <w:sz w:val="14"/>
              </w:rPr>
              <w:t>主席令第四十五号</w:t>
            </w:r>
          </w:p>
        </w:tc>
        <w:tc>
          <w:tcPr>
            <w:tcW w:type="dxa" w:w="2494"/>
            <w:vAlign w:val="center"/>
          </w:tcPr>
          <w:p>
            <w:pPr>
              <w:spacing w:after="20" w:line="252" w:lineRule="auto"/>
            </w:pPr>
            <w:r>
              <w:rPr>
                <w:rFonts w:ascii="Microsoft YaHei" w:hAnsi="Microsoft YaHei"/>
                <w:sz w:val="14"/>
              </w:rPr>
              <w:t>一般诉讼时效、时效中断等</w:t>
            </w:r>
          </w:p>
        </w:tc>
        <w:tc>
          <w:tcPr>
            <w:tcW w:type="dxa" w:w="2268"/>
            <w:vAlign w:val="center"/>
          </w:tcPr>
          <w:p>
            <w:pPr>
              <w:spacing w:after="20" w:line="252" w:lineRule="auto"/>
            </w:pPr>
            <w:r>
              <w:rPr>
                <w:rFonts w:ascii="Microsoft YaHei" w:hAnsi="Microsoft YaHei"/>
                <w:sz w:val="14"/>
              </w:rPr>
              <w:t>https://www.cac.gov.cn/2020-06/01/c_1592561777268319.htm</w:t>
            </w:r>
          </w:p>
        </w:tc>
      </w:tr>
    </w:tbl>
    <w:p>
      <w:pPr>
        <w:spacing w:after="40"/>
      </w:pPr>
    </w:p>
    <w:p>
      <w:pPr>
        <w:spacing w:after="100" w:line="300" w:lineRule="auto"/>
      </w:pPr>
      <w:r>
        <w:t>财政部内部控制应用指引主要适用于执行企业内部控制规范体系的企业；其他企业可结合规模和风险参考其控制思想。民法典诉讼时效的具体起算、中断、中止和争议处理应由法务结合个案判断。</w:t>
      </w:r>
    </w:p>
    <w:sectPr w:rsidR="00FC693F" w:rsidRPr="0006063C" w:rsidSect="00034616">
      <w:pgSz w:w="12240" w:h="15840"/>
      <w:pgMar w:top="1134"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