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应收账款管理第一版复核与补强报告</w:t>
      </w:r>
    </w:p>
    <w:p>
      <w:pPr>
        <w:pStyle w:val="Subtitle"/>
        <w:jc w:val="center"/>
      </w:pPr>
      <w:r>
        <w:t>企业财务主管 / 财务经理实战复核版</w:t>
      </w:r>
    </w:p>
    <w:p/>
    <w:p>
      <w:pPr>
        <w:jc w:val="center"/>
      </w:pPr>
      <w:r>
        <w:rPr>
          <w:b/>
        </w:rPr>
        <w:t>复核日期：2026年9月12日</w:t>
      </w:r>
    </w:p>
    <w:p/>
    <w:p>
      <w:pPr>
        <w:spacing w:after="100" w:line="300" w:lineRule="auto"/>
      </w:pPr>
      <w:r>
        <w:t>复核对象为第一版《应收账款管理实战手册》《应收账款管理工具包》和《应收账款管理全景》。本报告不重写原专题，只判断其能否支持财务主管接手工作，并补充缺口。</w:t>
      </w:r>
    </w:p>
    <w:p>
      <w:pPr>
        <w:spacing w:after="100" w:line="300" w:lineRule="auto"/>
        <w:shd w:fill="D9EAF7"/>
      </w:pPr>
      <w:r>
        <w:rPr>
          <w:b/>
        </w:rPr>
        <w:t>总体结论：</w:t>
      </w:r>
      <w:r>
        <w:t>比较完整。第一版已经形成业务闭环、RACI、日周月节奏、催收争议、回款核销、ECL基本判断、Issue关闭、月结清单和15个案例，明显高于概念型资料；但若直接接手复杂客户组合，信用评分、账龄口径、核销例外、坏账税会分离、ECL底稿、集中度、会议和文书模板仍需补强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/>
      <w:fldSimple w:instr="TOC \o &quot;1-3&quot; \h \z \u"/>
    </w:p>
    <w:p>
      <w:pPr>
        <w:spacing w:after="100" w:line="300" w:lineRule="auto"/>
      </w:pPr>
      <w:r>
        <w:t>若WPS首次打开时未自动显示上方目录域，可按 Ctrl+A 后按 F9 更新；左侧导航栏可直接按标题跳转。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737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第一部分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复核结论</w:t>
            </w:r>
          </w:p>
        </w:tc>
      </w:tr>
      <w:tr>
        <w:tc>
          <w:tcPr>
            <w:tcW w:type="dxa" w:w="198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第二部分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25项缺口清单及优先级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第三部分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信用、双账龄、催收、核销、坏账、ECL、风险、融资、会议与15个案例</w:t>
            </w:r>
          </w:p>
        </w:tc>
      </w:tr>
      <w:tr>
        <w:tc>
          <w:tcPr>
            <w:tcW w:type="dxa" w:w="198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第四部分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工具补强与使用顺序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第五部分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主要依据与适用边界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第一部分 复核结论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复核维度</w:t>
            </w:r>
          </w:p>
        </w:tc>
        <w:tc>
          <w:tcPr>
            <w:tcW w:type="dxa" w:w="136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28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第一版证据</w:t>
            </w:r>
          </w:p>
        </w:tc>
        <w:tc>
          <w:tcPr>
            <w:tcW w:type="dxa" w:w="294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对上岗的影响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完整性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比较完整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15章、16张Excel表、3张XMind、15个案例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可建立全局框架并执行标准月结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实操性</w:t>
            </w:r>
          </w:p>
        </w:tc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较强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有RACI、节奏、台账字段、催收、争议、回款、ECL和Checklist</w:t>
            </w:r>
          </w:p>
        </w:tc>
        <w:tc>
          <w:tcPr>
            <w:tcW w:type="dxa" w:w="294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能组织常规应收工作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主管视角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较强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突出Owner、升级、Issue、Closure及管理层报告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已区别“做账”和“管事”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复杂场景</w:t>
            </w:r>
          </w:p>
        </w:tc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中等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识别了异常，但部分只到原则层</w:t>
            </w:r>
          </w:p>
        </w:tc>
        <w:tc>
          <w:tcPr>
            <w:tcW w:type="dxa" w:w="294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遇到新授信、复杂核销、税务坏账和融资仍需方法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工具充分性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中等偏强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已有16张核心表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缺评分卡、催收日志、对账函、催款函、集中度和会议工具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能否明天接手</w:t>
            </w:r>
          </w:p>
        </w:tc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有条件可以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适合标准制造/贸易企业的常规应收管理</w:t>
            </w:r>
          </w:p>
        </w:tc>
        <w:tc>
          <w:tcPr>
            <w:tcW w:type="dxa" w:w="294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建议先使用补强工具，并由财务经理复核重大授信、ECL、核销和融资判断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已经做得比较完整的部分</w:t>
      </w:r>
    </w:p>
    <w:p>
      <w:pPr>
        <w:pStyle w:val="ListBullet"/>
        <w:spacing w:after="40"/>
      </w:pPr>
      <w:r>
        <w:t>客户准入到坏账核销的端到端闭环清晰，能看出业务、系统、核算和管理之间的关系。</w:t>
      </w:r>
    </w:p>
    <w:p>
      <w:pPr>
        <w:pStyle w:val="ListBullet"/>
        <w:spacing w:after="40"/>
      </w:pPr>
      <w:r>
        <w:t>销售、项目、法务、AR、总账和财务主管的基本责任边界清楚，明确销售负责商业催收、财务负责数据和监督。</w:t>
      </w:r>
    </w:p>
    <w:p>
      <w:pPr>
        <w:pStyle w:val="ListBullet"/>
        <w:spacing w:after="40"/>
      </w:pPr>
      <w:r>
        <w:t>到期前、逾期、争议、回款认领、核销和月结都有操作动作，不只是概念。</w:t>
      </w:r>
    </w:p>
    <w:p>
      <w:pPr>
        <w:pStyle w:val="ListBullet"/>
        <w:spacing w:after="40"/>
      </w:pPr>
      <w:r>
        <w:t>已经强调合同资产、应收账款和合同负债不能机械混用，ECL不能只套统一账龄比例。</w:t>
      </w:r>
    </w:p>
    <w:p>
      <w:pPr>
        <w:pStyle w:val="ListBullet"/>
        <w:spacing w:after="40"/>
      </w:pPr>
      <w:r>
        <w:t>Issue Log、风险红旗、新主管接手和管理层报告具备主管工作特征。</w:t>
      </w:r>
    </w:p>
    <w:p>
      <w:pPr>
        <w:pStyle w:val="ListBullet"/>
        <w:spacing w:after="40"/>
      </w:pPr>
      <w:r>
        <w:t>原XMind作为快速总览已经足够，本次无需重做。</w:t>
      </w:r>
    </w:p>
    <w:p>
      <w:pPr>
        <w:pStyle w:val="Heading2"/>
        <w:keepNext/>
      </w:pPr>
      <w:r>
        <w:t>1.2 第一版能做到什么，不能单独承担什么</w:t>
      </w:r>
    </w:p>
    <w:p>
      <w:pPr>
        <w:spacing w:after="100" w:line="300" w:lineRule="auto"/>
      </w:pPr>
      <w:r>
        <w:t>使用第一版，学习者可以组织标准月结、建立应收明细和催收计划、识别重大逾期、推动争议和未认领回款关闭，并完成基础ECL复核。</w:t>
      </w:r>
    </w:p>
    <w:p>
      <w:pPr>
        <w:spacing w:after="100" w:line="300" w:lineRule="auto"/>
      </w:pPr>
      <w:r>
        <w:t>对于重大客户初次授信、复杂客户对账差异、第三方代付和组合核销、破产客户ECL、所得税坏账扣除、有追索权保理等事项，仍应由具备相应经验的财务经理、税务或法务共同复核。</w:t>
      </w:r>
    </w:p>
    <w:p>
      <w:pPr>
        <w:pStyle w:val="Heading1"/>
        <w:keepNext/>
      </w:pPr>
      <w:r>
        <w:t>第二部分 缺口清单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30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复核领域</w:t>
            </w:r>
          </w:p>
        </w:tc>
        <w:tc>
          <w:tcPr>
            <w:tcW w:type="dxa" w:w="96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32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发现</w:t>
            </w:r>
          </w:p>
        </w:tc>
        <w:tc>
          <w:tcPr>
            <w:tcW w:type="dxa" w:w="215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工作影响</w:t>
            </w:r>
          </w:p>
        </w:tc>
        <w:tc>
          <w:tcPr>
            <w:tcW w:type="dxa" w:w="249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补强动作</w:t>
            </w:r>
          </w:p>
        </w:tc>
        <w:tc>
          <w:tcPr>
            <w:tcW w:type="dxa" w:w="737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信用调查渠道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列出外部资信，但缺少资料来源、验证顺序和失信信息处理规则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无法稳定完成新客户准入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补充调查清单、证据路径和复评触发器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G02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信用评分模型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缺失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没有可计算的维度、权重和评级映射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额度审批仍依赖经验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补充100分评分卡及否决项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新客户信用政策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缺失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未明确首次合作是否默认账期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容易先赊销后补审批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建议默认预付/现款，小额试单后再授信；例外须授权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G04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额度与账期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两者在表单中同时出现，但管理含义未分开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可能误以为延长账期等于提高额度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补充定义、测算方法和双重控制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G05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账龄与逾期账龄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有到期日和逾期天数，但未明确两个口径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管理报表与ECL可能混用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补充口径、示例和字段规范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G06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催收升级SLA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较完整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已有五阶段，但缺催款函级次、会议节奏、停供与法务移交门槛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行动可能停留在描述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补充D-7至D+180动作、Owner、证据和升级条件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G07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销售激励约束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缺失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未把回款、毛利、坏账与奖金机制连接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销售只追收入、不追现金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补充三种合规绩效设计及适用条件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G08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客户对账差异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说明了原则，没有120万对100万的排查路径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面对实务差异仍缺步骤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补充截止锁定、逐项桥接、争议入账和关闭标准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G09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复杂回款核销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识别了不得自动核销场景，但缺操作方案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多发票、第三方付款、短款仍易错配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补充八类核销异常和审批证据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G10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坏账三口径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会计核销已讲，管理认定与所得税扣除未充分分离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易把计提、核销、税前扣除混为一谈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补充管理/会计/税务三轨表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ECL实操方法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提醒不能机械套比例，但缺历史损失率、迁徙率、前瞻调整和回溯测试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无法独立搭建模型底稿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补充组合划分、roll-rate示例和参数治理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G12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风险预警体系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红旗较散，缺分值、阈值和升级输出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不能形成可排序的风险队列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补充预警指标库和红黄橙红规则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客户集中度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管理层章节提及，缺Top1/Top5和风险敞口案例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容易忽视单一客户拖累现金流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补充集中度指标和35%案例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G14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指标体系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已有指标，但未完整连接收入、DSO、现金转换周期和行动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管理汇报深度不足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补充十二项指标及下钻动作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G15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应收增长分析树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较完整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已有六类原因，但缺可量化桥接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只能定性解释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补充收入效应、DSO效应、结构/截止/争议桥接表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G16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应收与现金流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谈到现金预测，未解释营运资金占用和现金缺口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不易向管理层说明利润与现金背离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补充现金转化和资金成本分析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G17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应收融资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缺失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未覆盖保理、质押、票据化和信用保险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现金紧张时缺可选方案与会计边界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补充选择矩阵和终止确认判断提醒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G18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舞弊数据检查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红旗有了，缺具体数据测试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复核仍依赖经验抽查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补充期末集中确认、次月红冲、第三方回款等测试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G19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新主管接手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较完整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第一周和第一月已有框架，缺资料签收和历史问题基准日模板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责任边界证据不足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补充签收清单和历史Issue确认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G20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应收会议机制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缺失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有会议概念，缺固定议程、输入输出和决策权限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跨部门问题容易反复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补充周会SOP和Closure标准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G21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催收记录表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有催收计划，缺逐次联系日志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证据链与承诺变化不可追溯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新增催收记录模板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G22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客户对账函/催款函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缺失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未提供可直接发送的模板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落地工具不全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新增两种模板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G23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应收月报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部分覆盖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有看板和管理报告原则，缺标准月报版式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月度汇报难复用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新增一页月报模板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中</w:t>
            </w:r>
          </w:p>
        </w:tc>
      </w:tr>
      <w:tr>
        <w:tc>
          <w:tcPr>
            <w:tcW w:type="dxa" w:w="680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G24</w:t>
            </w:r>
          </w:p>
        </w:tc>
        <w:tc>
          <w:tcPr>
            <w:tcW w:type="dxa" w:w="13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内容重复</w:t>
            </w:r>
          </w:p>
        </w:tc>
        <w:tc>
          <w:tcPr>
            <w:tcW w:type="dxa" w:w="96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存在</w:t>
            </w:r>
          </w:p>
        </w:tc>
        <w:tc>
          <w:tcPr>
            <w:tcW w:type="dxa" w:w="232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工作节奏、月结清单、管理报告有少量交叉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阅读略重复但不影响使用</w:t>
            </w:r>
          </w:p>
        </w:tc>
        <w:tc>
          <w:tcPr>
            <w:tcW w:type="dxa" w:w="249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保留原文；补强包不重复成熟内容</w:t>
            </w:r>
          </w:p>
        </w:tc>
        <w:tc>
          <w:tcPr>
            <w:tcW w:type="dxa" w:w="73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G25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XMind总览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较完整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三张图已覆盖全景、异常闭环和接手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无需新建导图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沿用第一版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优先级解释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535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判断标准</w:t>
            </w:r>
          </w:p>
        </w:tc>
        <w:tc>
          <w:tcPr>
            <w:tcW w:type="dxa" w:w="311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直接影响授信、回款、减值、核销、风险升级或操作证据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本补强包提供规则或模板</w:t>
            </w:r>
          </w:p>
        </w:tc>
      </w:tr>
      <w:tr>
        <w:tc>
          <w:tcPr>
            <w:tcW w:type="dxa" w:w="124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中</w:t>
            </w:r>
          </w:p>
        </w:tc>
        <w:tc>
          <w:tcPr>
            <w:tcW w:type="dxa" w:w="45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影响管理深度、汇报质量或融资选择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提供框架和工具，按企业成熟度启用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低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重复、版式或已有总览足够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不改第一版，避免重复扩写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第三部分 针对缺口的补强内容</w:t>
      </w:r>
    </w:p>
    <w:p>
      <w:pPr>
        <w:pStyle w:val="Heading2"/>
        <w:keepNext/>
      </w:pPr>
      <w:r>
        <w:t>3.1 客户信用调查、评分、额度和账期</w:t>
      </w:r>
    </w:p>
    <w:p>
      <w:pPr>
        <w:spacing w:after="100" w:line="300" w:lineRule="auto"/>
      </w:pPr>
      <w:r>
        <w:rPr>
          <w:b/>
        </w:rPr>
        <w:t>核心结论：</w:t>
      </w:r>
      <w:r>
        <w:t>新客户不应因为销售预测大就自动获得账期。常见稳健做法是预付、现款或小额试单；信用销售属于经授权的商业选择。具体默认政策由企业结合竞争环境、毛利、客户结构和风险承受能力制定。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6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调查层</w:t>
            </w:r>
          </w:p>
        </w:tc>
        <w:tc>
          <w:tcPr>
            <w:tcW w:type="dxa" w:w="266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信息来源</w:t>
            </w:r>
          </w:p>
        </w:tc>
        <w:tc>
          <w:tcPr>
            <w:tcW w:type="dxa" w:w="289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关键问题</w:t>
            </w:r>
          </w:p>
        </w:tc>
        <w:tc>
          <w:tcPr>
            <w:tcW w:type="dxa" w:w="198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财务输出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主体与合规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营业执照、国家企业信用信息公示、信用中国、执行与司法公开信息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合同主体是否存续，是否有重大失信、执行、破产或异常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主体核验与否决项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财务能力</w:t>
            </w:r>
          </w:p>
        </w:tc>
        <w:tc>
          <w:tcPr>
            <w:tcW w:type="dxa" w:w="266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经审计报表、管理报表、银行资信（获授权）、公开债务信息</w:t>
            </w:r>
          </w:p>
        </w:tc>
        <w:tc>
          <w:tcPr>
            <w:tcW w:type="dxa" w:w="289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流动性、杠杆、经营现金流和持续经营是否支持账期</w:t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偿债评分与压力情景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交易历史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ERP订单、发货、退货、逾期、承诺兑现、争议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付得是否及时、是否反复失约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行为评分与额度调整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商业质量</w:t>
            </w:r>
          </w:p>
        </w:tc>
        <w:tc>
          <w:tcPr>
            <w:tcW w:type="dxa" w:w="266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预计月销、毛利、客户替代性、行业周期、集中度</w:t>
            </w:r>
          </w:p>
        </w:tc>
        <w:tc>
          <w:tcPr>
            <w:tcW w:type="dxa" w:w="289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收益是否覆盖资金占用和损失</w:t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收益风险建议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增信措施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保证、抵押、信用保险、预付款、分批发货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风险是否真正转移或降低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有效增信金额和条件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评分维度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建议权重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示例指标</w:t>
            </w:r>
          </w:p>
        </w:tc>
        <w:tc>
          <w:tcPr>
            <w:tcW w:type="dxa" w:w="283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评分提醒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偿债能力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25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现金流、杠杆、短债覆盖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数据不可靠时应降低可信度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历史付款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25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逾期率、最长逾期、承诺兑现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新客户可暂用中性分并缩小额度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外部信用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失信、诉讼、经营异常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重大否决项不能被高总分抵消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交易质量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毛利、退货、争议、可替代性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高收入低毛利不等于高信用价值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集中度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该客户占收入/应收比例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集中度越高，压力测试越严格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增信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保证、保险、预付、抵押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只认可法律有效且可执行部分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示例评级：85分以上A、70—84分B、55—69分C、55分以下D；该区间仅为企业内部政策示例。破产、严重失信、资料造假等可设置为否决项。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6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控制什么</w:t>
            </w:r>
          </w:p>
        </w:tc>
        <w:tc>
          <w:tcPr>
            <w:tcW w:type="dxa" w:w="351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常用测算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账期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允许多长时间付款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合同条件、客户付款流程、行业惯例和资金成本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月结后60天付款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信用额度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任一时点允许承担的最大未收敞口</w:t>
            </w:r>
          </w:p>
        </w:tc>
        <w:tc>
          <w:tcPr>
            <w:tcW w:type="dxa" w:w="351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预计月赊销×覆盖月数×风险系数，并受最大可承受损失约束</w:t>
            </w:r>
          </w:p>
        </w:tc>
        <w:tc>
          <w:tcPr>
            <w:tcW w:type="dxa" w:w="181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月销100万×2个月×80%=160万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风险敞口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真正暴露的总额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应收+合同资产+已发货未结算+已批准未发货−有效担保/预收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不得只看应收科目余额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会计账龄和逾期账龄必须分开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72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起算点</w:t>
            </w:r>
          </w:p>
        </w:tc>
        <w:tc>
          <w:tcPr>
            <w:tcW w:type="dxa" w:w="238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回答的问题</w:t>
            </w:r>
          </w:p>
        </w:tc>
        <w:tc>
          <w:tcPr>
            <w:tcW w:type="dxa" w:w="215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主要用途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会计账龄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企业政策确定的确认/开票等可验证日期，并保持一致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这笔债权存在多久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余额结构、ECL历史分析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逾期账龄</w:t>
            </w:r>
          </w:p>
        </w:tc>
        <w:tc>
          <w:tcPr>
            <w:tcW w:type="dxa" w:w="272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合同到期日次日起算</w:t>
            </w:r>
          </w:p>
        </w:tc>
        <w:tc>
          <w:tcPr>
            <w:tcW w:type="dxa" w:w="238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客户违约多久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催收、冻结、升级和承诺跟踪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例：1月1日确认应收，合同账期90天。3月1日会计账龄约60天，但尚未到期，逾期天数为0。若3月31日到期，4月1日起才计算逾期。日期口径还应考虑月结后N天、验收后N天等合同表达，并在ERP主数据或逐笔单据中可追溯。</w:t>
      </w:r>
    </w:p>
    <w:p>
      <w:pPr>
        <w:pStyle w:val="Heading2"/>
        <w:keepNext/>
      </w:pPr>
      <w:r>
        <w:t>3.3 催收升级SLA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时点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标准动作</w:t>
            </w:r>
          </w:p>
        </w:tc>
        <w:tc>
          <w:tcPr>
            <w:tcW w:type="dxa" w:w="175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升级/控制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D-7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确认发票、验收、门户提交和付款批次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AR+销售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邮件、门户截图、联系人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资料障碍当天交责任部门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D0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确认应付已入系统和预计付款日</w:t>
            </w:r>
          </w:p>
        </w:tc>
        <w:tc>
          <w:tcPr>
            <w:tcW w:type="dxa" w:w="175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</w:t>
            </w:r>
          </w:p>
        </w:tc>
        <w:tc>
          <w:tcPr>
            <w:tcW w:type="dxa" w:w="209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客户确认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金额重大未确认则主管关注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D+7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第一次书面催款，记录金额与日期承诺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催收日志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失约进入周会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D+30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第二级催款函，限制新增信用</w:t>
            </w:r>
          </w:p>
        </w:tc>
        <w:tc>
          <w:tcPr>
            <w:tcW w:type="dxa" w:w="175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销售负责人</w:t>
            </w:r>
          </w:p>
        </w:tc>
        <w:tc>
          <w:tcPr>
            <w:tcW w:type="dxa" w:w="209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催款函、回执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额度冻结或一次性例外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D+60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管理层客户沟通，争议专项关闭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销售总监+财务主管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会议纪要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逐笔ECL观察名单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D+90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原则停供，法务评估支付令、保全、诉讼或重组</w:t>
            </w:r>
          </w:p>
        </w:tc>
        <w:tc>
          <w:tcPr>
            <w:tcW w:type="dxa" w:w="175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财务经理+法务</w:t>
            </w:r>
          </w:p>
        </w:tc>
        <w:tc>
          <w:tcPr>
            <w:tcW w:type="dxa" w:w="209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法律意见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个别评估或风险组合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D+180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管理层决定诉讼、和解、担保、核销及责任复盘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授权管理层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决议、法律证据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账销案存，持续追索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D代表合同到期日。该SLA不是法规统一期限；高风险客户可提前升级，政府或项目客户可结合验收和付款流程调整，但每次调整都应有责任人、截止日和批准。</w:t>
      </w:r>
    </w:p>
    <w:p>
      <w:pPr>
        <w:pStyle w:val="Heading2"/>
        <w:keepNext/>
      </w:pPr>
      <w:r>
        <w:t>3.4 责任边界与销售绩效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96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必须承担</w:t>
            </w:r>
          </w:p>
        </w:tc>
        <w:tc>
          <w:tcPr>
            <w:tcW w:type="dxa" w:w="368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不能推给别人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客户商业沟通、付款承诺、争议协调、催收行动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不能把“客户不付”全部归为财务问题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AR/总账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余额、到期日、核销、对账、ECL资料、风险报告</w:t>
            </w:r>
          </w:p>
        </w:tc>
        <w:tc>
          <w:tcPr>
            <w:tcW w:type="dxa" w:w="368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不能替销售承诺折扣或商业和解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业务/项目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交付、验收、质量和资料补齐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不能让财务为未履约事实背书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法务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法律路径、证据效力、诉讼时效和和解文本</w:t>
            </w:r>
          </w:p>
        </w:tc>
        <w:tc>
          <w:tcPr>
            <w:tcW w:type="dxa" w:w="368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不能替管理层决定商业风险偏好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财务主管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规则、数据、复核、例外和升级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不能单独决定重大赊销或放弃债权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管理层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风险偏好、重大例外、停供/诉讼/和解</w:t>
            </w:r>
          </w:p>
        </w:tc>
        <w:tc>
          <w:tcPr>
            <w:tcW w:type="dxa" w:w="368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不能用口头要求消除会计和内控责任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5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绩效方案</w:t>
            </w:r>
          </w:p>
        </w:tc>
        <w:tc>
          <w:tcPr>
            <w:tcW w:type="dxa" w:w="294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243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适用</w:t>
            </w:r>
          </w:p>
        </w:tc>
        <w:tc>
          <w:tcPr>
            <w:tcW w:type="dxa" w:w="221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风险控制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收入+回款双指标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奖金按毛利/收入与到期回款完成率组合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客户账期差异可管理的销售团队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按到期回款而非总回款，避免错杀未到期客户</w:t>
            </w:r>
          </w:p>
        </w:tc>
      </w:tr>
      <w:tr>
        <w:tc>
          <w:tcPr>
            <w:tcW w:type="dxa" w:w="175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递延兑现</w:t>
            </w:r>
          </w:p>
        </w:tc>
        <w:tc>
          <w:tcPr>
            <w:tcW w:type="dxa" w:w="294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先计提奖金，部分在回款后支付</w:t>
            </w:r>
          </w:p>
        </w:tc>
        <w:tc>
          <w:tcPr>
            <w:tcW w:type="dxa" w:w="243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长账期、项目制业务</w:t>
            </w:r>
          </w:p>
        </w:tc>
        <w:tc>
          <w:tcPr>
            <w:tcW w:type="dxa" w:w="221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写入合法有效的薪酬制度和劳动约定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质量扣分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逾期、争议、坏账、超额例外影响绩效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销售能影响准入、合同和催收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排除企业交付或系统原因，保留申诉复核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 对账差异与复杂回款核销</w:t>
      </w:r>
    </w:p>
    <w:p>
      <w:pPr>
        <w:spacing w:after="100" w:line="300" w:lineRule="auto"/>
      </w:pPr>
      <w:r>
        <w:t>客户账120万元、公司账100万元时，先锁定同一截止日和同一主体，再用“期初余额+双方本期增加−双方本期减少=期末差异”桥接。逐笔检查未开票/已开票未入账、发货与验收时点、红冲、退货、折扣返利、代扣费用、在途款、串户和历史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255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272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账务判断</w:t>
            </w:r>
          </w:p>
        </w:tc>
        <w:tc>
          <w:tcPr>
            <w:tcW w:type="dxa" w:w="255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关闭证据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一款多票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按客户指定或批准政策分配未清项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不得为清零而错配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客户水单/确认+核销清单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多款一票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逐笔核销，保留剩余未清</w:t>
            </w:r>
          </w:p>
        </w:tc>
        <w:tc>
          <w:tcPr>
            <w:tcW w:type="dxa" w:w="272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到账总额不足不提前关闭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银行流水+未清项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短款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差额进入争议/尾差审批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有效折让、索赔与无依据扣款分别处理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合同、索赔、审批、税务资料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多付款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先识别预收、重复或错误付款</w:t>
            </w:r>
          </w:p>
        </w:tc>
        <w:tc>
          <w:tcPr>
            <w:tcW w:type="dxa" w:w="272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不得直接冲其他客户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客户确认和退款/转款审批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第三方代付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资料不足先挂未认领款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实质为代付且证据充分才冲合同客户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代付说明/协议和流水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集团统一付款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按子公司债务和付款清单分配</w:t>
            </w:r>
          </w:p>
        </w:tc>
        <w:tc>
          <w:tcPr>
            <w:tcW w:type="dxa" w:w="272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主体不同不能凭集团名称随意串账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集团付款清单及各方确认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手续费/汇差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单独识别费用、汇兑或短款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依据合同判断谁承担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银行水单、合同、汇率底稿</w:t>
            </w:r>
          </w:p>
        </w:tc>
      </w:tr>
      <w:tr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摘要不清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进入未认领队列并设账龄</w:t>
            </w:r>
          </w:p>
        </w:tc>
        <w:tc>
          <w:tcPr>
            <w:tcW w:type="dxa" w:w="272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禁止同金额自动命中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询证记录和审批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3.6 坏账的管理、会计与税务三条线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层面</w:t>
            </w:r>
          </w:p>
        </w:tc>
        <w:tc>
          <w:tcPr>
            <w:tcW w:type="dxa" w:w="266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核心问题</w:t>
            </w:r>
          </w:p>
        </w:tc>
        <w:tc>
          <w:tcPr>
            <w:tcW w:type="dxa" w:w="385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触发与处理</w:t>
            </w:r>
          </w:p>
        </w:tc>
        <w:tc>
          <w:tcPr>
            <w:tcW w:type="dxa" w:w="204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不能混淆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管理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是否仍可收、如何追索和是否继续交易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预警、停供、担保、催收、诉讼、责任复盘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风险客户不等于马上核销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会计</w:t>
            </w:r>
          </w:p>
        </w:tc>
        <w:tc>
          <w:tcPr>
            <w:tcW w:type="dxa" w:w="266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资产负债表日应确认多少预期信用损失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组合或个别评估、计提；满足核销政策并审批后核销</w:t>
            </w:r>
          </w:p>
        </w:tc>
        <w:tc>
          <w:tcPr>
            <w:tcW w:type="dxa" w:w="204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计提ECL不等于债权消失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企业所得税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会计损失何时满足税前扣除条件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区分实际/法定资产损失，按年度申报并留存证据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会计核销不自动取得税前扣除资格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b/>
        </w:rPr>
        <w:t>税务提醒：</w:t>
      </w:r>
      <w:r>
        <w:t>税务资料通常包括合同与交易凭证、对账和催收证据、司法/破产/注销资料、担保与清偿资料、内部核销决议、会计处理和纳税申报工作底稿。国家税务总局公告2018年第15号调整为相关资料由企业留存备查；应结合2011年第25号公告现行有效条款和具体事实判断。</w:t>
      </w:r>
    </w:p>
    <w:p>
      <w:pPr>
        <w:pStyle w:val="Heading2"/>
        <w:keepNext/>
      </w:pPr>
      <w:r>
        <w:t>3.7 ECL实操底稿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481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7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主管复核点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 组合划分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按共同信用风险特征分组，如经销商、项目客户、政府客户、关联方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分组必须有数据和业务依据，不能为调节结果频繁改变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2 数据准备</w:t>
            </w:r>
          </w:p>
        </w:tc>
        <w:tc>
          <w:tcPr>
            <w:tcW w:type="dxa" w:w="481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取得3—5年或可获得期间的应收快照、核销、收回、账龄迁徙和客户退出数据</w:t>
            </w:r>
          </w:p>
        </w:tc>
        <w:tc>
          <w:tcPr>
            <w:tcW w:type="dxa" w:w="379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分母、观察期、核销和后续收回口径一致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3 历史损失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可用损失率法或账龄迁徙/roll-rate估计各账龄最终损失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剔除一次性异常需有证据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4 前瞻调整</w:t>
            </w:r>
          </w:p>
        </w:tc>
        <w:tc>
          <w:tcPr>
            <w:tcW w:type="dxa" w:w="481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结合宏观、行业、客户经营和回款变化调整</w:t>
            </w:r>
          </w:p>
        </w:tc>
        <w:tc>
          <w:tcPr>
            <w:tcW w:type="dxa" w:w="379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前瞻因素可解释、可复核，避免拍脑袋系数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5 个别评估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破产、重大诉讼、严重失信、重组或特殊担保客户单独测算现金短缺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个别评估不以金额重大或已逾期作为唯一条件</w:t>
            </w:r>
          </w:p>
        </w:tc>
      </w:tr>
      <w:tr>
        <w:tc>
          <w:tcPr>
            <w:tcW w:type="dxa" w:w="141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6 回溯测试</w:t>
            </w:r>
          </w:p>
        </w:tc>
        <w:tc>
          <w:tcPr>
            <w:tcW w:type="dxa" w:w="481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比较上期估计与实际迁徙、核销、收回，分析偏差</w:t>
            </w:r>
          </w:p>
        </w:tc>
        <w:tc>
          <w:tcPr>
            <w:tcW w:type="dxa" w:w="379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模型持续偏低或偏高须改进并审批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47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期初账龄</w:t>
            </w:r>
          </w:p>
        </w:tc>
        <w:tc>
          <w:tcPr>
            <w:tcW w:type="dxa" w:w="158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期初余额</w:t>
            </w:r>
          </w:p>
        </w:tc>
        <w:tc>
          <w:tcPr>
            <w:tcW w:type="dxa" w:w="215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期末仍在该层或更差</w:t>
            </w:r>
          </w:p>
        </w:tc>
        <w:tc>
          <w:tcPr>
            <w:tcW w:type="dxa" w:w="136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示例迁徙率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到最终损失的估计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未逾期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10,000,000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800,000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8%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结合后续层级迁徙连乘或直接损失经验</w:t>
            </w:r>
          </w:p>
        </w:tc>
      </w:tr>
      <w:tr>
        <w:tc>
          <w:tcPr>
            <w:tcW w:type="dxa" w:w="147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1—30天</w:t>
            </w:r>
          </w:p>
        </w:tc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1,000,000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300,000</w:t>
            </w:r>
          </w:p>
        </w:tc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30%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不可把30%直接当最终损失率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31—90天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500,000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250,000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50%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继续跟踪迁至90天以上和最终核销</w:t>
            </w:r>
          </w:p>
        </w:tc>
      </w:tr>
      <w:tr>
        <w:tc>
          <w:tcPr>
            <w:tcW w:type="dxa" w:w="147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90天以上</w:t>
            </w:r>
          </w:p>
        </w:tc>
        <w:tc>
          <w:tcPr>
            <w:tcW w:type="dxa" w:w="1587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300,000</w:t>
            </w:r>
          </w:p>
        </w:tc>
        <w:tc>
          <w:tcPr>
            <w:tcW w:type="dxa" w:w="215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180,000</w:t>
            </w:r>
          </w:p>
        </w:tc>
        <w:tc>
          <w:tcPr>
            <w:tcW w:type="dxa" w:w="136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60%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结合担保、诉讼与个别评估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上表只演示roll-rate思路，不是准则规定比例。财政部2025年会计信息质量检查提示，不能把所有应收放在一个账龄组合，也不能缺乏依据地修改参数。</w:t>
      </w:r>
    </w:p>
    <w:p>
      <w:pPr>
        <w:pStyle w:val="Heading2"/>
        <w:keepNext/>
      </w:pPr>
      <w:r>
        <w:t>3.8 风险预警、集中度与指标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453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典型信号</w:t>
            </w:r>
          </w:p>
        </w:tc>
        <w:tc>
          <w:tcPr>
            <w:tcW w:type="dxa" w:w="419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最低动作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蓝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未到期、资料完整、付款行为稳定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常规提醒和月度监控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黄</w:t>
            </w:r>
          </w:p>
        </w:tc>
        <w:tc>
          <w:tcPr>
            <w:tcW w:type="dxa" w:w="45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承诺延期、轻微争议、接近额度、外部负面初现</w:t>
            </w:r>
          </w:p>
        </w:tc>
        <w:tc>
          <w:tcPr>
            <w:tcW w:type="dxa" w:w="419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纳入周清单并更新证据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橙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逾期30—90天、反复失约、集中度高、额度例外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限制信用、主管会议、ECL观察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红</w:t>
            </w:r>
          </w:p>
        </w:tc>
        <w:tc>
          <w:tcPr>
            <w:tcW w:type="dxa" w:w="45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破产/重大诉讼、资料造假、逾期90天以上且无方案</w:t>
            </w:r>
          </w:p>
        </w:tc>
        <w:tc>
          <w:tcPr>
            <w:tcW w:type="dxa" w:w="419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冻结、法务、个别评估和管理层决策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85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430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异常后下钻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应收余额/赊销收入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规模增长是否合理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收入增长、确认时点、核销和账期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DSO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销售转现金是否变慢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客户、区域、产品、合同账期与实际付款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逾期率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未按合同付款的比例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逾期原因、Owner和承诺兑现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90天以上占比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风险是否向高龄迁徙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逐客ECL、法律和停供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Top1/Top5集中度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是否依赖少数客户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单客压力测试和授信上限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争议率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现金问题是否源于交付/价格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项目、质量、销售和税务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承诺兑现率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催收预测是否可信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客户与销售Owner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未认领回款账龄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现金是否进入账却未关闭客户余额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付款主体、摘要和串户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信用例外率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政策是否被频繁绕过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审批人、销售和客户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ECL覆盖率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损失准备与风险是否匹配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组合、个别客户和模型偏差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回款预测准确率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资金计划是否可靠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承诺、付款批次和预测偏差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现金转换周期</w:t>
            </w:r>
          </w:p>
        </w:tc>
        <w:tc>
          <w:tcPr>
            <w:tcW w:type="dxa" w:w="385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营运资金是否被应收拖累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DSO、DIO、DPO联动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集中度示例：单一客户占应收35%，即使全部未逾期，也应评估客户信用、合同终止影响、可替代性和最坏现金缺口；“未逾期”不能消除集中度风险。</w:t>
      </w:r>
    </w:p>
    <w:p>
      <w:pPr>
        <w:pStyle w:val="Heading2"/>
        <w:keepNext/>
      </w:pPr>
      <w:r>
        <w:t>3.9 应收增长与现金流量分析树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桥接项</w:t>
            </w:r>
          </w:p>
        </w:tc>
        <w:tc>
          <w:tcPr>
            <w:tcW w:type="dxa" w:w="3515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计算思路</w:t>
            </w:r>
          </w:p>
        </w:tc>
        <w:tc>
          <w:tcPr>
            <w:tcW w:type="dxa" w:w="464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解释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收入效应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本期赊销收入变化×基准DSO/天数</w:t>
            </w:r>
          </w:p>
        </w:tc>
        <w:tc>
          <w:tcPr>
            <w:tcW w:type="dxa" w:w="464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业务规模自然带来的余额变化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回款速度效应</w:t>
            </w:r>
          </w:p>
        </w:tc>
        <w:tc>
          <w:tcPr>
            <w:tcW w:type="dxa" w:w="351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本期收入×DSO变化/天数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账期或催收导致的资金占用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客户/产品结构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不同账期和付款习惯的组合变化</w:t>
            </w:r>
          </w:p>
        </w:tc>
        <w:tc>
          <w:tcPr>
            <w:tcW w:type="dxa" w:w="464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大项目或长账期客户占比变化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争议和交付</w:t>
            </w:r>
          </w:p>
        </w:tc>
        <w:tc>
          <w:tcPr>
            <w:tcW w:type="dxa" w:w="351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争议款、未验收、返利和索赔变化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经营质量问题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截止和会计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期末集中确认、未核销、串户、红冲</w:t>
            </w:r>
          </w:p>
        </w:tc>
        <w:tc>
          <w:tcPr>
            <w:tcW w:type="dxa" w:w="4649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数据或收入确认问题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其他</w:t>
            </w:r>
          </w:p>
        </w:tc>
        <w:tc>
          <w:tcPr>
            <w:tcW w:type="dxa" w:w="351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汇率、收购、处置等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单独列示，避免掩盖主因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应收增加通常减少经营活动现金净额并占用营运资金，但具体现金流列报仍应结合交易性质。向管理层报告时，应把“利润增长”与“现金是否同步回收”放在同一页，并量化资金缺口和资金成本。</w:t>
      </w:r>
    </w:p>
    <w:p>
      <w:pPr>
        <w:pStyle w:val="Heading2"/>
        <w:keepNext/>
      </w:pPr>
      <w:r>
        <w:t>3.10 应收融资选择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243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适用</w:t>
            </w:r>
          </w:p>
        </w:tc>
        <w:tc>
          <w:tcPr>
            <w:tcW w:type="dxa" w:w="255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会计/管理判断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无追索保理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债权质量较好、需要加速现金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合同仍可能保留回购、争议或继续涉入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按金融资产转移准则判断风险报酬和控制，名称不决定终止确认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有追索保理</w:t>
            </w:r>
          </w:p>
        </w:tc>
        <w:tc>
          <w:tcPr>
            <w:tcW w:type="dxa" w:w="243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需要融资且愿承担信用风险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融资成本、追索、契约和重复质押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常见实质更接近以应收融资，但须逐合同判断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应收质押贷款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银行接受客户和应收质量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抵押登记、契约和回款账户限制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应收通常仍确认，同时确认借款并披露受限情况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信用保险</w:t>
            </w:r>
          </w:p>
        </w:tc>
        <w:tc>
          <w:tcPr>
            <w:tcW w:type="dxa" w:w="243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客户风险可承保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免赔、除外责任、报案与理赔条件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不能替代信用审批和催收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票据化结算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客户可提供合规票据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承兑人信用、期限、贴现与追索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分别管理应收、票据和贴现风险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3.11 应收周会SOP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会前T-1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AR发布逾期、承诺、争议、信用例外、未认领回款和Top风险清单；数据截止时间固定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参会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财务主管主持，销售负责人、AR、项目/交付参加；法务按议题参加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固定议程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上周承诺兑现→新增逾期→争议→冻结/例外→法律事项→现金预测→需管理层决策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每笔输出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Owner、具体动作、金额、截止日、临时控制、升级条件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禁止表述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“正在催”“客户走流程”“预计近期”等无法验证的状态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Closure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资金到账并正确核销，或争议/会计/信用/法律状态均完成并经复核；仅标记Resolved不算关闭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3.12 15个补强案例</w:t>
      </w:r>
    </w:p>
    <w:p>
      <w:pPr>
        <w:pStyle w:val="Heading3"/>
        <w:keepNext/>
      </w:pPr>
      <w:r>
        <w:t>SUP-AR-001 新客户要求90天账期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客户无历史交易，销售因“大客户”要求90天账期。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先完成主体、外部负面、财务能力、行业口碑、预计交易和担保调查。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默认预付或现款；可批准小额试单额度，设有效期和复评。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销售提出商业理由；信用/财务给风险意见；超权限由财务经理或授权管理层批准。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调查报告、评分卡、额度审批、合同、系统截图。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SUP-AR-002 客户逾期仍要求发货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客户逾期90天，销售称停货会丢客户。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查明逾期性质、全部敞口、承诺兑现和新增订单毛利。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原则冻结；可用回款、预付、担保或一次性限额例外替代。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任何例外均限定金额、订单、失效日；反复例外升级总经理。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逾期明细、争议证据、付款承诺、例外审批。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SUP-AR-003 账龄60天但未逾期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合同账期90天，发票后60天。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会计账龄60天；到期日前仍属未逾期。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做D-7到期提醒，不应误列逾期或强制停供。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AR维护到期日，销售确认客户付款流程。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合同、发票、验收、到期日计算。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SUP-AR-004 客户账120万、公司账100万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客户比公司多20万元。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锁定同一截止日，逐笔比合同、发货/验收、发票、红冲、回款、折扣返利和串户。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形成差异桥；账错做凭证，商业争议进Issue，时点差异下期跟踪。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AR牵头；销售、物流、税务和客户会计分别确认事实。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双方明细、差异表、单据、确认邮件、调整审批。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SUP-AR-005 一笔回款对应多张发票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客户支付100万元且仅写“货款”。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按客户书面指定；无指定时按企业政策和合同约定排序，重大差异须确认。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不得仅按同金额自动核销；剩余短款转争议或待处理。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AR执行，销售/客户确认，主管复核跨期或重大核销。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银行流水、客户水单、核销清单、确认邮件。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SUP-AR-006 多笔回款对应一张发票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客户分三次支付一张113万元发票。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逐笔记录到账并保持未清余额，不得提前全额关闭。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最后一笔到账后验证总额、币种、手续费和尾差。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资金提供流水，AR核销，主管复核尾差审批。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流水、收款通知、未清项。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SUP-AR-007 第三方代付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合同客户A，付款人B。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核实代付关系、债务清偿意图、反洗钱/制裁及退款风险。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资料充分后核销A；资料不足先挂未认领款，不跨客户硬冲。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销售取得A、B说明；法务评估重大或反复代付。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代付协议/说明、主体资料、银行流水、审批。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SUP-AR-008 短款与争议扣款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客户少付5万元，称为质量索赔。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确认索赔是否有合同依据、质量事实和审批。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应收不直接抹平；有效折让按会计税务流程处理，无依据则继续催收。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质量、销售、法务给事实与商业方案；财务决定账务影响。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索赔函、检测报告、折让审批、红字发票资料。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SUP-AR-009 客户破产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客户仅逾期45天但进入破产程序。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立即停止仅按账龄组合处理，转个别评估并取得法务信息。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估计可收回现金、担保和清偿顺位，计提ECL；税前扣除另按资产损失规则准备。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法务报债权，财务主管复核ECL，管理层批准核销。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法院文件、债权申报、担保资料、ECL底稿、核销审批。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SUP-AR-010 长期逾期但业务仍称会回款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逾期300天，客户多次失约。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把口头乐观与客观证据分开，检查经营、诉讼、资金和最近实付。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升级法务与个别ECL；设最后期限，不以一句“会付”延后风险确认。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销售给商业信息，财务独立作减值判断，法务给追索路径。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催收日志、承诺失约、工商司法信息、ECL审批。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SUP-AR-011 销售要求隐藏争议款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销售担心影响奖金，要求把争议标为正常。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以客户异议和履约事实判断，不以销售标签为准。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争议与逾期可同时存在；风险分类、收入和ECL分别判断。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主管记录分歧并按金额/性质升级。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客户邮件、售后记录、会议纪要、分歧报告。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SUP-AR-012 超额授信反复例外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客户每月都以“本周回款”申请临时放货。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统计例外次数、承诺兑现率和最大敞口。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停止滚动例外，重做信用评估；只有明确对价的方案才审批。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信用管理提出冻结；高层若接受风险须书面确认边界。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例外台账、承诺兑现分析、审批链。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SUP-AR-013 单一客户占应收35%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Top1客户余额占35%，目前未逾期。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风险不只看逾期；分析客户偿付、合同终止、行业和现金依赖。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设集中度上限或预警，增加预收、保险、担保、分散客户及压力测试。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财务经理向管理层报告最坏现金缺口。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集中度报表、客户信用资料、压力测试。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SUP-AR-014 应收增加但收入未增加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收入持平，应收增加30%。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量化DSO、账期结构、未核销、争议、截止和客户组合变化。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形成余额桥接，优先解决回款变慢或异常确认，而非笼统“加强催收”。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AR提供数据，销售解释客户，财务主管出结论和行动。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收入明细、AR快照、账期、回款、争议台账。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SUP-AR-015 拟办理有追索权保理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04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场景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公司为缓解现金压力转让应收并保留追索。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第一步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先审合同中信用风险、回购、控制权和继续涉入，不以产品名称判断终止确认。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处理方案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按金融资产转移准则判断全部/部分终止确认或继续确认及相关负债。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责任与升级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资金、财务、法务共同评估；重大判断由财务负责人批准。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关键证据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保理合同、应收清单、风险收益分析、会计备忘录。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主管复核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确认金额、判断、审批、系统状态和后续限制一致；形成Issue与Closure。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第四部分 工具补强与使用顺序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第一版已有工具</w:t>
            </w:r>
          </w:p>
        </w:tc>
        <w:tc>
          <w:tcPr>
            <w:tcW w:type="dxa" w:w="311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本次新增工具</w:t>
            </w:r>
          </w:p>
        </w:tc>
        <w:tc>
          <w:tcPr>
            <w:tcW w:type="dxa" w:w="4422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关系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客户信用、信用审批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信用评分卡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把定性调查转为可审批评分</w:t>
            </w:r>
          </w:p>
        </w:tc>
      </w:tr>
      <w:tr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应收明细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账龄与逾期账龄</w:t>
            </w:r>
          </w:p>
        </w:tc>
        <w:tc>
          <w:tcPr>
            <w:tcW w:type="dxa" w:w="442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分开两个口径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催收计划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催收升级SLA、催收记录、催款函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补充逐次证据和升级文书</w:t>
            </w:r>
          </w:p>
        </w:tc>
      </w:tr>
      <w:tr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客户对账原则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客户对账函</w:t>
            </w:r>
          </w:p>
        </w:tc>
        <w:tc>
          <w:tcPr>
            <w:tcW w:type="dxa" w:w="442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提供可直接使用的模板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ECL测算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ECL参数与迁徙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补模型依据和回溯</w:t>
            </w:r>
          </w:p>
        </w:tc>
      </w:tr>
      <w:tr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风险红旗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风险预警、集中度分析</w:t>
            </w:r>
          </w:p>
        </w:tc>
        <w:tc>
          <w:tcPr>
            <w:tcW w:type="dxa" w:w="442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把红旗转为排序和量化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看板/管理报告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应收月报、增长分析树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形成管理层一页报告</w:t>
            </w:r>
          </w:p>
        </w:tc>
      </w:tr>
      <w:tr>
        <w:tc>
          <w:tcPr>
            <w:tcW w:type="dxa" w:w="2551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Issue Log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应收会议</w:t>
            </w:r>
          </w:p>
        </w:tc>
        <w:tc>
          <w:tcPr>
            <w:tcW w:type="dxa" w:w="4422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连接跨部门决策和关闭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无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坏账与税务、融资评估、销售绩效挂钩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6"/>
              </w:rPr>
              <w:t>补第一版未覆盖专题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建议顺序：先统一到期日和两个账龄口径；再启用信用评分、催收日志和风险预警；随后补ECL参数、坏账税务和集中度；月末用应收月报和周会Issue完成闭环。</w:t>
      </w:r>
    </w:p>
    <w:p>
      <w:pPr>
        <w:pStyle w:val="Heading1"/>
        <w:keepNext/>
      </w:pPr>
      <w:r>
        <w:t>第五部分 主要依据与边界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文件</w:t>
            </w:r>
          </w:p>
        </w:tc>
        <w:tc>
          <w:tcPr>
            <w:tcW w:type="dxa" w:w="2665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核心用途</w:t>
            </w:r>
          </w:p>
        </w:tc>
        <w:tc>
          <w:tcPr>
            <w:tcW w:type="dxa" w:w="3288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本报告采用的边界</w:t>
            </w:r>
          </w:p>
        </w:tc>
        <w:tc>
          <w:tcPr>
            <w:tcW w:type="dxa" w:w="3118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官方链接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企业内部控制应用指引第9号——销售业务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信用、职责、对账、催收、坏账审批和账销案存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主要适用于执行内控规范体系的企业，其他企业可按规模参考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https://kjs.mof.gov.cn/zhengcefabu/201005/P020230421440664863663.pdf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企业会计准则第22号——金融工具确认和计量（财会〔2017〕7号）</w:t>
            </w:r>
          </w:p>
        </w:tc>
        <w:tc>
          <w:tcPr>
            <w:tcW w:type="dxa" w:w="266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应收减值和预期信用损失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企业应按适用会计制度执行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https://www.mof.gov.cn/zcsjtsgb/gfxwj/201703/t20170331_3583504.htm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财政部2025年会计信息质量检查相关提示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ECL组合、参数和前瞻信息的常见问题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用于说明监管关注，不替代准则原文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https://kjs.mof.gov.cn/gongzuotongzhi/202507/P020250723604047077755.pdf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企业会计准则第23号——金融资产转移（财会〔2017〕8号）</w:t>
            </w:r>
          </w:p>
        </w:tc>
        <w:tc>
          <w:tcPr>
            <w:tcW w:type="dxa" w:w="266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保理等应收转移的终止确认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必须逐合同判断风险报酬、控制和继续涉入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https://www.mof.gov.cn/zcsjtsgb/gfxwj/201703/t20170331_3583505.htm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企业资产损失所得税税前扣除管理办法（税总公告2011年第25号，已修改）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坏账资产损失税前扣除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结合2018年第15号关于资料留存备查的调整使用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https://fgk.chinatax.gov.cn/zcfgk/c100012/c5194226/content.html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民法典</w:t>
            </w:r>
          </w:p>
        </w:tc>
        <w:tc>
          <w:tcPr>
            <w:tcW w:type="dxa" w:w="2665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合同权利、证据和诉讼时效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具体起算、中断、中止和法律措施由法务按个案判断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https://www.cac.gov.cn/2020-06/01/c_1592561777268319.htm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评分区间、账龄段、催收天数、集中度阈值、权限金额和绩效权重属于企业内部管理政策示例，不是会计准则或税法统一要求。企业应结合客户结构、行业、系统能力和风险偏好审批后使用。</w:t>
      </w:r>
    </w:p>
    <w:sectPr w:rsidR="00FC693F" w:rsidRPr="0006063C" w:rsidSect="00034616"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