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360"/>
        <w:jc w:val="center"/>
      </w:pPr>
      <w:r>
        <w:rPr>
          <w:rFonts w:ascii="Calibri" w:hAnsi="Calibri" w:eastAsia="Microsoft YaHei"/>
          <w:b/>
          <w:i w:val="0"/>
          <w:color w:val="A66B14"/>
          <w:sz w:val="22"/>
        </w:rPr>
        <w:t>财务管理实战案例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i w:val="0"/>
          <w:color w:val="1F4D78"/>
          <w:sz w:val="54"/>
        </w:rPr>
        <w:t>第 10 集｜非标产品库存积压与成本差异如何破局</w:t>
      </w:r>
    </w:p>
    <w:p>
      <w:pPr>
        <w:spacing w:after="520"/>
        <w:jc w:val="center"/>
      </w:pPr>
      <w:r>
        <w:rPr>
          <w:rFonts w:ascii="Calibri" w:hAnsi="Calibri" w:eastAsia="Microsoft YaHei"/>
          <w:b w:val="0"/>
          <w:i w:val="0"/>
          <w:color w:val="2E74B5"/>
          <w:sz w:val="28"/>
        </w:rPr>
        <w:t>上市制造企业：从重要性原则、非标定价到标准成本和车间反舞弊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主讲账号：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齐昊老师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发布时间：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2024-09-13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视频时长：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07:34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视频编号：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7413956278709390618</w:t>
      </w:r>
    </w:p>
    <w:p>
      <w:pPr>
        <w:spacing w:after="320"/>
      </w:pPr>
    </w:p>
    <w:p>
      <w:pPr>
        <w:shd w:fill="EAF3EE"/>
        <w:pBdr>
          <w:left w:val="single" w:sz="18" w:space="8" w:color="2F6B4F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2F6B4F"/>
          <w:sz w:val="21"/>
        </w:rPr>
        <w:t xml:space="preserve">核心结论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库存积压看似生产问题，根因可能是非标产品定价、销售折扣和绩效机制共同失控。财务应先解决占用现金的经营问题，再处理标准成本差异，并把合同、BOM、绩效、盘点和反舞弊连成闭环。</w:t>
      </w:r>
    </w:p>
    <w:p>
      <w:pPr>
        <w:shd w:fill="F4F6F9"/>
        <w:pBdr>
          <w:left w:val="single" w:sz="18" w:space="8" w:color="64748B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64748B"/>
          <w:sz w:val="21"/>
        </w:rPr>
        <w:t xml:space="preserve">整理口径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依据公开视频静默转写并结构化改写；不是逐字稿。视频中的金额、税率与政策口径保留其发表时语境，实际工作应按最新法规和具体事实复核。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一页总览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4"/>
        <w:gridCol w:w="7056"/>
      </w:tblGrid>
      <w:tr>
        <w:trPr>
          <w:tblHeader w:val="true"/>
        </w:trPr>
        <w:tc>
          <w:tcPr>
            <w:tcW w:type="dxa" w:w="23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节点</w:t>
            </w:r>
          </w:p>
        </w:tc>
        <w:tc>
          <w:tcPr>
            <w:tcW w:type="dxa" w:w="70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核心内容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两个难题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标准成本差异大 → 设备品类多、周期长、库存积压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优先级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先解决库存和现金占用 → 再优化核算差异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核心根因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非标需求泛滥 → 按标准设备定价并折扣 → 免费追加配件 → 毛利被侵蚀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整改闭环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财务参与合同 → 非标重新报价 → 协同制定标准 → 绩效约束 → 车间稽查</w:t>
            </w:r>
          </w:p>
        </w:tc>
      </w:tr>
    </w:tbl>
    <w:p>
      <w:pPr>
        <w:shd w:fill="FFF7E8"/>
        <w:pBdr>
          <w:left w:val="single" w:sz="18" w:space="8" w:color="A66B14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A66B14"/>
          <w:sz w:val="21"/>
        </w:rPr>
        <w:t xml:space="preserve">逻辑主线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识别商业事实 → 找到管理根因 → 把财务控制嵌入业务流程 → 用数据支持经营决策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一、案例背景与两个紧急问题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企业背景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学员来自一家已上市五六年的生产制造企业，设备机型多、生产周期长。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销售取得订单后，生产不能按期交付可能失去客户；提前备货又可能因没有订单而积压。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两个问题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企业采用标准成本法，但标准成本与实际成本差异过大。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设备种类多、交付周期长，产销协同失效导致库存积压。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二、重要性原则：先解决库存，再解决核算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为什么库存更优先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成本差异首先是核算准确性问题，而库存会真实占用现金、产生仓储和跌价风险。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财务负责人应优先解决经营问题和现金流问题，再逐步修正核算偏差。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从竞争对手反推效率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竞争对手生产同类产品约需一个月，而案例企业需要两个月，差距提示内部效率存在问题。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检查工艺是否落后、设备是否陈旧、人效和机效是否不足、流程是否重复、场地布局是否合理。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财务应到现场理解流程，用交付周期和在制天数验证改善，而不是停留在“产研销协同不足”的抽象结论。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三、真正根因：低毛利非标产品失控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非标产品为什么越来越多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上市制造企业本应具备批量化、标准化生产能力，但库存中大量产品是客户定制的非标设备。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非标设备毛利率口径约25%，与其复杂度和交付风险并不匹配。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销售制度放大非标需求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客户购买非标设备，销售却按标准设备售价成交，并可继续使用销售折扣。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公司先交付标准设备，后续再免费安装特殊配件，相当于客户获得“折上折”。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销售人员可以用公司资源讨好客户，自然倾向推荐非标产品，削弱标准化生产。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真实毛利比25%更低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后续特殊配件和人工未进入原设备生产成本，可能计入销售等期间费用。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账面产品毛利未完整反映定制成本，管理层容易高估产品盈利能力。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非标越多，采购品种、在制品和专用库存越多，最终形成库存积压和交付复杂度。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四、非标产品的四项整改动作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财务参与合同洽谈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所有非标设备合同应由财务、研发、生产和销售共同评审，确认成本、交期、付款和验收条件。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重新定价报价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将特殊配件、额外人工、研发、安装和售后风险纳入非标报价，不再简单沿用标准设备价格。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将额外成本计入折扣与绩效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若销售坚持优惠，应把非标增加的配件和人工计入其折扣额度或绩效评价，避免成本由公司无条件承担。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4. 同时检验产品竞争力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如果不提供非标优惠就无法成交，可能说明标准产品竞争力下降，需要研发改进产品，而不只是压缩折扣。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同步评估销售激励是否真正鼓励利润、回款和标准产品，而不是只鼓励签单。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五、标准成本差异的分析路径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先定位差异来源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分别检查原材料、人工和制造费用标准；对于成熟上市企业，视频判断原材料标准可能是主要差异来源。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标准不能只由研发制定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案例企业由研发部门单独制定BOM和材料标准成本，但研发未必熟悉采购价格波动和实际生产损耗。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建议由研发、生产和采购协同制定，财务负责规则、数据验证和差异分析。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把准确性纳入绩效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视频建议在研发、生产绩效中设置约5%—10%的权重，约束标准成本与实际成本偏差。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考核应先明确合理偏差阈值和不可控因素，避免为了达标而隐藏损耗或调整数据。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4. 提高更新频率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案例企业每年更新一次标准成本；当材料和工艺变化较快时，可缩短到每半年或设置重大波动触发更新。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六、车间稽查：成本差异背后可能是舞弊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检查产品合格率与报损率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合格率下降或报损率异常会扩大实际成本与标准成本差异。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不能只接受生产部门的报损结果，要验证原因、实物、审批、供应商补货和废品处置。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虚假报损案例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视频案例中，生产人员将完好的激光管故意报损，供应商以质量问题免费补货，原配件再被私下出售。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控制点包括技术复核、报损实物封存、供应商补货台账、废品处置和异常人员/供应商关联分析。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边角料与残余物资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生产车间常见风险还包括边角料、废料和管道残余油品被私自带走。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这些物资虽不在成品仓库，但仍需称重、登记、出售审批和回款核对。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4. 半成品与在制品盘点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财务盘点不能只盯产成品，应覆盖半成品和在制品。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频繁盘盈盘亏可能暴露领料、报工、完工程度、转序或舞弊问题。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七、财务负责人应形成的整改闭环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决策优先级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按现金占用和经营影响排序：库存与交付 → 非标定价与合同 → 标准成本差异 → 核算细节。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业务财务协同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把财务嵌入销售合同、研发BOM、采购价格、生产耗用、绩效和盘点，而不是月末被动算差异。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管理看板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非标订单占比、非标毛利、交付周期、在制品天数、库存周转、标准成本差异、合格率、报损率和盘点差异。</w:t>
      </w:r>
    </w:p>
    <w:p>
      <w:pPr>
        <w:keepNext/>
        <w:spacing w:before="120" w:after="120"/>
      </w:pPr>
      <w:r>
        <w:rPr>
          <w:rFonts w:ascii="Calibri" w:hAnsi="Calibri" w:eastAsia="Microsoft YaHei"/>
          <w:b/>
          <w:i w:val="0"/>
          <w:color w:val="2E74B5"/>
          <w:sz w:val="32"/>
        </w:rPr>
        <w:t>来源与准确性说明</w:t>
      </w:r>
    </w:p>
    <w:p>
      <w:pPr>
        <w:spacing w:after="60" w:line="264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视频来源：</w:t>
      </w:r>
      <w:r>
        <w:rPr>
          <w:rFonts w:ascii="Calibri" w:hAnsi="Calibri" w:eastAsia="Microsoft YaHei"/>
          <w:b w:val="0"/>
          <w:i w:val="0"/>
          <w:color w:val="203040"/>
          <w:sz w:val="22"/>
        </w:rPr>
        <w:t>抖音账号“齐昊老师”，学员实战案例第 10 集；视频编号 7413956278709390618。</w:t>
      </w:r>
    </w:p>
    <w:p>
      <w:pPr>
        <w:spacing w:after="40"/>
      </w:pPr>
      <w:r>
        <w:rPr>
          <w:rFonts w:ascii="Calibri" w:hAnsi="Calibri" w:eastAsia="Microsoft YaHei"/>
          <w:b/>
          <w:i w:val="0"/>
          <w:color w:val="64748B"/>
          <w:sz w:val="20"/>
        </w:rPr>
        <w:t>原链接：</w:t>
      </w:r>
      <w:r>
        <w:rPr>
          <w:rFonts w:ascii="Calibri" w:hAnsi="Calibri" w:eastAsia="Microsoft YaHei"/>
          <w:b w:val="0"/>
          <w:i w:val="0"/>
          <w:color w:val="64748B"/>
          <w:sz w:val="18"/>
        </w:rPr>
        <w:t>https://www.douyin.com/user/self?from_tab_name=main&amp;modal_id=7413956278709390618&amp;showSubTab=favorite_folder&amp;showTab=favorite_collection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i w:val="0"/>
        <w:color w:val="64748B"/>
        <w:sz w:val="18"/>
      </w:rPr>
      <w:t xml:space="preserve">第 </w:t>
    </w:r>
    <w:r>
      <w:rPr>
        <w:rFonts w:ascii="Calibri" w:hAnsi="Calibri" w:eastAsia="Microsoft YaHei"/>
        <w:b w:val="0"/>
        <w:i w:val="0"/>
        <w:color w:val="64748B"/>
        <w:sz w:val="18"/>
      </w:rPr>
      <w:fldChar w:fldCharType="begin"/>
      <w:instrText xml:space="preserve">PAGE</w:instrText>
      <w:fldChar w:fldCharType="end"/>
    </w:r>
    <w:r>
      <w:rPr>
        <w:rFonts w:ascii="Calibri" w:hAnsi="Calibri" w:eastAsia="Microsoft YaHei"/>
        <w:b w:val="0"/>
        <w:i w:val="0"/>
        <w:color w:val="64748B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YaHei"/>
        <w:b/>
        <w:i w:val="0"/>
        <w:color w:val="64748B"/>
        <w:sz w:val="18"/>
      </w:rPr>
      <w:t>齐昊老师 · 学员实战案例 第 10 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abstractNum w:abstractNumId="9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90">
    <w:abstractNumId w:val="90"/>
  </w:num>
  <w:num w:numId="9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齐昊老师学员实战案例第10集：非标产品库存积压与成本差异如何破局</dc:title>
  <dc:subject>财务管理与财务总监实战案例整理</dc:subject>
  <dc:creator>Codex</dc:creator>
  <cp:keywords>财务管理, 财务经理, 财务总监, 业财融合, 实战案例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