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16 集｜物流企业财务管理实务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从运输模式、装载效率到时效产品与网络货运平台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2024-12-25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07:17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7452194604826381579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物流业的利润取决于运输组织而不只是会计核算。财务应比较自营、外协和网络货运平台的全成本，盯住装载率、车辆利用率、返程空驶、货损和客单价，并通过时效产品差异化改善低毛利结构。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运输模式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自营车辆 → 外协车辆 → 第三方物流 → 网络货运平台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核心成本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人工与折旧 → 油费与通行费 → 外协运费 → 货损、税费与平台费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效率指标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重泡比/装载率 → 路线效率 → 车型匹配 → 车辆利用率与返程配货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盈利突破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普通货运低毛利 → 时效卡班产品 → 差异化定价 → 毛利与净利改善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一、先区分物流企业的四种业务组织方式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自营项目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企业以自有车辆、司机和调度团队完成运输，对运输过程、客户体验和货物控制力较强。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主要成本包括司机及运营人员工资、车辆折旧、燃油、ETC及过桥过路费、维修、保险和车辆税费。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财务不能只看单趟运费收入，应把空驶、等待、维修停运和资金占用计入全成本。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外协车辆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外协承运人可能是个体工商户或个人司机，现实难点集中在合规凭证、运力稳定性和责任界定。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视频提出可比较网络货运平台、承运人依法开票以及油卡与劳务报酬等安排；任何方案都必须基于真实业务、合法支付和现行税务规则。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第三方物流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企业接受客户委托后再组织其他承运方运输，需明确自己是主要责任人还是代理人，并据此判断收入确认口径。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承运、货权、赔偿和回款责任必须在合同中写清，不能仅因能够调度车辆就当然按全额法核算。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网络货运平台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平台本身不一定拥有车辆，司机或个体承运人注册后承接平台订单，客户在平台发布任务并预充值。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平台通过定位、车载摄像头和驾驶状态监测形成运输证据，并向客户提供结算和开票服务。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二、应收对账和收款必须与业务岗位分离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财务直接与客户对账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视频强调客户对账应由财务部门执行，而不是完全交给业务人员。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财务根据合同、运输单、签收单、结算单和发票核对收入与应收，业务部门负责解释业务差异。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回款进入公司账户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收款通知、到账认领和核销由财务控制，避免业务人员代收、截留或卷款。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建立客户余额确认、逾期催收和异常收款复核机制，形成订单—运输—签收—开票—回款闭环。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货物控制的法律边界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视频提到在客户严重逾期或出现风险时通过控制货物减少损失。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企业不得自行任意扣押或处置货物；是否享有留置、变价或其他权利，应以合同、货权事实和现行法律为准并取得法律意见。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三、物流经营必须盯住五类关键指标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重泡比与装载率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车辆同时受载重和容积限制，财务与调度要关注重货、泡货的组合，使车辆在长宽高和核定载重范围内实现毛利最大化。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建议按线路、车型和客户计算吨位利用率、容积利用率及单车毛利。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路线与司机效率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司机熟悉路线、路况、限行、装卸点和客户时间窗，能够减少绕行、等待和违章成本。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可跟踪计划里程与实际里程差、准时率、等待时长和百公里成本。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车型匹配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厢式货车与平板货车的容量、装卸效率、货物保护和适用场景不同，不能用一个成本标准管理所有车型。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货损货差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货损、短少和索赔会直接吞噬低毛利，应记录责任环节、承运人、客户、线路和赔付金额。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 客单价与单票贡献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运价必须覆盖直接成本、空驶分摊、平台费、税费和风险成本；低价订单也要看是否能提高返程利用率或线路密度。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四、自有车辆的核心是提高利用率并减少空驶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视频给出的利用率目标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案例把自有车辆利用率80%以上作为观察目标，实际应明确按出勤天数、行驶里程、载货里程还是有效工时计算。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该比例是视频经验值，需按行业、车型、线路和旺淡季重新设定。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甩挂运输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车头到达目的地后卸下挂车，再牵引其他挂车返程，减少车头等待装卸的时间。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适合货量稳定、场站衔接和标准化程度较高的线路。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去程整车、回程零担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去程承运单一客户整车货物，回程通过多个客户拼货降低空驶。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零担会增加集货、装卸、分拨和货损管理难度，更适合客户集中、园区或厂站资源丰富的区域。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五、用全成本比较自营、外协和平台方案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三种方案不能只比报价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自营方案加入折旧、司机、油路费、保险、维修、空驶和管理成本；外协方案加入运费、开票及质量风险；平台方案加入服务费和资金预充值成本。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同一线路应计算含税总成本、可抵扣进项、现金流时点、索赔责任和服务稳定性。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税率和凭证口径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视频在发表时提到运输发票9%及平台服务费发票6%等口径，并举例平台服务费约占订单金额5%—6%。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税率、开票主体和抵扣条件具有时效性，必须按最新税法、真实交易和企业实际纳税人身份复核。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六、物流企业的利润率与产品差异化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视频案例中的行业水平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某大型国企物流公司毛利率约10%—20%，净利率约2%—3%，较好年份净利率约4%。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视频认为部分规模型企业还依赖符合条件的税收优惠和财政补贴；补贴不可替代主营业务盈利能力。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高利润案例的关键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另一案例企业毛利率约30%、净利率约10%，核心来自产品差异化而非单纯压低成本。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普通货运毛利较低，高时效‘卡班’产品承诺固定线路在规定时间内送达，未达时退运费，以时效溢价获得更高毛利。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为兑现承诺，案例选用有经验司机并配置双司机轮换；财务要把额外人工、赔付概率和高毛利同时纳入产品测算。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七、网络货运与快递网点的盈利逻辑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网络货运平台主要解决合规与组织效率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平台汇集社会车辆、形成轨迹和结算证据，为大型企业提供运力组织、税务凭证和风控支持。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平台并不必然带来最低价格，应对比服务费、运价、预充值占用、承运质量和税务合规成本。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做大交易流水后可能取得地方奖励或财政补贴，但应按政策条件和会计准则谨慎确认。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快递网点的不同模型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快递体系通常由总部、分拨中心、直营网点、加盟网点和承包站点构成，不能完全套用整车物流模型。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视频提到一级网点毛利率约10%—15%，利润还受面单基数及超量补贴影响；具体规则以各快递网络合同为准。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建议的财务看板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按线路、客户、车型展示收入、吨公里收入、单票毛利、装载率、车辆利用率、载货里程率、准时率和货损率。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同时展示自营/外协/平台成本差、应收账龄、回款率、平台费率和补贴依赖度。</w:t>
      </w:r>
    </w:p>
    <w:p>
      <w:pPr>
        <w:keepNext/>
        <w:spacing w:before="120" w:after="120"/>
      </w:pPr>
      <w:r>
        <w:rPr>
          <w:rFonts w:ascii="Calibri" w:hAnsi="Calibri" w:eastAsia="Microsoft YaHei"/>
          <w:b/>
          <w:i w:val="0"/>
          <w:color w:val="2E74B5"/>
          <w:sz w:val="32"/>
        </w:rPr>
        <w:t>来源与准确性说明</w:t>
      </w:r>
    </w:p>
    <w:p>
      <w:pPr>
        <w:spacing w:after="6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视频来源：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抖音账号“齐昊老师”，学员实战案例第 16 集；视频编号 7452194604826381579。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64748B"/>
          <w:sz w:val="20"/>
        </w:rPr>
        <w:t>原链接：</w:t>
      </w:r>
      <w:r>
        <w:rPr>
          <w:rFonts w:ascii="Calibri" w:hAnsi="Calibri" w:eastAsia="Microsoft YaHei"/>
          <w:b w:val="0"/>
          <w:i w:val="0"/>
          <w:color w:val="64748B"/>
          <w:sz w:val="18"/>
        </w:rPr>
        <w:t>https://www.douyin.com/user/self?from_tab_name=main&amp;modal_id=7452194604826381579&amp;showSubTab=favorite_folder&amp;showTab=favorite_collection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16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齐昊老师学员实战案例第16集：物流企业财务管理实务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