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60"/>
        <w:jc w:val="center"/>
      </w:pPr>
      <w:r>
        <w:rPr>
          <w:rFonts w:ascii="Calibri" w:hAnsi="Calibri" w:eastAsia="Microsoft YaHei"/>
          <w:b/>
          <w:i w:val="0"/>
          <w:color w:val="A66B14"/>
          <w:sz w:val="22"/>
        </w:rPr>
        <w:t>财务管理实战案例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i w:val="0"/>
          <w:color w:val="1F4D78"/>
          <w:sz w:val="54"/>
        </w:rPr>
        <w:t>第 18 集｜第三方检测机构业财改革</w:t>
      </w:r>
    </w:p>
    <w:p>
      <w:pPr>
        <w:spacing w:after="520"/>
        <w:jc w:val="center"/>
      </w:pPr>
      <w:r>
        <w:rPr>
          <w:rFonts w:ascii="Calibri" w:hAnsi="Calibri" w:eastAsia="Microsoft YaHei"/>
          <w:b w:val="0"/>
          <w:i w:val="0"/>
          <w:color w:val="2E74B5"/>
          <w:sz w:val="28"/>
        </w:rPr>
        <w:t>从个人收款、合同台账到业务拆分与老板沟通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主讲账号：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齐昊老师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发布时间：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2025-01-08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视频时长：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04:38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视频编号：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7457366969566678326</w:t>
      </w:r>
    </w:p>
    <w:p>
      <w:pPr>
        <w:spacing w:after="320"/>
      </w:pPr>
    </w:p>
    <w:p>
      <w:pPr>
        <w:shd w:fill="EAF3EE"/>
        <w:pBdr>
          <w:left w:val="single" w:sz="18" w:space="8" w:color="2F6B4F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2F6B4F"/>
          <w:sz w:val="21"/>
        </w:rPr>
        <w:t xml:space="preserve">核心结论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核算工作再繁重，也不一定能让老板看见财务价值。案例中的财务负责人从企业资金安全和收入缺口出发，统一公司收款、重建合同总额与执行额台账，并按客户或业务类型拆分新公司，使财务从记账者转为经营秩序的设计者。</w:t>
      </w:r>
    </w:p>
    <w:p>
      <w:pPr>
        <w:shd w:fill="F4F6F9"/>
        <w:pBdr>
          <w:left w:val="single" w:sz="18" w:space="8" w:color="64748B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64748B"/>
          <w:sz w:val="21"/>
        </w:rPr>
        <w:t xml:space="preserve">整理口径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依据公开视频静默转写并结构化改写；不是逐字稿。视频中的金额、税率与政策口径保留其发表时语境，实际工作应按最新法规和具体事实复核。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一页总览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056"/>
      </w:tblGrid>
      <w:tr>
        <w:trPr>
          <w:tblHeader w:val="true"/>
        </w:trP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节点</w:t>
            </w:r>
          </w:p>
        </w:tc>
        <w:tc>
          <w:tcPr>
            <w:tcW w:type="dxa" w:w="70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核心内容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企业特征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第三方检测 → 小额订单多 → 核算量大 → 高毛利、高净利的服务业务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收款改革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禁止个人二维码 → 企业统一收款 → 到账认领与核销 → 降低舞弊和税务风险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合同改革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合同总额与执行额分开 → 业务财务口径统一 → 委托书作为审核依据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组织拆分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按客户或业务类型划分 → 四流一致 → 便于内控、分析与后续复制</w:t>
            </w:r>
          </w:p>
        </w:tc>
      </w:tr>
    </w:tbl>
    <w:p>
      <w:pPr>
        <w:shd w:fill="FFF7E8"/>
        <w:pBdr>
          <w:left w:val="single" w:sz="18" w:space="8" w:color="A66B14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A66B14"/>
          <w:sz w:val="21"/>
        </w:rPr>
        <w:t xml:space="preserve">逻辑主线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识别商业事实 → 找到管理根因 → 把财务控制嵌入业务流程 → 用数据支持经营决策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一、检测机构的业务与财务特点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三类检测业务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案例企业将业务划分为生物检测、理化检测和机械测试三类，为后续分部核算和经营分析建立基础。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年度营收约8000万—9000万元、员工100多人；在检测服务行业已具备一定规模，不能与商贸企业仅按收入绝对值比较。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视频给出的盈利水平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案例毛利率超过50%、净利率约25%，视频据此认为费用控制较好。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这些是单一企业案例值，实际分析还应看业务组合、实验室折旧、人员成本、认证资质和现金回收。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小订单、大批量导致核算繁重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单笔订单金额小但数量大，带来大量合同、收款、发票和项目核算工作。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财务人员容易长期陷入记账和发票审核，却缺少经营分析，因此难以让管理层看到更高价值。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二、从个人二维码收款切入资金安全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原流程的三类风险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业务人员甚至老板使用个人二维码收取客户款项，导致财务账与实际资金不一致。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款项绕开公司账户容易产生截留和舞弊，应收与预收长期挂账也难以核销。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个人代收还可能带来收入完整性、发票及纳税申报风险。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改为企业统一收款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停止未经授权的个人收款码，由公司申请统一二维码或对公账户收款。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建立付款备注、到账认领、客户匹配、合同匹配和会计核销流程；退款也必须沿原路径审批。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先从老板关心的角度沟通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案例没有只强调会计规范，而是先说明资金混乱会导致贪腐和老板无法掌握真实收入。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财务提出改革时，应把专业问题翻译成资金安全、利润损失和经营失控，让管理层形成共同目标。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三、合同总额与当前执行额必须同时可见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原业务系统只录确定执行部分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例如客户签订20万元检测委托，但先试做2万元项目；业务人员只在系统录入2万元，剩余合同机会留在个人小账本。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结果是企业不知道完整合同储备、未来可执行金额和客户后续需求，也容易造成项目或应收遗漏。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管理口径与会计口径要区分并衔接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业务系统应记录合同总额、当前委托/执行额、累计完成额、已开票、已收款和剩余待执行额。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合同总额不等于当期会计收入或应收账款；收入仍应按履约、验收和会计准则确认，未执行部分列入合同储备或在手订单。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这样既统一业务与财务的数据来源，又避免把未履约金额提前确认为收入。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四、借助绩效沟通收回分散的小账本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让老板先重视收入缺口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财务先向老板说明：合同总额未进入系统，老板和财务都无法知道公司真正拥有多少订单。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管理改革不能只靠财务单方面催促，需要老板公开支持并承担推动责任。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用正向激励取得完整信息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老板以了解订单总量、优化绩效和论功行赏为理由，请业务人员上交各自账本。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业务人员主动提供完整订单信息后，财务核查发现100多万元业务或应收未录入系统。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这一做法的管理启示是用共同利益减少阻力，但最终仍要靠制度和系统消除个人台账。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五、重建销售录入与财务审核流程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统一培训与字段口径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财务和老板共同培训业务人员，明确合同总额、当前委托金额、执行进度和收款状态的定义。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所有录入附检测委托书或合同作为依据，关键金额与原始文件一致后才能审核通过。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建立持续检查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定期核对合同台账、业务系统、项目系统、开票和银行流水，识别未录入、重复录入和长期未执行合同。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建议设置合同覆盖率、未录入金额、在手订单、项目转化率、回款率和账龄指标。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六、新公司应按客户或业务类型拆分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不宜简单按金额切割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企业计划在江苏设立新公司，原设想是2万元以下项目由江苏承接、2万元以上由北京承接。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仅按金额分配会让同一客户、合同或服务流程跨主体，增加签约、交付、开票和回款混乱。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按客户或业务类型形成清晰边界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按区域客户、检测业务类型或完整服务链划分，使合同、业务、发票和资金流向同一经营主体。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清晰边界有利于内部控制、责任考核、分部财务分析，也便于未来复制新的子公司。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具体拆分还应评估资质许可、实验室能力、关联交易、转移定价和税务影响。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七、从核算人员成长为管理型财务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老板能看见的财务价值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核算准确及时是底线；更高层价值是保护资金、找出收入缺口、统一业务规则和支持组织扩张。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财务应把问题表达为老板关心的风险、利润、现金和增长，而不是只说科目或凭证不规范。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建议的经营分析维度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按生物、理化和机械测试展示收入、毛利、项目数量、客单价、实验室产能、人效和回款周期。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按客户展示合同总额、已执行、待执行、已开票、已回款、应收账龄和复购。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财务经理的推进顺序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先解决资金入口，再补齐合同与业务数据，随后建立分部分析，最后参与新主体和组织边界设计。</w:t>
      </w:r>
    </w:p>
    <w:p>
      <w:pPr>
        <w:keepNext/>
        <w:spacing w:before="120" w:after="120"/>
      </w:pPr>
      <w:r>
        <w:rPr>
          <w:rFonts w:ascii="Calibri" w:hAnsi="Calibri" w:eastAsia="Microsoft YaHei"/>
          <w:b/>
          <w:i w:val="0"/>
          <w:color w:val="2E74B5"/>
          <w:sz w:val="32"/>
        </w:rPr>
        <w:t>来源与准确性说明</w:t>
      </w:r>
    </w:p>
    <w:p>
      <w:pPr>
        <w:spacing w:after="6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视频来源：</w:t>
      </w:r>
      <w:r>
        <w:rPr>
          <w:rFonts w:ascii="Calibri" w:hAnsi="Calibri" w:eastAsia="Microsoft YaHei"/>
          <w:b w:val="0"/>
          <w:i w:val="0"/>
          <w:color w:val="203040"/>
          <w:sz w:val="22"/>
        </w:rPr>
        <w:t>抖音账号“齐昊老师”，学员实战案例第 18 集；视频编号 7457366969566678326。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64748B"/>
          <w:sz w:val="20"/>
        </w:rPr>
        <w:t>原链接：</w:t>
      </w:r>
      <w:r>
        <w:rPr>
          <w:rFonts w:ascii="Calibri" w:hAnsi="Calibri" w:eastAsia="Microsoft YaHei"/>
          <w:b w:val="0"/>
          <w:i w:val="0"/>
          <w:color w:val="64748B"/>
          <w:sz w:val="18"/>
        </w:rPr>
        <w:t>https://www.douyin.com/user/self?from_tab_name=main&amp;modal_id=7457366969566678326&amp;showSubTab=favorite_folder&amp;showTab=favorite_collection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4748B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64748B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b w:val="0"/>
        <w:i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/>
        <w:i w:val="0"/>
        <w:color w:val="64748B"/>
        <w:sz w:val="18"/>
      </w:rPr>
      <w:t>齐昊老师 · 学员实战案例 第 18 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9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齐昊老师学员实战案例第18集：第三方检测机构业财改革</dc:title>
  <dc:subject>财务管理与财务总监实战案例整理</dc:subject>
  <dc:creator>Codex</dc:creator>
  <cp:keywords>财务管理, 财务经理, 财务总监, 业财融合, 实战案例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