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22 集｜集团融资资金风险管控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从财务委派、专户管理到总部审批权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2025-02-03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03:23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7467009359701167411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集团融资后把资金投向子公司，不能只依赖合同和发票。总部应把资金用途、财务人员汇报与考核、专户流水、支付审批和股东治理连成一体；全资与控股子公司要采用不同的法律和治理路径。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融资背景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6家子公司 → 年营收40多亿元 → 贸易毛利低 → 集团低成本融资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核心风险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银行限定用途 → 资金下拨子公司 → 贸易真实性与回款风险 → 少数股东治理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管控抓手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总部委派财务 → 考核汇报归总部 → 贷款专户 → U盾与审批权集中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合规边界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贷款合同 → 公司治理 → 关联资金往来 → 国资与少数股东权益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一、案例集团的融资与资金难题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低毛利贸易集团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案例集团拥有约6家子公司，具有国资背景，年度营收40多亿元，主营农产品等贸易业务。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视频称综合毛利率不足5%，部分业务还承担规模或政策任务，因此资金周转和风险控制比账面毛利更关键。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低成本融资附带用途限制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集团融资成本约2.55%、低于3%，银行要求资金用于农产品业务，并基于下属企业合同和发票安排融资。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资金优势只有在真实、合规且能回收的业务中才有价值，不能为了使用额度而放大低毛利或高风险交易。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二、资金下拨前先识别五类风险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贷款用途与贸易真实性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资金流向必须符合银行合同约定、真实交易和监管要求，不能仅凭形式上的合同和发票证明用途。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低毛利覆盖能力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比较毛利、融资成本、票据期限、贴现费用、坏账和存货价格风险，确认风险调整后的净收益为正。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子公司信用与回款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评估子公司现金流、客户质量、库存、应收账龄、担保和到期偿还来源。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少数股东和治理风险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控股子公司使用集团资金会涉及少数股东利益、同股同权、关联交易和决策权限，不能照搬全资子公司做法。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集团流动性集中风险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任何子公司占用或损失都会由集团承担融资偿还压力，应设置集中度、期限错配和风险限额。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三、财务委派必须同时配套考核与汇报权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只有名义委派不够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案例子公司财务总监或财务经理由集团委派，但考核不在总部，容易在实际工作中只服从子公司总经理。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建立对总部负责的管理链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视频建议劳动关系、绩效考核、任免和职业发展由总部掌握，并要求委派财务每周汇报。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具体安排应与公司章程、劳动法律、国资监管和子公司治理文件一致，不能以内部口头要求替代合法程序。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汇报内容要围绕资金风险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周报至少覆盖账户余额、贷款使用、合同执行、库存、应收、逾期、异常付款和预计现金缺口。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四、贷款专户实现用途和流水可追踪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资金单独存放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为贷款设立专门账户，与日常收款和其他经营资金分开，形成清晰的资金来源与用途链。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视频提出该账户主要用于支出；实际是否允许收款、归集或回款，应以银行协议和资金管理制度为准。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周期性核查流水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总部按周或按月取得银行流水，逐笔匹配合同、采购、发票、验收和审批，识别资金回流、挪用或异常对手方。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建立项目资金台账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记录贷款批次、到期日、利率、用途、子公司、交易对手、支付金额、回款和剩余额度。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五、集中U盾和审批权但要保持职责分离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支付授权留在总部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视频建议把银行U盾或审批权限集中在总部，并按金额设置总部签批门槛。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集中不是让一个人包办，应保持经办、复核、授权、记账和对账分离，关键权限实行双人或多级控制。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权限矩阵按风险分级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日常低风险付款可由子公司在预算和合同范围内办理；大额、非预算、关联方或异常付款由总部升级审批。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保留日志和应急机制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定期复核网银权限、U盾保管、操作日志和人员变动，设置停用、替补和紧急支付流程。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六、全资与控股子公司采用不同管控路径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全资子公司侧重集团授权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可通过集团制度、预算、资金池、财务委派和内部借款合同实现集中管理。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控股子公司必须尊重少数股东权益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资金安排需要依据章程、股东会或董事会权限、关联交易规则及同股同比例原则决定。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集团单方面抽调或控制资金可能引发公司治理和利益输送争议，应由法务、财务和治理部门共同审查。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建议的资金风险看板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按子公司展示贷款余额、用途合规率、资金占用、回款覆盖、应收账龄、库存周转、逾期和担保敞口。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集团层面展示融资成本、到期结构、集中度、现金覆盖倍数、异常支付和审批时效。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22 集；视频编号 7467009359701167411。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https://www.douyin.com/user/self?from_tab_name=main&amp;modal_id=7467009359701167411&amp;showSubTab=favorite_folder&amp;showTab=favorite_collection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22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齐昊老师学员实战案例第22集：集团融资资金风险管控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