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23 集｜再生材料降本与供应链信用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从成本结构、技术升级到供应商与客户信用管理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2025-02-07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05:17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7468276826993888539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当费用率已经较低，财务管理的重点应从继续压费用转向产品、材料、技术和商业模式。案例企业通过再生材料研发与认证降低原料成本、稳定供应，并用及时付款和预收锁价建立上下游信用。财务的价值是把技术、产品、现金和风险连接成可验证的经营闭环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经营底盘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营收约1亿元 → 毛利率约18% → 净利率约8% → 费用率约10%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核心降本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研发再生材料 → 获得GRS认证 → 原料每吨降约2000元 → 供应更稳定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业务转型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建筑保温板 → 防火材料 → 泡沫塑料颗粒 → 包装需求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信用管理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按期付供应商 → 提升议价与服务 → 客户预付锁价 → 逾期依法追收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一、先判断利润改善应从哪里下手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费用率低时，继续压费空间有限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案例企业生产建筑外墙保温用泡沫塑料颗粒，视频口径为年营收约1亿元、毛利率约18%、净利率约8%，费用率约10%。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费用率已经较低时，单纯削减人员、差旅和办公费可能伤害能力；应把重点转向材料成本、产品结构、产能利用和商业模式。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房地产下行暴露单一需求风险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建筑保温需求受房地产周期影响明显，企业需要寻找包装等替代场景，降低对单一终端行业的依赖。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财务应按应用场景拆分收入、毛利、订单和回款，识别真正能支撑转型的产品。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二、再生材料是技术、成本与市场的联合项目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研发与认证构成进入门槛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案例称企业在2024年由老板和技术团队开发再生材料生产方案，并取得全球回收标准GRS认证。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认证价值不只在宣传，还可能影响客户准入、溯源要求和出口订单；实施前应核实认证范围、有效期和客户接受度。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降本要核算完整经济性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视频称再生原料可使材料成本每吨下降约2000元，并提高价格稳定性；该数字属于个案口径。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项目评价应同时计入研发、改线、检测、认证、良率、废品、能耗和售后成本，不能只比较采购单价。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三、产品迭代决定企业能否跨越周期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企业经历了多轮产品转换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企业早期做外墙保温板，利润较薄；随后引入韩国技术做防火涂层或材料，初期利润较高，后来因市场模仿而下降。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再转向泡沫塑料颗粒，并从建筑保温延伸到泡沫包装，说明竞争优势需要持续迭代。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大合同不能替代风险评估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视频提到与韩国LG签订约4亿至6亿元合同；这是案例陈述，需复核合同主体、金额、期限、最低采购量和履约条件。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财务应做产能、原料、汇率、质量、客户集中度和回款压力测试，区分框架金额与可确认收入。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四、供应商信用本身就是经营资产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不欠供应商不是保守，而是主动选择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案例企业基本无应付账款，按约及时付款，由此获得更稳定供货、定制服务和一定议价空间。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无理由拖延付款会损伤信用；如果留存现金又没有高回报用途，账期并不会自动创造价值。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付款策略仍需匹配现金循环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及时付款并不等于所有采购都现结，应结合合同账期、质量验收、客户回款、资金成本和供应商风险设计付款条件。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建议看板：准时交付率、质量合格率、采购价差、付款及时率、供应中断次数和供应商集中度。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五、客户锁价必须与现金和履约绑定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预付款是锁价的对价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企业在春节前与客户确定下一年度或季度价格，客户支付预付款后才获得锁价；没有预付款则不锁价。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财务应测算锁价数量、原料套保或备货成本、价格波动区间、退款条件和履约能力。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逾期应收要形成分层处置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案例对逾期应收采取诉讼追收，体现信用纪律；实际应先建立账龄、催收记录、争议原因和可回收性评估。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诉讼需要综合证据、成本、客户关系和执行可能性，并按会计政策计提信用减值。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六、老板、技术与财务的职责边界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产品和模式转型必须由经营者牵头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老板应对产品方向、研发资源和商业模式负责，技术团队完成方案验证，销售验证客户需求。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财务不能单独拯救产品，但能用数据检验单位经济性、现金需求、投资回报和风险边界。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财务管理不等于税务筹划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视频强调资金管理、财务分析、全面预算、并购和内部控制等模块；税务筹划只是其中一部分。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财务负责人应从核算合规升级为经营决策支持，同时避免用节税替代真实利润改善。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七、可落地的经营分析清单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建立产品与材料双层利润表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按产品、应用场景和客户展示售价、原料耗用、良率、加工成本、认证成本、毛利和现金贡献。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比较原生料与再生料的标准成本、实际成本、质量损失和价格波动，月度追踪偏差。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把上下游信用纳入现金预测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滚动预测客户预付款、应收账龄、供应商付款、备货和研发投入，至少设置基准、价格上涨和需求下滑三种情景。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所有视频数字均为案例口径，应用前应以企业合同、台账、检测数据和最新法规复核。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23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齐昊老师学员实战案例第23集：再生材料降本与供应链信用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