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24 集｜制造业成本核算体系搭建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从产品分类、BOM与工时到作业成本法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2025-02-11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18:02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7469813846316682496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成本体系应先从可运行的V1.0开始，再逐步细化到产品、工序和在产品。材料依托BOM与盘点，人工和制造费用依因果关系选择产量、工时、机时等成本动因。财务必须深入车间、理解工艺并反向核验数据，最终把核算升级为损耗、舞弊和降本改善工具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V1.0 从无到有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产品大类 → 材料人工制费归集 → BOM分料 → 产量粗分 → 月末盘点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V2.0 优化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现场测时 → 基准产品 → 系数分摊 → 新产品补充BOM与工时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V3.0 精细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最小工序单元 → 作业动因 → 在产品完工程度 → BOM反向稽核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管理闭环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核算差异 → 定位投料、废品、半成品与舞弊 → 跨部门改善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一、成本体系要分阶段建设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先有可运行版本，再追求准确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第一阶段解决‘有没有’，第二阶段优化分配逻辑，第三阶段追求工序和作业层面的精细化。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一开始就追求完美容易因数据、系统和现场配合不足而失败，应明确每个版本的局限和升级计划。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先懂业务，再做计算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成本会计要进入车间，了解产品、工艺、设备、投料、产出、报废和在产品流转。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不要在办公室直接套公式；只有理解生产因果关系，才能选择合理成本动因。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二、V1.0：搭起材料、人工和制造费用框架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先把产品分成大类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按工艺、材料和资源消耗相近程度把产品归入若干大类，避免一开始被海量规格拖垮。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材料数据来自收货、合同和发票，人工来自工资表，制造费用来自费用凭证与发票。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BOM是材料分配主线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向技术或研发部门取得BOM、材料清单或配方，建立标准耗用与实际领用的对应关系。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存货计价可按企业政策采用移动加权平均等方法；先进先出是否适用需结合业务和会计政策。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月末盘点闭合数量与金额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原材料耗用可用‘期初库存＋本期采购－期末库存’复核，数量和金额都要勾稽。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V1.0可暂按产量分配人工和制造费用，但必须标注为粗略方案，不能长期替代合理动因。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三、V2.0：用现场工时和系数优化分配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亲自观察并测量工时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选择工艺相对简单、稳定的产品作为基准，记录各产品关键工序的实际用时。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与车间统计员、班组长和工段负责人核对，理解他们的统计流程与激励，减少数据失真。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用系数表达资源消耗差异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以基准产品系数1为起点，按实际工时或作业量计算其他产品系数，再分配人工与制造费用。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系数必须有原始观察或系统数据支持，并定期因设备、工艺和批量变化而更新。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四、V3.0：细化到工序、作业和在产品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拆成最小可管理工序单元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把生产过程拆为可识别的工序或作业单元，新产品可由已有单元组合形成工艺路线。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按工序记录材料、人员、设备和时间，为作业成本法与标准成本打基础。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补上在产品和完工程度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粗略版本把全部成本放进产成品、忽略在产品，只能作为短期过渡；当在产品重要时会扭曲期间成本。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应识别半成品、在产品数量、所在工序和完工程度，并持续提高盘点与报工准确性。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反向稽核BOM与实际投料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用实际领料、产出和盘点反向检查BOM，抽样观察投料，识别标准过时、超耗或记录错误。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金额小且不重要的费用可简化分配；关键费用必须遵循因果关系和重要性原则。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五、电缆企业案例：从阻力中建立第一版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三类电缆建立基准系数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案例将电力电缆、控制电缆、同轴电缆分类，以电力电缆为基准1；视频示例系数2和1.5仅作说明。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因现场没有工时报工且生产部门抵触，财务亲自测时，以系数分配人工、制造费用及材料成本差异。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逐版细化产品和工序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V2.0记录产品组成并配图，V3.0继续拆成最小工序，同时完善在产品完工程度。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推动成本体系需要老板授权和生产配合；财务应展示失真成本对报价、绩效和利润的影响。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六、成本动因必须因业务而异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时间不是唯一动因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电缆产品工艺时间差异大，工时更能解释人工和部分制造费用；低温库电费只应由需要低温的产品承担。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若金额较小或差异不重大，可采用产量等简化方法，避免核算成本超过管理收益。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同速同工艺可按产量分配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案例子公司生产绝缘材料，设备速度和工艺基本一致，主要差异是配方，因此按产量或吨数分配较合理。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选择标准不是‘方法越复杂越好’，而是动因能否解释资源消耗。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七、核算最终要服务经营改善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从差异中查生产漏洞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关注投料不准、废品过多、废料处置异常、半成品漏记、报工失真及潜在舞弊。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现场谈话只能提供风险线索，必须用领料单、盘点、监控、审批和系统日志等证据验证。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建立跨部门成本责任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生产更关心数量和交期，财务更关心损耗和成本；应共同定义数据、动因、责任和改善目标。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建议跟踪单位材料差异、工时差异、制造费用差异、废品率、在产品差异和数据按时率。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24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齐昊老师学员实战案例第24集：制造业成本核算体系搭建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