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60"/>
        <w:jc w:val="center"/>
      </w:pPr>
      <w:r>
        <w:t>企业发票、报销与异常支出</w:t>
        <w:br/>
        <w:t>实战手册</w:t>
      </w:r>
    </w:p>
    <w:p>
      <w:pPr>
        <w:jc w:val="center"/>
      </w:pPr>
      <w:r>
        <w:rPr>
          <w:rFonts w:ascii="微软雅黑" w:hAnsi="微软雅黑" w:eastAsia="微软雅黑"/>
          <w:b w:val="0"/>
          <w:color w:val="444444"/>
          <w:sz w:val="26"/>
        </w:rPr>
        <w:t>141个高频案例｜总账会计与财务主管工作版</w:t>
      </w:r>
    </w:p>
    <w:p>
      <w:pPr>
        <w:spacing w:before="2560"/>
        <w:jc w:val="center"/>
      </w:pPr>
      <w:r>
        <w:rPr>
          <w:rFonts w:ascii="微软雅黑" w:hAnsi="微软雅黑" w:eastAsia="微软雅黑"/>
          <w:b w:val="0"/>
          <w:color w:val="666666"/>
          <w:sz w:val="19"/>
        </w:rPr>
        <w:t>V1.0｜政策核验日：2026年9月10日</w:t>
      </w:r>
    </w:p>
    <w:p>
      <w:r>
        <w:br w:type="page"/>
      </w:r>
    </w:p>
    <w:p>
      <w:pPr>
        <w:pStyle w:val="Heading1"/>
      </w:pPr>
      <w:r>
        <w:t>使用说明</w:t>
      </w:r>
    </w:p>
    <w:p>
      <w:pPr>
        <w:spacing w:after="100" w:line="300" w:lineRule="auto"/>
      </w:pPr>
      <w:r>
        <w:rPr>
          <w:rFonts w:ascii="微软雅黑" w:hAnsi="微软雅黑" w:eastAsia="微软雅黑"/>
          <w:b w:val="0"/>
          <w:color w:val="000000"/>
          <w:sz w:val="21"/>
        </w:rPr>
        <w:t>本手册用于中国大陆企业财务实务学习与内部处理参考。结论按会计、增值税、企业所得税、个人所得税、发票和公司治理分别判断；地区执行、事实证据和后续政策变化可能改变个案结论。涉及主动更正、重大税款、人员舞弊或刑事风险时，应由企业税务负责人、法务及外部专业人员结合完整事实处理。</w:t>
      </w:r>
    </w:p>
    <w:p>
      <w:pPr>
        <w:spacing w:before="80" w:after="100"/>
      </w:pPr>
      <w:r>
        <w:rPr>
          <w:rFonts w:ascii="微软雅黑" w:hAnsi="微软雅黑" w:eastAsia="微软雅黑"/>
          <w:b/>
          <w:color w:val="2F75B5"/>
          <w:sz w:val="21"/>
        </w:rPr>
        <w:t>【核心结论】</w:t>
      </w:r>
      <w:r>
        <w:rPr>
          <w:rFonts w:ascii="微软雅黑" w:hAnsi="微软雅黑" w:eastAsia="微软雅黑"/>
          <w:b w:val="0"/>
          <w:color w:val="000000"/>
          <w:sz w:val="21"/>
        </w:rPr>
        <w:t>公司支付不等于公司费用；发票真实不等于交易真实；会计可入账、增值税可抵扣、企业所得税可扣除是三个不同问题。</w:t>
      </w:r>
    </w:p>
    <w:p>
      <w:pPr>
        <w:pStyle w:val="Heading1"/>
      </w:pPr>
      <w:r>
        <w:t>目录</w:t>
      </w:r>
    </w:p>
    <w:p>
      <w:pPr>
        <w:jc w:val="left"/>
      </w:pPr>
      <w:fldSimple w:instr="TOC \o &quot;1-3&quot; \h \z \u"/>
    </w:p>
    <w:p>
      <w:pPr>
        <w:pStyle w:val="Heading1"/>
      </w:pPr>
      <w:r>
        <w:t>第一篇　异常业务判断总则</w:t>
      </w:r>
    </w:p>
    <w:p>
      <w:pPr>
        <w:pStyle w:val="Heading2"/>
      </w:pPr>
      <w:r>
        <w:t>1.1 十一步判断链</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1247"/>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步骤</w:t>
            </w:r>
          </w:p>
        </w:tc>
        <w:tc>
          <w:tcPr>
            <w:tcW w:type="dxa" w:w="3969"/>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财务要问</w:t>
            </w:r>
          </w:p>
        </w:tc>
        <w:tc>
          <w:tcPr>
            <w:tcW w:type="dxa" w:w="4422"/>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形成的工作底稿</w:t>
            </w:r>
          </w:p>
        </w:tc>
      </w:tr>
      <w:tr>
        <w:trPr>
          <w:cantSplit/>
        </w:trPr>
        <w:tc>
          <w:tcPr>
            <w:tcW w:type="dxa" w:w="1247"/>
            <w:tcMar>
              <w:top w:w="90" w:type="dxa"/>
              <w:start w:w="100" w:type="dxa"/>
              <w:bottom w:w="90" w:type="dxa"/>
              <w:end w:w="100" w:type="dxa"/>
            </w:tcMar>
            <w:vAlign w:val="center"/>
          </w:tcPr>
          <w:p>
            <w:pPr>
              <w:jc w:val="center"/>
            </w:pPr>
            <w:r>
              <w:rPr>
                <w:rFonts w:ascii="微软雅黑" w:hAnsi="微软雅黑" w:eastAsia="微软雅黑"/>
                <w:b w:val="0"/>
                <w:color w:val="000000"/>
                <w:sz w:val="16"/>
              </w:rPr>
              <w:t>1 还原业务</w:t>
            </w:r>
          </w:p>
        </w:tc>
        <w:tc>
          <w:tcPr>
            <w:tcW w:type="dxa" w:w="3969"/>
            <w:tcMar>
              <w:top w:w="90" w:type="dxa"/>
              <w:start w:w="100" w:type="dxa"/>
              <w:bottom w:w="90" w:type="dxa"/>
              <w:end w:w="100" w:type="dxa"/>
            </w:tcMar>
            <w:vAlign w:val="center"/>
          </w:tcPr>
          <w:p>
            <w:r>
              <w:rPr>
                <w:rFonts w:ascii="微软雅黑" w:hAnsi="微软雅黑" w:eastAsia="微软雅黑"/>
                <w:b w:val="0"/>
                <w:color w:val="000000"/>
                <w:sz w:val="16"/>
              </w:rPr>
              <w:t>发生了什么，为什么发生</w:t>
            </w:r>
          </w:p>
        </w:tc>
        <w:tc>
          <w:tcPr>
            <w:tcW w:type="dxa" w:w="4422"/>
            <w:tcMar>
              <w:top w:w="90" w:type="dxa"/>
              <w:start w:w="100" w:type="dxa"/>
              <w:bottom w:w="90" w:type="dxa"/>
              <w:end w:w="100" w:type="dxa"/>
            </w:tcMar>
            <w:vAlign w:val="center"/>
          </w:tcPr>
          <w:p>
            <w:r>
              <w:rPr>
                <w:rFonts w:ascii="微软雅黑" w:hAnsi="微软雅黑" w:eastAsia="微软雅黑"/>
                <w:b w:val="0"/>
                <w:color w:val="000000"/>
                <w:sz w:val="16"/>
              </w:rPr>
              <w:t>业务事实说明</w:t>
            </w:r>
          </w:p>
        </w:tc>
      </w:tr>
      <w:tr>
        <w:trPr>
          <w:cantSplit/>
        </w:trPr>
        <w:tc>
          <w:tcPr>
            <w:tcW w:type="dxa" w:w="124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2 查受益人</w:t>
            </w:r>
          </w:p>
        </w:tc>
        <w:tc>
          <w:tcPr>
            <w:tcW w:type="dxa" w:w="3969"/>
            <w:tcMar>
              <w:top w:w="90" w:type="dxa"/>
              <w:start w:w="100" w:type="dxa"/>
              <w:bottom w:w="90" w:type="dxa"/>
              <w:end w:w="100" w:type="dxa"/>
            </w:tcMar>
            <w:vAlign w:val="center"/>
            <w:shd w:fill="F2F4F7"/>
          </w:tcPr>
          <w:p>
            <w:r>
              <w:rPr>
                <w:rFonts w:ascii="微软雅黑" w:hAnsi="微软雅黑" w:eastAsia="微软雅黑"/>
                <w:b w:val="0"/>
                <w:color w:val="000000"/>
                <w:sz w:val="16"/>
              </w:rPr>
              <w:t>最终谁使用、谁获益</w:t>
            </w:r>
          </w:p>
        </w:tc>
        <w:tc>
          <w:tcPr>
            <w:tcW w:type="dxa" w:w="4422"/>
            <w:tcMar>
              <w:top w:w="90" w:type="dxa"/>
              <w:start w:w="100" w:type="dxa"/>
              <w:bottom w:w="90" w:type="dxa"/>
              <w:end w:w="100" w:type="dxa"/>
            </w:tcMar>
            <w:vAlign w:val="center"/>
            <w:shd w:fill="F2F4F7"/>
          </w:tcPr>
          <w:p>
            <w:r>
              <w:rPr>
                <w:rFonts w:ascii="微软雅黑" w:hAnsi="微软雅黑" w:eastAsia="微软雅黑"/>
                <w:b w:val="0"/>
                <w:color w:val="000000"/>
                <w:sz w:val="16"/>
              </w:rPr>
              <w:t>受益人清单</w:t>
            </w:r>
          </w:p>
        </w:tc>
      </w:tr>
      <w:tr>
        <w:trPr>
          <w:cantSplit/>
        </w:trPr>
        <w:tc>
          <w:tcPr>
            <w:tcW w:type="dxa" w:w="1247"/>
            <w:tcMar>
              <w:top w:w="90" w:type="dxa"/>
              <w:start w:w="100" w:type="dxa"/>
              <w:bottom w:w="90" w:type="dxa"/>
              <w:end w:w="100" w:type="dxa"/>
            </w:tcMar>
            <w:vAlign w:val="center"/>
          </w:tcPr>
          <w:p>
            <w:pPr>
              <w:jc w:val="center"/>
            </w:pPr>
            <w:r>
              <w:rPr>
                <w:rFonts w:ascii="微软雅黑" w:hAnsi="微软雅黑" w:eastAsia="微软雅黑"/>
                <w:b w:val="0"/>
                <w:color w:val="000000"/>
                <w:sz w:val="16"/>
              </w:rPr>
              <w:t>3 穿透主体</w:t>
            </w:r>
          </w:p>
        </w:tc>
        <w:tc>
          <w:tcPr>
            <w:tcW w:type="dxa" w:w="3969"/>
            <w:tcMar>
              <w:top w:w="90" w:type="dxa"/>
              <w:start w:w="100" w:type="dxa"/>
              <w:bottom w:w="90" w:type="dxa"/>
              <w:end w:w="100" w:type="dxa"/>
            </w:tcMar>
            <w:vAlign w:val="center"/>
          </w:tcPr>
          <w:p>
            <w:r>
              <w:rPr>
                <w:rFonts w:ascii="微软雅黑" w:hAnsi="微软雅黑" w:eastAsia="微软雅黑"/>
                <w:b w:val="0"/>
                <w:color w:val="000000"/>
                <w:sz w:val="16"/>
              </w:rPr>
              <w:t>合同、履约、发票、付款、收款是否一致</w:t>
            </w:r>
          </w:p>
        </w:tc>
        <w:tc>
          <w:tcPr>
            <w:tcW w:type="dxa" w:w="4422"/>
            <w:tcMar>
              <w:top w:w="90" w:type="dxa"/>
              <w:start w:w="100" w:type="dxa"/>
              <w:bottom w:w="90" w:type="dxa"/>
              <w:end w:w="100" w:type="dxa"/>
            </w:tcMar>
            <w:vAlign w:val="center"/>
          </w:tcPr>
          <w:p>
            <w:r>
              <w:rPr>
                <w:rFonts w:ascii="微软雅黑" w:hAnsi="微软雅黑" w:eastAsia="微软雅黑"/>
                <w:b w:val="0"/>
                <w:color w:val="000000"/>
                <w:sz w:val="16"/>
              </w:rPr>
              <w:t>主体关系图</w:t>
            </w:r>
          </w:p>
        </w:tc>
      </w:tr>
      <w:tr>
        <w:trPr>
          <w:cantSplit/>
        </w:trPr>
        <w:tc>
          <w:tcPr>
            <w:tcW w:type="dxa" w:w="124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4 会计确认</w:t>
            </w:r>
          </w:p>
        </w:tc>
        <w:tc>
          <w:tcPr>
            <w:tcW w:type="dxa" w:w="3969"/>
            <w:tcMar>
              <w:top w:w="90" w:type="dxa"/>
              <w:start w:w="100" w:type="dxa"/>
              <w:bottom w:w="90" w:type="dxa"/>
              <w:end w:w="100" w:type="dxa"/>
            </w:tcMar>
            <w:vAlign w:val="center"/>
            <w:shd w:fill="F2F4F7"/>
          </w:tcPr>
          <w:p>
            <w:r>
              <w:rPr>
                <w:rFonts w:ascii="微软雅黑" w:hAnsi="微软雅黑" w:eastAsia="微软雅黑"/>
                <w:b w:val="0"/>
                <w:color w:val="000000"/>
                <w:sz w:val="16"/>
              </w:rPr>
              <w:t>资产、费用、薪酬、分配还是往来</w:t>
            </w:r>
          </w:p>
        </w:tc>
        <w:tc>
          <w:tcPr>
            <w:tcW w:type="dxa" w:w="4422"/>
            <w:tcMar>
              <w:top w:w="90" w:type="dxa"/>
              <w:start w:w="100" w:type="dxa"/>
              <w:bottom w:w="90" w:type="dxa"/>
              <w:end w:w="100" w:type="dxa"/>
            </w:tcMar>
            <w:vAlign w:val="center"/>
            <w:shd w:fill="F2F4F7"/>
          </w:tcPr>
          <w:p>
            <w:r>
              <w:rPr>
                <w:rFonts w:ascii="微软雅黑" w:hAnsi="微软雅黑" w:eastAsia="微软雅黑"/>
                <w:b w:val="0"/>
                <w:color w:val="000000"/>
                <w:sz w:val="16"/>
              </w:rPr>
              <w:t>会计判断与分录</w:t>
            </w:r>
          </w:p>
        </w:tc>
      </w:tr>
      <w:tr>
        <w:trPr>
          <w:cantSplit/>
        </w:trPr>
        <w:tc>
          <w:tcPr>
            <w:tcW w:type="dxa" w:w="1247"/>
            <w:tcMar>
              <w:top w:w="90" w:type="dxa"/>
              <w:start w:w="100" w:type="dxa"/>
              <w:bottom w:w="90" w:type="dxa"/>
              <w:end w:w="100" w:type="dxa"/>
            </w:tcMar>
            <w:vAlign w:val="center"/>
          </w:tcPr>
          <w:p>
            <w:pPr>
              <w:jc w:val="center"/>
            </w:pPr>
            <w:r>
              <w:rPr>
                <w:rFonts w:ascii="微软雅黑" w:hAnsi="微软雅黑" w:eastAsia="微软雅黑"/>
                <w:b w:val="0"/>
                <w:color w:val="000000"/>
                <w:sz w:val="16"/>
              </w:rPr>
              <w:t>5 增值税</w:t>
            </w:r>
          </w:p>
        </w:tc>
        <w:tc>
          <w:tcPr>
            <w:tcW w:type="dxa" w:w="3969"/>
            <w:tcMar>
              <w:top w:w="90" w:type="dxa"/>
              <w:start w:w="100" w:type="dxa"/>
              <w:bottom w:w="90" w:type="dxa"/>
              <w:end w:w="100" w:type="dxa"/>
            </w:tcMar>
            <w:vAlign w:val="center"/>
          </w:tcPr>
          <w:p>
            <w:r>
              <w:rPr>
                <w:rFonts w:ascii="微软雅黑" w:hAnsi="微软雅黑" w:eastAsia="微软雅黑"/>
                <w:b w:val="0"/>
                <w:color w:val="000000"/>
                <w:sz w:val="16"/>
              </w:rPr>
              <w:t>应税、扣税凭证、用途限制、视同交易</w:t>
            </w:r>
          </w:p>
        </w:tc>
        <w:tc>
          <w:tcPr>
            <w:tcW w:type="dxa" w:w="4422"/>
            <w:tcMar>
              <w:top w:w="90" w:type="dxa"/>
              <w:start w:w="100" w:type="dxa"/>
              <w:bottom w:w="90" w:type="dxa"/>
              <w:end w:w="100" w:type="dxa"/>
            </w:tcMar>
            <w:vAlign w:val="center"/>
          </w:tcPr>
          <w:p>
            <w:r>
              <w:rPr>
                <w:rFonts w:ascii="微软雅黑" w:hAnsi="微软雅黑" w:eastAsia="微软雅黑"/>
                <w:b w:val="0"/>
                <w:color w:val="000000"/>
                <w:sz w:val="16"/>
              </w:rPr>
              <w:t>进销项处理</w:t>
            </w:r>
          </w:p>
        </w:tc>
      </w:tr>
      <w:tr>
        <w:trPr>
          <w:cantSplit/>
        </w:trPr>
        <w:tc>
          <w:tcPr>
            <w:tcW w:type="dxa" w:w="124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6 企业所得税</w:t>
            </w:r>
          </w:p>
        </w:tc>
        <w:tc>
          <w:tcPr>
            <w:tcW w:type="dxa" w:w="3969"/>
            <w:tcMar>
              <w:top w:w="90" w:type="dxa"/>
              <w:start w:w="100" w:type="dxa"/>
              <w:bottom w:w="90" w:type="dxa"/>
              <w:end w:w="100" w:type="dxa"/>
            </w:tcMar>
            <w:vAlign w:val="center"/>
            <w:shd w:fill="F2F4F7"/>
          </w:tcPr>
          <w:p>
            <w:r>
              <w:rPr>
                <w:rFonts w:ascii="微软雅黑" w:hAnsi="微软雅黑" w:eastAsia="微软雅黑"/>
                <w:b w:val="0"/>
                <w:color w:val="000000"/>
                <w:sz w:val="16"/>
              </w:rPr>
              <w:t>真实、相关、合理、凭证、限额和跨期</w:t>
            </w:r>
          </w:p>
        </w:tc>
        <w:tc>
          <w:tcPr>
            <w:tcW w:type="dxa" w:w="4422"/>
            <w:tcMar>
              <w:top w:w="90" w:type="dxa"/>
              <w:start w:w="100" w:type="dxa"/>
              <w:bottom w:w="90" w:type="dxa"/>
              <w:end w:w="100" w:type="dxa"/>
            </w:tcMar>
            <w:vAlign w:val="center"/>
            <w:shd w:fill="F2F4F7"/>
          </w:tcPr>
          <w:p>
            <w:r>
              <w:rPr>
                <w:rFonts w:ascii="微软雅黑" w:hAnsi="微软雅黑" w:eastAsia="微软雅黑"/>
                <w:b w:val="0"/>
                <w:color w:val="000000"/>
                <w:sz w:val="16"/>
              </w:rPr>
              <w:t>扣除/调增台账</w:t>
            </w:r>
          </w:p>
        </w:tc>
      </w:tr>
      <w:tr>
        <w:trPr>
          <w:cantSplit/>
        </w:trPr>
        <w:tc>
          <w:tcPr>
            <w:tcW w:type="dxa" w:w="1247"/>
            <w:tcMar>
              <w:top w:w="90" w:type="dxa"/>
              <w:start w:w="100" w:type="dxa"/>
              <w:bottom w:w="90" w:type="dxa"/>
              <w:end w:w="100" w:type="dxa"/>
            </w:tcMar>
            <w:vAlign w:val="center"/>
          </w:tcPr>
          <w:p>
            <w:pPr>
              <w:jc w:val="center"/>
            </w:pPr>
            <w:r>
              <w:rPr>
                <w:rFonts w:ascii="微软雅黑" w:hAnsi="微软雅黑" w:eastAsia="微软雅黑"/>
                <w:b w:val="0"/>
                <w:color w:val="000000"/>
                <w:sz w:val="16"/>
              </w:rPr>
              <w:t>7 个人所得税</w:t>
            </w:r>
          </w:p>
        </w:tc>
        <w:tc>
          <w:tcPr>
            <w:tcW w:type="dxa" w:w="3969"/>
            <w:tcMar>
              <w:top w:w="90" w:type="dxa"/>
              <w:start w:w="100" w:type="dxa"/>
              <w:bottom w:w="90" w:type="dxa"/>
              <w:end w:w="100" w:type="dxa"/>
            </w:tcMar>
            <w:vAlign w:val="center"/>
          </w:tcPr>
          <w:p>
            <w:r>
              <w:rPr>
                <w:rFonts w:ascii="微软雅黑" w:hAnsi="微软雅黑" w:eastAsia="微软雅黑"/>
                <w:b w:val="0"/>
                <w:color w:val="000000"/>
                <w:sz w:val="16"/>
              </w:rPr>
              <w:t>利益是否归属个人及所得性质</w:t>
            </w:r>
          </w:p>
        </w:tc>
        <w:tc>
          <w:tcPr>
            <w:tcW w:type="dxa" w:w="4422"/>
            <w:tcMar>
              <w:top w:w="90" w:type="dxa"/>
              <w:start w:w="100" w:type="dxa"/>
              <w:bottom w:w="90" w:type="dxa"/>
              <w:end w:w="100" w:type="dxa"/>
            </w:tcMar>
            <w:vAlign w:val="center"/>
          </w:tcPr>
          <w:p>
            <w:r>
              <w:rPr>
                <w:rFonts w:ascii="微软雅黑" w:hAnsi="微软雅黑" w:eastAsia="微软雅黑"/>
                <w:b w:val="0"/>
                <w:color w:val="000000"/>
                <w:sz w:val="16"/>
              </w:rPr>
              <w:t>扣缴判断</w:t>
            </w:r>
          </w:p>
        </w:tc>
      </w:tr>
      <w:tr>
        <w:trPr>
          <w:cantSplit/>
        </w:trPr>
        <w:tc>
          <w:tcPr>
            <w:tcW w:type="dxa" w:w="124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8 发票</w:t>
            </w:r>
          </w:p>
        </w:tc>
        <w:tc>
          <w:tcPr>
            <w:tcW w:type="dxa" w:w="3969"/>
            <w:tcMar>
              <w:top w:w="90" w:type="dxa"/>
              <w:start w:w="100" w:type="dxa"/>
              <w:bottom w:w="90" w:type="dxa"/>
              <w:end w:w="100" w:type="dxa"/>
            </w:tcMar>
            <w:vAlign w:val="center"/>
            <w:shd w:fill="F2F4F7"/>
          </w:tcPr>
          <w:p>
            <w:r>
              <w:rPr>
                <w:rFonts w:ascii="微软雅黑" w:hAnsi="微软雅黑" w:eastAsia="微软雅黑"/>
                <w:b w:val="0"/>
                <w:color w:val="000000"/>
                <w:sz w:val="16"/>
              </w:rPr>
              <w:t>票面、开票方、内容、金额、唯一性</w:t>
            </w:r>
          </w:p>
        </w:tc>
        <w:tc>
          <w:tcPr>
            <w:tcW w:type="dxa" w:w="4422"/>
            <w:tcMar>
              <w:top w:w="90" w:type="dxa"/>
              <w:start w:w="100" w:type="dxa"/>
              <w:bottom w:w="90" w:type="dxa"/>
              <w:end w:w="100" w:type="dxa"/>
            </w:tcMar>
            <w:vAlign w:val="center"/>
            <w:shd w:fill="F2F4F7"/>
          </w:tcPr>
          <w:p>
            <w:r>
              <w:rPr>
                <w:rFonts w:ascii="微软雅黑" w:hAnsi="微软雅黑" w:eastAsia="微软雅黑"/>
                <w:b w:val="0"/>
                <w:color w:val="000000"/>
                <w:sz w:val="16"/>
              </w:rPr>
              <w:t>接受/退票/红冲</w:t>
            </w:r>
          </w:p>
        </w:tc>
      </w:tr>
      <w:tr>
        <w:trPr>
          <w:cantSplit/>
        </w:trPr>
        <w:tc>
          <w:tcPr>
            <w:tcW w:type="dxa" w:w="1247"/>
            <w:tcMar>
              <w:top w:w="90" w:type="dxa"/>
              <w:start w:w="100" w:type="dxa"/>
              <w:bottom w:w="90" w:type="dxa"/>
              <w:end w:w="100" w:type="dxa"/>
            </w:tcMar>
            <w:vAlign w:val="center"/>
          </w:tcPr>
          <w:p>
            <w:pPr>
              <w:jc w:val="center"/>
            </w:pPr>
            <w:r>
              <w:rPr>
                <w:rFonts w:ascii="微软雅黑" w:hAnsi="微软雅黑" w:eastAsia="微软雅黑"/>
                <w:b w:val="0"/>
                <w:color w:val="000000"/>
                <w:sz w:val="16"/>
              </w:rPr>
              <w:t>9 证据</w:t>
            </w:r>
          </w:p>
        </w:tc>
        <w:tc>
          <w:tcPr>
            <w:tcW w:type="dxa" w:w="3969"/>
            <w:tcMar>
              <w:top w:w="90" w:type="dxa"/>
              <w:start w:w="100" w:type="dxa"/>
              <w:bottom w:w="90" w:type="dxa"/>
              <w:end w:w="100" w:type="dxa"/>
            </w:tcMar>
            <w:vAlign w:val="center"/>
          </w:tcPr>
          <w:p>
            <w:r>
              <w:rPr>
                <w:rFonts w:ascii="微软雅黑" w:hAnsi="微软雅黑" w:eastAsia="微软雅黑"/>
                <w:b w:val="0"/>
                <w:color w:val="000000"/>
                <w:sz w:val="16"/>
              </w:rPr>
              <w:t>资料能否形成闭环</w:t>
            </w:r>
          </w:p>
        </w:tc>
        <w:tc>
          <w:tcPr>
            <w:tcW w:type="dxa" w:w="4422"/>
            <w:tcMar>
              <w:top w:w="90" w:type="dxa"/>
              <w:start w:w="100" w:type="dxa"/>
              <w:bottom w:w="90" w:type="dxa"/>
              <w:end w:w="100" w:type="dxa"/>
            </w:tcMar>
            <w:vAlign w:val="center"/>
          </w:tcPr>
          <w:p>
            <w:r>
              <w:rPr>
                <w:rFonts w:ascii="微软雅黑" w:hAnsi="微软雅黑" w:eastAsia="微软雅黑"/>
                <w:b w:val="0"/>
                <w:color w:val="000000"/>
                <w:sz w:val="16"/>
              </w:rPr>
              <w:t>证据包</w:t>
            </w:r>
          </w:p>
        </w:tc>
      </w:tr>
      <w:tr>
        <w:trPr>
          <w:cantSplit/>
        </w:trPr>
        <w:tc>
          <w:tcPr>
            <w:tcW w:type="dxa" w:w="124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10 权限</w:t>
            </w:r>
          </w:p>
        </w:tc>
        <w:tc>
          <w:tcPr>
            <w:tcW w:type="dxa" w:w="3969"/>
            <w:tcMar>
              <w:top w:w="90" w:type="dxa"/>
              <w:start w:w="100" w:type="dxa"/>
              <w:bottom w:w="90" w:type="dxa"/>
              <w:end w:w="100" w:type="dxa"/>
            </w:tcMar>
            <w:vAlign w:val="center"/>
            <w:shd w:fill="F2F4F7"/>
          </w:tcPr>
          <w:p>
            <w:r>
              <w:rPr>
                <w:rFonts w:ascii="微软雅黑" w:hAnsi="微软雅黑" w:eastAsia="微软雅黑"/>
                <w:b w:val="0"/>
                <w:color w:val="000000"/>
                <w:sz w:val="16"/>
              </w:rPr>
              <w:t>谁申请、审批、制单、复核</w:t>
            </w:r>
          </w:p>
        </w:tc>
        <w:tc>
          <w:tcPr>
            <w:tcW w:type="dxa" w:w="4422"/>
            <w:tcMar>
              <w:top w:w="90" w:type="dxa"/>
              <w:start w:w="100" w:type="dxa"/>
              <w:bottom w:w="90" w:type="dxa"/>
              <w:end w:w="100" w:type="dxa"/>
            </w:tcMar>
            <w:vAlign w:val="center"/>
            <w:shd w:fill="F2F4F7"/>
          </w:tcPr>
          <w:p>
            <w:r>
              <w:rPr>
                <w:rFonts w:ascii="微软雅黑" w:hAnsi="微软雅黑" w:eastAsia="微软雅黑"/>
                <w:b w:val="0"/>
                <w:color w:val="000000"/>
                <w:sz w:val="16"/>
              </w:rPr>
              <w:t>审批链</w:t>
            </w:r>
          </w:p>
        </w:tc>
      </w:tr>
      <w:tr>
        <w:trPr>
          <w:cantSplit/>
        </w:trPr>
        <w:tc>
          <w:tcPr>
            <w:tcW w:type="dxa" w:w="1247"/>
            <w:tcMar>
              <w:top w:w="90" w:type="dxa"/>
              <w:start w:w="100" w:type="dxa"/>
              <w:bottom w:w="90" w:type="dxa"/>
              <w:end w:w="100" w:type="dxa"/>
            </w:tcMar>
            <w:vAlign w:val="center"/>
          </w:tcPr>
          <w:p>
            <w:pPr>
              <w:jc w:val="center"/>
            </w:pPr>
            <w:r>
              <w:rPr>
                <w:rFonts w:ascii="微软雅黑" w:hAnsi="微软雅黑" w:eastAsia="微软雅黑"/>
                <w:b w:val="0"/>
                <w:color w:val="000000"/>
                <w:sz w:val="16"/>
              </w:rPr>
              <w:t>11 后果</w:t>
            </w:r>
          </w:p>
        </w:tc>
        <w:tc>
          <w:tcPr>
            <w:tcW w:type="dxa" w:w="3969"/>
            <w:tcMar>
              <w:top w:w="90" w:type="dxa"/>
              <w:start w:w="100" w:type="dxa"/>
              <w:bottom w:w="90" w:type="dxa"/>
              <w:end w:w="100" w:type="dxa"/>
            </w:tcMar>
            <w:vAlign w:val="center"/>
          </w:tcPr>
          <w:p>
            <w:r>
              <w:rPr>
                <w:rFonts w:ascii="微软雅黑" w:hAnsi="微软雅黑" w:eastAsia="微软雅黑"/>
                <w:b w:val="0"/>
                <w:color w:val="000000"/>
                <w:sz w:val="16"/>
              </w:rPr>
              <w:t>若拒不整改，风险升级到哪一级</w:t>
            </w:r>
          </w:p>
        </w:tc>
        <w:tc>
          <w:tcPr>
            <w:tcW w:type="dxa" w:w="4422"/>
            <w:tcMar>
              <w:top w:w="90" w:type="dxa"/>
              <w:start w:w="100" w:type="dxa"/>
              <w:bottom w:w="90" w:type="dxa"/>
              <w:end w:w="100" w:type="dxa"/>
            </w:tcMar>
            <w:vAlign w:val="center"/>
          </w:tcPr>
          <w:p>
            <w:r>
              <w:rPr>
                <w:rFonts w:ascii="微软雅黑" w:hAnsi="微软雅黑" w:eastAsia="微软雅黑"/>
                <w:b w:val="0"/>
                <w:color w:val="000000"/>
                <w:sz w:val="16"/>
              </w:rPr>
              <w:t>整改或升级记录</w:t>
            </w:r>
          </w:p>
        </w:tc>
      </w:tr>
    </w:tbl>
    <w:p>
      <w:pPr>
        <w:spacing w:after="20"/>
      </w:pPr>
    </w:p>
    <w:p>
      <w:pPr>
        <w:pStyle w:val="Heading2"/>
      </w:pPr>
      <w:r>
        <w:t>1.2 七档合规结论与四级风险</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1701"/>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类型</w:t>
            </w:r>
          </w:p>
        </w:tc>
        <w:tc>
          <w:tcPr>
            <w:tcW w:type="dxa" w:w="3402"/>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含义</w:t>
            </w:r>
          </w:p>
        </w:tc>
        <w:tc>
          <w:tcPr>
            <w:tcW w:type="dxa" w:w="4535"/>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典型动作</w:t>
            </w:r>
          </w:p>
        </w:tc>
      </w:tr>
      <w:tr>
        <w:trPr>
          <w:cantSplit/>
        </w:trPr>
        <w:tc>
          <w:tcPr>
            <w:tcW w:type="dxa" w:w="1701"/>
            <w:tcMar>
              <w:top w:w="90" w:type="dxa"/>
              <w:start w:w="100" w:type="dxa"/>
              <w:bottom w:w="90" w:type="dxa"/>
              <w:end w:w="100" w:type="dxa"/>
            </w:tcMar>
            <w:vAlign w:val="center"/>
          </w:tcPr>
          <w:p>
            <w:pPr>
              <w:jc w:val="center"/>
            </w:pPr>
            <w:r>
              <w:rPr>
                <w:rFonts w:ascii="微软雅黑" w:hAnsi="微软雅黑" w:eastAsia="微软雅黑"/>
                <w:b w:val="0"/>
                <w:color w:val="000000"/>
                <w:sz w:val="16"/>
              </w:rPr>
              <w:t>①正常</w:t>
            </w:r>
          </w:p>
        </w:tc>
        <w:tc>
          <w:tcPr>
            <w:tcW w:type="dxa" w:w="3402"/>
            <w:tcMar>
              <w:top w:w="90" w:type="dxa"/>
              <w:start w:w="100" w:type="dxa"/>
              <w:bottom w:w="90" w:type="dxa"/>
              <w:end w:w="100" w:type="dxa"/>
            </w:tcMar>
            <w:vAlign w:val="center"/>
          </w:tcPr>
          <w:p>
            <w:r>
              <w:rPr>
                <w:rFonts w:ascii="微软雅黑" w:hAnsi="微软雅黑" w:eastAsia="微软雅黑"/>
                <w:b w:val="0"/>
                <w:color w:val="000000"/>
                <w:sz w:val="16"/>
              </w:rPr>
              <w:t>真实经营且资料完整</w:t>
            </w:r>
          </w:p>
        </w:tc>
        <w:tc>
          <w:tcPr>
            <w:tcW w:type="dxa" w:w="4535"/>
            <w:tcMar>
              <w:top w:w="90" w:type="dxa"/>
              <w:start w:w="100" w:type="dxa"/>
              <w:bottom w:w="90" w:type="dxa"/>
              <w:end w:w="100" w:type="dxa"/>
            </w:tcMar>
            <w:vAlign w:val="center"/>
          </w:tcPr>
          <w:p>
            <w:r>
              <w:rPr>
                <w:rFonts w:ascii="微软雅黑" w:hAnsi="微软雅黑" w:eastAsia="微软雅黑"/>
                <w:b w:val="0"/>
                <w:color w:val="000000"/>
                <w:sz w:val="16"/>
              </w:rPr>
              <w:t>按制度入账、申报和归档</w:t>
            </w:r>
          </w:p>
        </w:tc>
      </w:tr>
      <w:tr>
        <w:trPr>
          <w:cantSplit/>
        </w:trPr>
        <w:tc>
          <w:tcPr>
            <w:tcW w:type="dxa" w:w="170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②有条件可做</w:t>
            </w:r>
          </w:p>
        </w:tc>
        <w:tc>
          <w:tcPr>
            <w:tcW w:type="dxa" w:w="3402"/>
            <w:tcMar>
              <w:top w:w="90" w:type="dxa"/>
              <w:start w:w="100" w:type="dxa"/>
              <w:bottom w:w="90" w:type="dxa"/>
              <w:end w:w="100" w:type="dxa"/>
            </w:tcMar>
            <w:vAlign w:val="center"/>
            <w:shd w:fill="F2F4F7"/>
          </w:tcPr>
          <w:p>
            <w:r>
              <w:rPr>
                <w:rFonts w:ascii="微软雅黑" w:hAnsi="微软雅黑" w:eastAsia="微软雅黑"/>
                <w:b w:val="0"/>
                <w:color w:val="000000"/>
                <w:sz w:val="16"/>
              </w:rPr>
              <w:t>需合同、审批、清单、分拆或专项判断</w:t>
            </w:r>
          </w:p>
        </w:tc>
        <w:tc>
          <w:tcPr>
            <w:tcW w:type="dxa" w:w="4535"/>
            <w:tcMar>
              <w:top w:w="90" w:type="dxa"/>
              <w:start w:w="100" w:type="dxa"/>
              <w:bottom w:w="90" w:type="dxa"/>
              <w:end w:w="100" w:type="dxa"/>
            </w:tcMar>
            <w:vAlign w:val="center"/>
            <w:shd w:fill="F2F4F7"/>
          </w:tcPr>
          <w:p>
            <w:r>
              <w:rPr>
                <w:rFonts w:ascii="微软雅黑" w:hAnsi="微软雅黑" w:eastAsia="微软雅黑"/>
                <w:b w:val="0"/>
                <w:color w:val="000000"/>
                <w:sz w:val="16"/>
              </w:rPr>
              <w:t>补齐资料后处理</w:t>
            </w:r>
          </w:p>
        </w:tc>
      </w:tr>
      <w:tr>
        <w:trPr>
          <w:cantSplit/>
        </w:trPr>
        <w:tc>
          <w:tcPr>
            <w:tcW w:type="dxa" w:w="1701"/>
            <w:tcMar>
              <w:top w:w="90" w:type="dxa"/>
              <w:start w:w="100" w:type="dxa"/>
              <w:bottom w:w="90" w:type="dxa"/>
              <w:end w:w="100" w:type="dxa"/>
            </w:tcMar>
            <w:vAlign w:val="center"/>
          </w:tcPr>
          <w:p>
            <w:pPr>
              <w:jc w:val="center"/>
            </w:pPr>
            <w:r>
              <w:rPr>
                <w:rFonts w:ascii="微软雅黑" w:hAnsi="微软雅黑" w:eastAsia="微软雅黑"/>
                <w:b w:val="0"/>
                <w:color w:val="000000"/>
                <w:sz w:val="16"/>
              </w:rPr>
              <w:t>③会计可反映、税务不可扣</w:t>
            </w:r>
          </w:p>
        </w:tc>
        <w:tc>
          <w:tcPr>
            <w:tcW w:type="dxa" w:w="3402"/>
            <w:tcMar>
              <w:top w:w="90" w:type="dxa"/>
              <w:start w:w="100" w:type="dxa"/>
              <w:bottom w:w="90" w:type="dxa"/>
              <w:end w:w="100" w:type="dxa"/>
            </w:tcMar>
            <w:vAlign w:val="center"/>
          </w:tcPr>
          <w:p>
            <w:r>
              <w:rPr>
                <w:rFonts w:ascii="微软雅黑" w:hAnsi="微软雅黑" w:eastAsia="微软雅黑"/>
                <w:b w:val="0"/>
                <w:color w:val="000000"/>
                <w:sz w:val="16"/>
              </w:rPr>
              <w:t>真实支出但不满足抵扣/扣除规则</w:t>
            </w:r>
          </w:p>
        </w:tc>
        <w:tc>
          <w:tcPr>
            <w:tcW w:type="dxa" w:w="4535"/>
            <w:tcMar>
              <w:top w:w="90" w:type="dxa"/>
              <w:start w:w="100" w:type="dxa"/>
              <w:bottom w:w="90" w:type="dxa"/>
              <w:end w:w="100" w:type="dxa"/>
            </w:tcMar>
            <w:vAlign w:val="center"/>
          </w:tcPr>
          <w:p>
            <w:r>
              <w:rPr>
                <w:rFonts w:ascii="微软雅黑" w:hAnsi="微软雅黑" w:eastAsia="微软雅黑"/>
                <w:b w:val="0"/>
                <w:color w:val="000000"/>
                <w:sz w:val="16"/>
              </w:rPr>
              <w:t>如实入账并税务调整</w:t>
            </w:r>
          </w:p>
        </w:tc>
      </w:tr>
      <w:tr>
        <w:trPr>
          <w:cantSplit/>
        </w:trPr>
        <w:tc>
          <w:tcPr>
            <w:tcW w:type="dxa" w:w="170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④需纳税调整</w:t>
            </w:r>
          </w:p>
        </w:tc>
        <w:tc>
          <w:tcPr>
            <w:tcW w:type="dxa" w:w="3402"/>
            <w:tcMar>
              <w:top w:w="90" w:type="dxa"/>
              <w:start w:w="100" w:type="dxa"/>
              <w:bottom w:w="90" w:type="dxa"/>
              <w:end w:w="100" w:type="dxa"/>
            </w:tcMar>
            <w:vAlign w:val="center"/>
            <w:shd w:fill="F2F4F7"/>
          </w:tcPr>
          <w:p>
            <w:r>
              <w:rPr>
                <w:rFonts w:ascii="微软雅黑" w:hAnsi="微软雅黑" w:eastAsia="微软雅黑"/>
                <w:b w:val="0"/>
                <w:color w:val="000000"/>
                <w:sz w:val="16"/>
              </w:rPr>
              <w:t>限额、跨期或税会口径不同</w:t>
            </w:r>
          </w:p>
        </w:tc>
        <w:tc>
          <w:tcPr>
            <w:tcW w:type="dxa" w:w="4535"/>
            <w:tcMar>
              <w:top w:w="90" w:type="dxa"/>
              <w:start w:w="100" w:type="dxa"/>
              <w:bottom w:w="90" w:type="dxa"/>
              <w:end w:w="100" w:type="dxa"/>
            </w:tcMar>
            <w:vAlign w:val="center"/>
            <w:shd w:fill="F2F4F7"/>
          </w:tcPr>
          <w:p>
            <w:r>
              <w:rPr>
                <w:rFonts w:ascii="微软雅黑" w:hAnsi="微软雅黑" w:eastAsia="微软雅黑"/>
                <w:b w:val="0"/>
                <w:color w:val="000000"/>
                <w:sz w:val="16"/>
              </w:rPr>
              <w:t>建立税会差异台账</w:t>
            </w:r>
          </w:p>
        </w:tc>
      </w:tr>
      <w:tr>
        <w:trPr>
          <w:cantSplit/>
        </w:trPr>
        <w:tc>
          <w:tcPr>
            <w:tcW w:type="dxa" w:w="1701"/>
            <w:tcMar>
              <w:top w:w="90" w:type="dxa"/>
              <w:start w:w="100" w:type="dxa"/>
              <w:bottom w:w="90" w:type="dxa"/>
              <w:end w:w="100" w:type="dxa"/>
            </w:tcMar>
            <w:vAlign w:val="center"/>
          </w:tcPr>
          <w:p>
            <w:pPr>
              <w:jc w:val="center"/>
            </w:pPr>
            <w:r>
              <w:rPr>
                <w:rFonts w:ascii="微软雅黑" w:hAnsi="微软雅黑" w:eastAsia="微软雅黑"/>
                <w:b w:val="0"/>
                <w:color w:val="000000"/>
                <w:sz w:val="16"/>
              </w:rPr>
              <w:t>⑤高风险</w:t>
            </w:r>
          </w:p>
        </w:tc>
        <w:tc>
          <w:tcPr>
            <w:tcW w:type="dxa" w:w="3402"/>
            <w:tcMar>
              <w:top w:w="90" w:type="dxa"/>
              <w:start w:w="100" w:type="dxa"/>
              <w:bottom w:w="90" w:type="dxa"/>
              <w:end w:w="100" w:type="dxa"/>
            </w:tcMar>
            <w:vAlign w:val="center"/>
          </w:tcPr>
          <w:p>
            <w:r>
              <w:rPr>
                <w:rFonts w:ascii="微软雅黑" w:hAnsi="微软雅黑" w:eastAsia="微软雅黑"/>
                <w:b w:val="0"/>
                <w:color w:val="000000"/>
                <w:sz w:val="16"/>
              </w:rPr>
              <w:t>主体、货款、时间或业务证据异常</w:t>
            </w:r>
          </w:p>
        </w:tc>
        <w:tc>
          <w:tcPr>
            <w:tcW w:type="dxa" w:w="4535"/>
            <w:tcMar>
              <w:top w:w="90" w:type="dxa"/>
              <w:start w:w="100" w:type="dxa"/>
              <w:bottom w:w="90" w:type="dxa"/>
              <w:end w:w="100" w:type="dxa"/>
            </w:tcMar>
            <w:vAlign w:val="center"/>
          </w:tcPr>
          <w:p>
            <w:r>
              <w:rPr>
                <w:rFonts w:ascii="微软雅黑" w:hAnsi="微软雅黑" w:eastAsia="微软雅黑"/>
                <w:b w:val="0"/>
                <w:color w:val="000000"/>
                <w:sz w:val="16"/>
              </w:rPr>
              <w:t>暂停付款/抵扣，升级复核</w:t>
            </w:r>
          </w:p>
        </w:tc>
      </w:tr>
      <w:tr>
        <w:trPr>
          <w:cantSplit/>
        </w:trPr>
        <w:tc>
          <w:tcPr>
            <w:tcW w:type="dxa" w:w="170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⑥明显不应处理</w:t>
            </w:r>
          </w:p>
        </w:tc>
        <w:tc>
          <w:tcPr>
            <w:tcW w:type="dxa" w:w="3402"/>
            <w:tcMar>
              <w:top w:w="90" w:type="dxa"/>
              <w:start w:w="100" w:type="dxa"/>
              <w:bottom w:w="90" w:type="dxa"/>
              <w:end w:w="100" w:type="dxa"/>
            </w:tcMar>
            <w:vAlign w:val="center"/>
            <w:shd w:fill="F2F4F7"/>
          </w:tcPr>
          <w:p>
            <w:r>
              <w:rPr>
                <w:rFonts w:ascii="微软雅黑" w:hAnsi="微软雅黑" w:eastAsia="微软雅黑"/>
                <w:b w:val="0"/>
                <w:color w:val="000000"/>
                <w:sz w:val="16"/>
              </w:rPr>
              <w:t>私人消费或公司不应承担</w:t>
            </w:r>
          </w:p>
        </w:tc>
        <w:tc>
          <w:tcPr>
            <w:tcW w:type="dxa" w:w="4535"/>
            <w:tcMar>
              <w:top w:w="90" w:type="dxa"/>
              <w:start w:w="100" w:type="dxa"/>
              <w:bottom w:w="90" w:type="dxa"/>
              <w:end w:w="100" w:type="dxa"/>
            </w:tcMar>
            <w:vAlign w:val="center"/>
            <w:shd w:fill="F2F4F7"/>
          </w:tcPr>
          <w:p>
            <w:r>
              <w:rPr>
                <w:rFonts w:ascii="微软雅黑" w:hAnsi="微软雅黑" w:eastAsia="微软雅黑"/>
                <w:b w:val="0"/>
                <w:color w:val="000000"/>
                <w:sz w:val="16"/>
              </w:rPr>
              <w:t>拒绝费用化、追回或挂个人往来</w:t>
            </w:r>
          </w:p>
        </w:tc>
      </w:tr>
      <w:tr>
        <w:trPr>
          <w:cantSplit/>
        </w:trPr>
        <w:tc>
          <w:tcPr>
            <w:tcW w:type="dxa" w:w="1701"/>
            <w:tcMar>
              <w:top w:w="90" w:type="dxa"/>
              <w:start w:w="100" w:type="dxa"/>
              <w:bottom w:w="90" w:type="dxa"/>
              <w:end w:w="100" w:type="dxa"/>
            </w:tcMar>
            <w:vAlign w:val="center"/>
          </w:tcPr>
          <w:p>
            <w:pPr>
              <w:jc w:val="center"/>
            </w:pPr>
            <w:r>
              <w:rPr>
                <w:rFonts w:ascii="微软雅黑" w:hAnsi="微软雅黑" w:eastAsia="微软雅黑"/>
                <w:b w:val="0"/>
                <w:color w:val="000000"/>
                <w:sz w:val="16"/>
              </w:rPr>
              <w:t>⑦涉嫌违法</w:t>
            </w:r>
          </w:p>
        </w:tc>
        <w:tc>
          <w:tcPr>
            <w:tcW w:type="dxa" w:w="3402"/>
            <w:tcMar>
              <w:top w:w="90" w:type="dxa"/>
              <w:start w:w="100" w:type="dxa"/>
              <w:bottom w:w="90" w:type="dxa"/>
              <w:end w:w="100" w:type="dxa"/>
            </w:tcMar>
            <w:vAlign w:val="center"/>
          </w:tcPr>
          <w:p>
            <w:r>
              <w:rPr>
                <w:rFonts w:ascii="微软雅黑" w:hAnsi="微软雅黑" w:eastAsia="微软雅黑"/>
                <w:b w:val="0"/>
                <w:color w:val="000000"/>
                <w:sz w:val="16"/>
              </w:rPr>
              <w:t>虚构、买票、虚抵、毁损资料等</w:t>
            </w:r>
          </w:p>
        </w:tc>
        <w:tc>
          <w:tcPr>
            <w:tcW w:type="dxa" w:w="4535"/>
            <w:tcMar>
              <w:top w:w="90" w:type="dxa"/>
              <w:start w:w="100" w:type="dxa"/>
              <w:bottom w:w="90" w:type="dxa"/>
              <w:end w:w="100" w:type="dxa"/>
            </w:tcMar>
            <w:vAlign w:val="center"/>
          </w:tcPr>
          <w:p>
            <w:r>
              <w:rPr>
                <w:rFonts w:ascii="微软雅黑" w:hAnsi="微软雅黑" w:eastAsia="微软雅黑"/>
                <w:b w:val="0"/>
                <w:color w:val="000000"/>
                <w:sz w:val="16"/>
              </w:rPr>
              <w:t>停止执行、保全记录、法务税务介入</w:t>
            </w:r>
          </w:p>
        </w:tc>
      </w:tr>
    </w:tbl>
    <w:p>
      <w:pPr>
        <w:spacing w:after="20"/>
      </w:pP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1701"/>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颜色</w:t>
            </w:r>
          </w:p>
        </w:tc>
        <w:tc>
          <w:tcPr>
            <w:tcW w:type="dxa" w:w="3402"/>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含义</w:t>
            </w:r>
          </w:p>
        </w:tc>
        <w:tc>
          <w:tcPr>
            <w:tcW w:type="dxa" w:w="4535"/>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动作</w:t>
            </w:r>
          </w:p>
        </w:tc>
      </w:tr>
      <w:tr>
        <w:trPr>
          <w:cantSplit/>
        </w:trPr>
        <w:tc>
          <w:tcPr>
            <w:tcW w:type="dxa" w:w="1701"/>
            <w:tcMar>
              <w:top w:w="90" w:type="dxa"/>
              <w:start w:w="100" w:type="dxa"/>
              <w:bottom w:w="90" w:type="dxa"/>
              <w:end w:w="100" w:type="dxa"/>
            </w:tcMar>
            <w:vAlign w:val="center"/>
          </w:tcPr>
          <w:p>
            <w:pPr>
              <w:jc w:val="center"/>
            </w:pPr>
            <w:r>
              <w:rPr>
                <w:rFonts w:ascii="微软雅黑" w:hAnsi="微软雅黑" w:eastAsia="微软雅黑"/>
                <w:b w:val="0"/>
                <w:color w:val="000000"/>
                <w:sz w:val="16"/>
              </w:rPr>
              <w:t>蓝色</w:t>
            </w:r>
          </w:p>
        </w:tc>
        <w:tc>
          <w:tcPr>
            <w:tcW w:type="dxa" w:w="3402"/>
            <w:tcMar>
              <w:top w:w="90" w:type="dxa"/>
              <w:start w:w="100" w:type="dxa"/>
              <w:bottom w:w="90" w:type="dxa"/>
              <w:end w:w="100" w:type="dxa"/>
            </w:tcMar>
            <w:vAlign w:val="center"/>
          </w:tcPr>
          <w:p>
            <w:r>
              <w:rPr>
                <w:rFonts w:ascii="微软雅黑" w:hAnsi="微软雅黑" w:eastAsia="微软雅黑"/>
                <w:b w:val="0"/>
                <w:color w:val="000000"/>
                <w:sz w:val="16"/>
              </w:rPr>
              <w:t>正常</w:t>
            </w:r>
          </w:p>
        </w:tc>
        <w:tc>
          <w:tcPr>
            <w:tcW w:type="dxa" w:w="4535"/>
            <w:tcMar>
              <w:top w:w="90" w:type="dxa"/>
              <w:start w:w="100" w:type="dxa"/>
              <w:bottom w:w="90" w:type="dxa"/>
              <w:end w:w="100" w:type="dxa"/>
            </w:tcMar>
            <w:vAlign w:val="center"/>
          </w:tcPr>
          <w:p>
            <w:r>
              <w:rPr>
                <w:rFonts w:ascii="微软雅黑" w:hAnsi="微软雅黑" w:eastAsia="微软雅黑"/>
                <w:b w:val="0"/>
                <w:color w:val="000000"/>
                <w:sz w:val="16"/>
              </w:rPr>
              <w:t>常规审批</w:t>
            </w:r>
          </w:p>
        </w:tc>
      </w:tr>
      <w:tr>
        <w:trPr>
          <w:cantSplit/>
        </w:trPr>
        <w:tc>
          <w:tcPr>
            <w:tcW w:type="dxa" w:w="170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黄色</w:t>
            </w:r>
          </w:p>
        </w:tc>
        <w:tc>
          <w:tcPr>
            <w:tcW w:type="dxa" w:w="3402"/>
            <w:tcMar>
              <w:top w:w="90" w:type="dxa"/>
              <w:start w:w="100" w:type="dxa"/>
              <w:bottom w:w="90" w:type="dxa"/>
              <w:end w:w="100" w:type="dxa"/>
            </w:tcMar>
            <w:vAlign w:val="center"/>
            <w:shd w:fill="F2F4F7"/>
          </w:tcPr>
          <w:p>
            <w:r>
              <w:rPr>
                <w:rFonts w:ascii="微软雅黑" w:hAnsi="微软雅黑" w:eastAsia="微软雅黑"/>
                <w:b w:val="0"/>
                <w:color w:val="000000"/>
                <w:sz w:val="16"/>
              </w:rPr>
              <w:t>注意规范</w:t>
            </w:r>
          </w:p>
        </w:tc>
        <w:tc>
          <w:tcPr>
            <w:tcW w:type="dxa" w:w="4535"/>
            <w:tcMar>
              <w:top w:w="90" w:type="dxa"/>
              <w:start w:w="100" w:type="dxa"/>
              <w:bottom w:w="90" w:type="dxa"/>
              <w:end w:w="100" w:type="dxa"/>
            </w:tcMar>
            <w:vAlign w:val="center"/>
            <w:shd w:fill="F2F4F7"/>
          </w:tcPr>
          <w:p>
            <w:r>
              <w:rPr>
                <w:rFonts w:ascii="微软雅黑" w:hAnsi="微软雅黑" w:eastAsia="微软雅黑"/>
                <w:b w:val="0"/>
                <w:color w:val="000000"/>
                <w:sz w:val="16"/>
              </w:rPr>
              <w:t>补资料、分拆、留痕</w:t>
            </w:r>
          </w:p>
        </w:tc>
      </w:tr>
      <w:tr>
        <w:trPr>
          <w:cantSplit/>
        </w:trPr>
        <w:tc>
          <w:tcPr>
            <w:tcW w:type="dxa" w:w="1701"/>
            <w:tcMar>
              <w:top w:w="90" w:type="dxa"/>
              <w:start w:w="100" w:type="dxa"/>
              <w:bottom w:w="90" w:type="dxa"/>
              <w:end w:w="100" w:type="dxa"/>
            </w:tcMar>
            <w:vAlign w:val="center"/>
          </w:tcPr>
          <w:p>
            <w:pPr>
              <w:jc w:val="center"/>
            </w:pPr>
            <w:r>
              <w:rPr>
                <w:rFonts w:ascii="微软雅黑" w:hAnsi="微软雅黑" w:eastAsia="微软雅黑"/>
                <w:b w:val="0"/>
                <w:color w:val="000000"/>
                <w:sz w:val="16"/>
              </w:rPr>
              <w:t>橙色</w:t>
            </w:r>
          </w:p>
        </w:tc>
        <w:tc>
          <w:tcPr>
            <w:tcW w:type="dxa" w:w="3402"/>
            <w:tcMar>
              <w:top w:w="90" w:type="dxa"/>
              <w:start w:w="100" w:type="dxa"/>
              <w:bottom w:w="90" w:type="dxa"/>
              <w:end w:w="100" w:type="dxa"/>
            </w:tcMar>
            <w:vAlign w:val="center"/>
          </w:tcPr>
          <w:p>
            <w:r>
              <w:rPr>
                <w:rFonts w:ascii="微软雅黑" w:hAnsi="微软雅黑" w:eastAsia="微软雅黑"/>
                <w:b w:val="0"/>
                <w:color w:val="000000"/>
                <w:sz w:val="16"/>
              </w:rPr>
              <w:t>高风险</w:t>
            </w:r>
          </w:p>
        </w:tc>
        <w:tc>
          <w:tcPr>
            <w:tcW w:type="dxa" w:w="4535"/>
            <w:tcMar>
              <w:top w:w="90" w:type="dxa"/>
              <w:start w:w="100" w:type="dxa"/>
              <w:bottom w:w="90" w:type="dxa"/>
              <w:end w:w="100" w:type="dxa"/>
            </w:tcMar>
            <w:vAlign w:val="center"/>
          </w:tcPr>
          <w:p>
            <w:r>
              <w:rPr>
                <w:rFonts w:ascii="微软雅黑" w:hAnsi="微软雅黑" w:eastAsia="微软雅黑"/>
                <w:b w:val="0"/>
                <w:color w:val="000000"/>
                <w:sz w:val="16"/>
              </w:rPr>
              <w:t>暂停关键动作、主管复核</w:t>
            </w:r>
          </w:p>
        </w:tc>
      </w:tr>
      <w:tr>
        <w:trPr>
          <w:cantSplit/>
        </w:trPr>
        <w:tc>
          <w:tcPr>
            <w:tcW w:type="dxa" w:w="170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红色</w:t>
            </w:r>
          </w:p>
        </w:tc>
        <w:tc>
          <w:tcPr>
            <w:tcW w:type="dxa" w:w="3402"/>
            <w:tcMar>
              <w:top w:w="90" w:type="dxa"/>
              <w:start w:w="100" w:type="dxa"/>
              <w:bottom w:w="90" w:type="dxa"/>
              <w:end w:w="100" w:type="dxa"/>
            </w:tcMar>
            <w:vAlign w:val="center"/>
            <w:shd w:fill="F2F4F7"/>
          </w:tcPr>
          <w:p>
            <w:r>
              <w:rPr>
                <w:rFonts w:ascii="微软雅黑" w:hAnsi="微软雅黑" w:eastAsia="微软雅黑"/>
                <w:b w:val="0"/>
                <w:color w:val="000000"/>
                <w:sz w:val="16"/>
              </w:rPr>
              <w:t>不应执行/疑似违法</w:t>
            </w:r>
          </w:p>
        </w:tc>
        <w:tc>
          <w:tcPr>
            <w:tcW w:type="dxa" w:w="4535"/>
            <w:tcMar>
              <w:top w:w="90" w:type="dxa"/>
              <w:start w:w="100" w:type="dxa"/>
              <w:bottom w:w="90" w:type="dxa"/>
              <w:end w:w="100" w:type="dxa"/>
            </w:tcMar>
            <w:vAlign w:val="center"/>
            <w:shd w:fill="F2F4F7"/>
          </w:tcPr>
          <w:p>
            <w:r>
              <w:rPr>
                <w:rFonts w:ascii="微软雅黑" w:hAnsi="微软雅黑" w:eastAsia="微软雅黑"/>
                <w:b w:val="0"/>
                <w:color w:val="000000"/>
                <w:sz w:val="16"/>
              </w:rPr>
              <w:t>拒绝虚假处理并按权限升级</w:t>
            </w:r>
          </w:p>
        </w:tc>
      </w:tr>
    </w:tbl>
    <w:p>
      <w:pPr>
        <w:spacing w:after="20"/>
      </w:pPr>
    </w:p>
    <w:p>
      <w:pPr>
        <w:pStyle w:val="Heading2"/>
      </w:pPr>
      <w:r>
        <w:t>1.3 拒不整改的后果阶梯</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1757"/>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层级</w:t>
            </w:r>
          </w:p>
        </w:tc>
        <w:tc>
          <w:tcPr>
            <w:tcW w:type="dxa" w:w="4876"/>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可能后果</w:t>
            </w:r>
          </w:p>
        </w:tc>
        <w:tc>
          <w:tcPr>
            <w:tcW w:type="dxa" w:w="3005"/>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常见责任主体</w:t>
            </w:r>
          </w:p>
        </w:tc>
      </w:tr>
      <w:tr>
        <w:trPr>
          <w:cantSplit/>
        </w:trPr>
        <w:tc>
          <w:tcPr>
            <w:tcW w:type="dxa" w:w="1757"/>
            <w:tcMar>
              <w:top w:w="90" w:type="dxa"/>
              <w:start w:w="100" w:type="dxa"/>
              <w:bottom w:w="90" w:type="dxa"/>
              <w:end w:w="100" w:type="dxa"/>
            </w:tcMar>
            <w:vAlign w:val="center"/>
          </w:tcPr>
          <w:p>
            <w:pPr>
              <w:jc w:val="center"/>
            </w:pPr>
            <w:r>
              <w:rPr>
                <w:rFonts w:ascii="微软雅黑" w:hAnsi="微软雅黑" w:eastAsia="微软雅黑"/>
                <w:b w:val="0"/>
                <w:color w:val="000000"/>
                <w:sz w:val="16"/>
              </w:rPr>
              <w:t>流程与劳动管理</w:t>
            </w:r>
          </w:p>
        </w:tc>
        <w:tc>
          <w:tcPr>
            <w:tcW w:type="dxa" w:w="4876"/>
            <w:tcMar>
              <w:top w:w="90" w:type="dxa"/>
              <w:start w:w="100" w:type="dxa"/>
              <w:bottom w:w="90" w:type="dxa"/>
              <w:end w:w="100" w:type="dxa"/>
            </w:tcMar>
            <w:vAlign w:val="center"/>
          </w:tcPr>
          <w:p>
            <w:r>
              <w:rPr>
                <w:rFonts w:ascii="微软雅黑" w:hAnsi="微软雅黑" w:eastAsia="微软雅黑"/>
                <w:b w:val="0"/>
                <w:color w:val="000000"/>
                <w:sz w:val="16"/>
              </w:rPr>
              <w:t>退回、拒付、追回、取消授权；员工故意骗报可依合法公示制度处分，严重违纪或造成重大损害时依法处理劳动关系</w:t>
            </w:r>
          </w:p>
        </w:tc>
        <w:tc>
          <w:tcPr>
            <w:tcW w:type="dxa" w:w="3005"/>
            <w:tcMar>
              <w:top w:w="90" w:type="dxa"/>
              <w:start w:w="100" w:type="dxa"/>
              <w:bottom w:w="90" w:type="dxa"/>
              <w:end w:w="100" w:type="dxa"/>
            </w:tcMar>
            <w:vAlign w:val="center"/>
          </w:tcPr>
          <w:p>
            <w:r>
              <w:rPr>
                <w:rFonts w:ascii="微软雅黑" w:hAnsi="微软雅黑" w:eastAsia="微软雅黑"/>
                <w:b w:val="0"/>
                <w:color w:val="000000"/>
                <w:sz w:val="16"/>
              </w:rPr>
              <w:t>申请人、审批人</w:t>
            </w:r>
          </w:p>
        </w:tc>
      </w:tr>
      <w:tr>
        <w:trPr>
          <w:cantSplit/>
        </w:trPr>
        <w:tc>
          <w:tcPr>
            <w:tcW w:type="dxa" w:w="175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会计纠正</w:t>
            </w:r>
          </w:p>
        </w:tc>
        <w:tc>
          <w:tcPr>
            <w:tcW w:type="dxa" w:w="4876"/>
            <w:tcMar>
              <w:top w:w="90" w:type="dxa"/>
              <w:start w:w="100" w:type="dxa"/>
              <w:bottom w:w="90" w:type="dxa"/>
              <w:end w:w="100" w:type="dxa"/>
            </w:tcMar>
            <w:vAlign w:val="center"/>
            <w:shd w:fill="F2F4F7"/>
          </w:tcPr>
          <w:p>
            <w:r>
              <w:rPr>
                <w:rFonts w:ascii="微软雅黑" w:hAnsi="微软雅黑" w:eastAsia="微软雅黑"/>
                <w:b w:val="0"/>
                <w:color w:val="000000"/>
                <w:sz w:val="16"/>
              </w:rPr>
              <w:t>冲销、重分类、更正报表；参与伪造者可能被罚款并在法定期间不得从事会计工作</w:t>
            </w:r>
          </w:p>
        </w:tc>
        <w:tc>
          <w:tcPr>
            <w:tcW w:type="dxa" w:w="3005"/>
            <w:tcMar>
              <w:top w:w="90" w:type="dxa"/>
              <w:start w:w="100" w:type="dxa"/>
              <w:bottom w:w="90" w:type="dxa"/>
              <w:end w:w="100" w:type="dxa"/>
            </w:tcMar>
            <w:vAlign w:val="center"/>
            <w:shd w:fill="F2F4F7"/>
          </w:tcPr>
          <w:p>
            <w:r>
              <w:rPr>
                <w:rFonts w:ascii="微软雅黑" w:hAnsi="微软雅黑" w:eastAsia="微软雅黑"/>
                <w:b w:val="0"/>
                <w:color w:val="000000"/>
                <w:sz w:val="16"/>
              </w:rPr>
              <w:t>单位负责人、会计经办/复核</w:t>
            </w:r>
          </w:p>
        </w:tc>
      </w:tr>
      <w:tr>
        <w:trPr>
          <w:cantSplit/>
        </w:trPr>
        <w:tc>
          <w:tcPr>
            <w:tcW w:type="dxa" w:w="1757"/>
            <w:tcMar>
              <w:top w:w="90" w:type="dxa"/>
              <w:start w:w="100" w:type="dxa"/>
              <w:bottom w:w="90" w:type="dxa"/>
              <w:end w:w="100" w:type="dxa"/>
            </w:tcMar>
            <w:vAlign w:val="center"/>
          </w:tcPr>
          <w:p>
            <w:pPr>
              <w:jc w:val="center"/>
            </w:pPr>
            <w:r>
              <w:rPr>
                <w:rFonts w:ascii="微软雅黑" w:hAnsi="微软雅黑" w:eastAsia="微软雅黑"/>
                <w:b w:val="0"/>
                <w:color w:val="000000"/>
                <w:sz w:val="16"/>
              </w:rPr>
              <w:t>税款后果</w:t>
            </w:r>
          </w:p>
        </w:tc>
        <w:tc>
          <w:tcPr>
            <w:tcW w:type="dxa" w:w="4876"/>
            <w:tcMar>
              <w:top w:w="90" w:type="dxa"/>
              <w:start w:w="100" w:type="dxa"/>
              <w:bottom w:w="90" w:type="dxa"/>
              <w:end w:w="100" w:type="dxa"/>
            </w:tcMar>
            <w:vAlign w:val="center"/>
          </w:tcPr>
          <w:p>
            <w:r>
              <w:rPr>
                <w:rFonts w:ascii="微软雅黑" w:hAnsi="微软雅黑" w:eastAsia="微软雅黑"/>
                <w:b w:val="0"/>
                <w:color w:val="000000"/>
                <w:sz w:val="16"/>
              </w:rPr>
              <w:t>进项扣减、纳税调增、更正申报、补税；逾期税款按日万分之五加收滞纳金</w:t>
            </w:r>
          </w:p>
        </w:tc>
        <w:tc>
          <w:tcPr>
            <w:tcW w:type="dxa" w:w="3005"/>
            <w:tcMar>
              <w:top w:w="90" w:type="dxa"/>
              <w:start w:w="100" w:type="dxa"/>
              <w:bottom w:w="90" w:type="dxa"/>
              <w:end w:w="100" w:type="dxa"/>
            </w:tcMar>
            <w:vAlign w:val="center"/>
          </w:tcPr>
          <w:p>
            <w:r>
              <w:rPr>
                <w:rFonts w:ascii="微软雅黑" w:hAnsi="微软雅黑" w:eastAsia="微软雅黑"/>
                <w:b w:val="0"/>
                <w:color w:val="000000"/>
                <w:sz w:val="16"/>
              </w:rPr>
              <w:t>纳税人、扣缴义务人</w:t>
            </w:r>
          </w:p>
        </w:tc>
      </w:tr>
      <w:tr>
        <w:trPr>
          <w:cantSplit/>
        </w:trPr>
        <w:tc>
          <w:tcPr>
            <w:tcW w:type="dxa" w:w="175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税务行政处罚</w:t>
            </w:r>
          </w:p>
        </w:tc>
        <w:tc>
          <w:tcPr>
            <w:tcW w:type="dxa" w:w="4876"/>
            <w:tcMar>
              <w:top w:w="90" w:type="dxa"/>
              <w:start w:w="100" w:type="dxa"/>
              <w:bottom w:w="90" w:type="dxa"/>
              <w:end w:w="100" w:type="dxa"/>
            </w:tcMar>
            <w:vAlign w:val="center"/>
            <w:shd w:fill="F2F4F7"/>
          </w:tcPr>
          <w:p>
            <w:r>
              <w:rPr>
                <w:rFonts w:ascii="微软雅黑" w:hAnsi="微软雅黑" w:eastAsia="微软雅黑"/>
                <w:b w:val="0"/>
                <w:color w:val="000000"/>
                <w:sz w:val="16"/>
              </w:rPr>
              <w:t>逃税可处少缴税款50%至5倍罚款；发票违法按情节没收违法所得并处罚款</w:t>
            </w:r>
          </w:p>
        </w:tc>
        <w:tc>
          <w:tcPr>
            <w:tcW w:type="dxa" w:w="3005"/>
            <w:tcMar>
              <w:top w:w="90" w:type="dxa"/>
              <w:start w:w="100" w:type="dxa"/>
              <w:bottom w:w="90" w:type="dxa"/>
              <w:end w:w="100" w:type="dxa"/>
            </w:tcMar>
            <w:vAlign w:val="center"/>
            <w:shd w:fill="F2F4F7"/>
          </w:tcPr>
          <w:p>
            <w:r>
              <w:rPr>
                <w:rFonts w:ascii="微软雅黑" w:hAnsi="微软雅黑" w:eastAsia="微软雅黑"/>
                <w:b w:val="0"/>
                <w:color w:val="000000"/>
                <w:sz w:val="16"/>
              </w:rPr>
              <w:t>单位、直接负责主管人员、直接责任人员</w:t>
            </w:r>
          </w:p>
        </w:tc>
      </w:tr>
      <w:tr>
        <w:trPr>
          <w:cantSplit/>
        </w:trPr>
        <w:tc>
          <w:tcPr>
            <w:tcW w:type="dxa" w:w="1757"/>
            <w:tcMar>
              <w:top w:w="90" w:type="dxa"/>
              <w:start w:w="100" w:type="dxa"/>
              <w:bottom w:w="90" w:type="dxa"/>
              <w:end w:w="100" w:type="dxa"/>
            </w:tcMar>
            <w:vAlign w:val="center"/>
          </w:tcPr>
          <w:p>
            <w:pPr>
              <w:jc w:val="center"/>
            </w:pPr>
            <w:r>
              <w:rPr>
                <w:rFonts w:ascii="微软雅黑" w:hAnsi="微软雅黑" w:eastAsia="微软雅黑"/>
                <w:b w:val="0"/>
                <w:color w:val="000000"/>
                <w:sz w:val="16"/>
              </w:rPr>
              <w:t>公司治理与民事责任</w:t>
            </w:r>
          </w:p>
        </w:tc>
        <w:tc>
          <w:tcPr>
            <w:tcW w:type="dxa" w:w="4876"/>
            <w:tcMar>
              <w:top w:w="90" w:type="dxa"/>
              <w:start w:w="100" w:type="dxa"/>
              <w:bottom w:w="90" w:type="dxa"/>
              <w:end w:w="100" w:type="dxa"/>
            </w:tcMar>
            <w:vAlign w:val="center"/>
          </w:tcPr>
          <w:p>
            <w:r>
              <w:rPr>
                <w:rFonts w:ascii="微软雅黑" w:hAnsi="微软雅黑" w:eastAsia="微软雅黑"/>
                <w:b w:val="0"/>
                <w:color w:val="000000"/>
                <w:sz w:val="16"/>
              </w:rPr>
              <w:t>返还占用资金、赔偿公司损失、关联交易责任</w:t>
            </w:r>
          </w:p>
        </w:tc>
        <w:tc>
          <w:tcPr>
            <w:tcW w:type="dxa" w:w="3005"/>
            <w:tcMar>
              <w:top w:w="90" w:type="dxa"/>
              <w:start w:w="100" w:type="dxa"/>
              <w:bottom w:w="90" w:type="dxa"/>
              <w:end w:w="100" w:type="dxa"/>
            </w:tcMar>
            <w:vAlign w:val="center"/>
          </w:tcPr>
          <w:p>
            <w:r>
              <w:rPr>
                <w:rFonts w:ascii="微软雅黑" w:hAnsi="微软雅黑" w:eastAsia="微软雅黑"/>
                <w:b w:val="0"/>
                <w:color w:val="000000"/>
                <w:sz w:val="16"/>
              </w:rPr>
              <w:t>股东、实际控制人、董监高</w:t>
            </w:r>
          </w:p>
        </w:tc>
      </w:tr>
      <w:tr>
        <w:trPr>
          <w:cantSplit/>
        </w:trPr>
        <w:tc>
          <w:tcPr>
            <w:tcW w:type="dxa" w:w="1757"/>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刑事责任</w:t>
            </w:r>
          </w:p>
        </w:tc>
        <w:tc>
          <w:tcPr>
            <w:tcW w:type="dxa" w:w="4876"/>
            <w:tcMar>
              <w:top w:w="90" w:type="dxa"/>
              <w:start w:w="100" w:type="dxa"/>
              <w:bottom w:w="90" w:type="dxa"/>
              <w:end w:w="100" w:type="dxa"/>
            </w:tcMar>
            <w:vAlign w:val="center"/>
            <w:shd w:fill="F2F4F7"/>
          </w:tcPr>
          <w:p>
            <w:r>
              <w:rPr>
                <w:rFonts w:ascii="微软雅黑" w:hAnsi="微软雅黑" w:eastAsia="微软雅黑"/>
                <w:b w:val="0"/>
                <w:color w:val="000000"/>
                <w:sz w:val="16"/>
              </w:rPr>
              <w:t>只有达到犯罪构成、数额/数量标准并结合主观故意和危害结果时，才可能判处罚金、拘役或有期徒刑；问题发票不自动等于坐牢</w:t>
            </w:r>
          </w:p>
        </w:tc>
        <w:tc>
          <w:tcPr>
            <w:tcW w:type="dxa" w:w="3005"/>
            <w:tcMar>
              <w:top w:w="90" w:type="dxa"/>
              <w:start w:w="100" w:type="dxa"/>
              <w:bottom w:w="90" w:type="dxa"/>
              <w:end w:w="100" w:type="dxa"/>
            </w:tcMar>
            <w:vAlign w:val="center"/>
            <w:shd w:fill="F2F4F7"/>
          </w:tcPr>
          <w:p>
            <w:r>
              <w:rPr>
                <w:rFonts w:ascii="微软雅黑" w:hAnsi="微软雅黑" w:eastAsia="微软雅黑"/>
                <w:b w:val="0"/>
                <w:color w:val="000000"/>
                <w:sz w:val="16"/>
              </w:rPr>
              <w:t>单位及直接负责主管人员、其他直接责任人员</w:t>
            </w:r>
          </w:p>
        </w:tc>
      </w:tr>
    </w:tbl>
    <w:p>
      <w:pPr>
        <w:spacing w:after="20"/>
      </w:pPr>
    </w:p>
    <w:p>
      <w:pPr>
        <w:spacing w:before="80" w:after="100"/>
      </w:pPr>
      <w:r>
        <w:rPr>
          <w:rFonts w:ascii="微软雅黑" w:hAnsi="微软雅黑" w:eastAsia="微软雅黑"/>
          <w:b/>
          <w:color w:val="BF7200"/>
          <w:sz w:val="21"/>
        </w:rPr>
        <w:t>【判断提醒】</w:t>
      </w:r>
      <w:r>
        <w:rPr>
          <w:rFonts w:ascii="微软雅黑" w:hAnsi="微软雅黑" w:eastAsia="微软雅黑"/>
          <w:b w:val="0"/>
          <w:color w:val="000000"/>
          <w:sz w:val="21"/>
        </w:rPr>
        <w:t>罚款、补税、职业禁业和刑事责任不能互相替代。主动纠正、补税和如实配合可能影响处理结果，但并非所有案件都当然免责。</w:t>
      </w:r>
    </w:p>
    <w:p>
      <w:pPr>
        <w:pStyle w:val="Heading2"/>
      </w:pPr>
      <w:r>
        <w:t>1.4 责任主体怎么区分</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2041"/>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角色</w:t>
            </w:r>
          </w:p>
        </w:tc>
        <w:tc>
          <w:tcPr>
            <w:tcW w:type="dxa" w:w="3798"/>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应承担的控制责任</w:t>
            </w:r>
          </w:p>
        </w:tc>
        <w:tc>
          <w:tcPr>
            <w:tcW w:type="dxa" w:w="3798"/>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风险动作</w:t>
            </w:r>
          </w:p>
        </w:tc>
      </w:tr>
      <w:tr>
        <w:trPr>
          <w:cantSplit/>
        </w:trPr>
        <w:tc>
          <w:tcPr>
            <w:tcW w:type="dxa" w:w="2041"/>
            <w:tcMar>
              <w:top w:w="90" w:type="dxa"/>
              <w:start w:w="100" w:type="dxa"/>
              <w:bottom w:w="90" w:type="dxa"/>
              <w:end w:w="100" w:type="dxa"/>
            </w:tcMar>
            <w:vAlign w:val="center"/>
          </w:tcPr>
          <w:p>
            <w:pPr>
              <w:jc w:val="center"/>
            </w:pPr>
            <w:r>
              <w:rPr>
                <w:rFonts w:ascii="微软雅黑" w:hAnsi="微软雅黑" w:eastAsia="微软雅黑"/>
                <w:b w:val="0"/>
                <w:color w:val="000000"/>
                <w:sz w:val="16"/>
              </w:rPr>
              <w:t>老板/单位负责人</w:t>
            </w:r>
          </w:p>
        </w:tc>
        <w:tc>
          <w:tcPr>
            <w:tcW w:type="dxa" w:w="3798"/>
            <w:tcMar>
              <w:top w:w="90" w:type="dxa"/>
              <w:start w:w="100" w:type="dxa"/>
              <w:bottom w:w="90" w:type="dxa"/>
              <w:end w:w="100" w:type="dxa"/>
            </w:tcMar>
            <w:vAlign w:val="center"/>
          </w:tcPr>
          <w:p>
            <w:r>
              <w:rPr>
                <w:rFonts w:ascii="微软雅黑" w:hAnsi="微软雅黑" w:eastAsia="微软雅黑"/>
                <w:b w:val="0"/>
                <w:color w:val="000000"/>
                <w:sz w:val="16"/>
              </w:rPr>
              <w:t>保证会计资料真实完整，不得授意造假</w:t>
            </w:r>
          </w:p>
        </w:tc>
        <w:tc>
          <w:tcPr>
            <w:tcW w:type="dxa" w:w="3798"/>
            <w:tcMar>
              <w:top w:w="90" w:type="dxa"/>
              <w:start w:w="100" w:type="dxa"/>
              <w:bottom w:w="90" w:type="dxa"/>
              <w:end w:w="100" w:type="dxa"/>
            </w:tcMar>
            <w:vAlign w:val="center"/>
          </w:tcPr>
          <w:p>
            <w:r>
              <w:rPr>
                <w:rFonts w:ascii="微软雅黑" w:hAnsi="微软雅黑" w:eastAsia="微软雅黑"/>
                <w:b w:val="0"/>
                <w:color w:val="000000"/>
                <w:sz w:val="16"/>
              </w:rPr>
              <w:t>强令虚列、批准私人消费、毁损资料</w:t>
            </w:r>
          </w:p>
        </w:tc>
      </w:tr>
      <w:tr>
        <w:trPr>
          <w:cantSplit/>
        </w:trPr>
        <w:tc>
          <w:tcPr>
            <w:tcW w:type="dxa" w:w="204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员工/申请人</w:t>
            </w:r>
          </w:p>
        </w:tc>
        <w:tc>
          <w:tcPr>
            <w:tcW w:type="dxa" w:w="3798"/>
            <w:tcMar>
              <w:top w:w="90" w:type="dxa"/>
              <w:start w:w="100" w:type="dxa"/>
              <w:bottom w:w="90" w:type="dxa"/>
              <w:end w:w="100" w:type="dxa"/>
            </w:tcMar>
            <w:vAlign w:val="center"/>
            <w:shd w:fill="F2F4F7"/>
          </w:tcPr>
          <w:p>
            <w:r>
              <w:rPr>
                <w:rFonts w:ascii="微软雅黑" w:hAnsi="微软雅黑" w:eastAsia="微软雅黑"/>
                <w:b w:val="0"/>
                <w:color w:val="000000"/>
                <w:sz w:val="16"/>
              </w:rPr>
              <w:t>真实说明业务并提交本人取得的原始资料</w:t>
            </w:r>
          </w:p>
        </w:tc>
        <w:tc>
          <w:tcPr>
            <w:tcW w:type="dxa" w:w="3798"/>
            <w:tcMar>
              <w:top w:w="90" w:type="dxa"/>
              <w:start w:w="100" w:type="dxa"/>
              <w:bottom w:w="90" w:type="dxa"/>
              <w:end w:w="100" w:type="dxa"/>
            </w:tcMar>
            <w:vAlign w:val="center"/>
            <w:shd w:fill="F2F4F7"/>
          </w:tcPr>
          <w:p>
            <w:r>
              <w:rPr>
                <w:rFonts w:ascii="微软雅黑" w:hAnsi="微软雅黑" w:eastAsia="微软雅黑"/>
                <w:b w:val="0"/>
                <w:color w:val="000000"/>
                <w:sz w:val="16"/>
              </w:rPr>
              <w:t>替票、重复报销、伪造行程</w:t>
            </w:r>
          </w:p>
        </w:tc>
      </w:tr>
      <w:tr>
        <w:trPr>
          <w:cantSplit/>
        </w:trPr>
        <w:tc>
          <w:tcPr>
            <w:tcW w:type="dxa" w:w="2041"/>
            <w:tcMar>
              <w:top w:w="90" w:type="dxa"/>
              <w:start w:w="100" w:type="dxa"/>
              <w:bottom w:w="90" w:type="dxa"/>
              <w:end w:w="100" w:type="dxa"/>
            </w:tcMar>
            <w:vAlign w:val="center"/>
          </w:tcPr>
          <w:p>
            <w:pPr>
              <w:jc w:val="center"/>
            </w:pPr>
            <w:r>
              <w:rPr>
                <w:rFonts w:ascii="微软雅黑" w:hAnsi="微软雅黑" w:eastAsia="微软雅黑"/>
                <w:b w:val="0"/>
                <w:color w:val="000000"/>
                <w:sz w:val="16"/>
              </w:rPr>
              <w:t>业务审批人</w:t>
            </w:r>
          </w:p>
        </w:tc>
        <w:tc>
          <w:tcPr>
            <w:tcW w:type="dxa" w:w="3798"/>
            <w:tcMar>
              <w:top w:w="90" w:type="dxa"/>
              <w:start w:w="100" w:type="dxa"/>
              <w:bottom w:w="90" w:type="dxa"/>
              <w:end w:w="100" w:type="dxa"/>
            </w:tcMar>
            <w:vAlign w:val="center"/>
          </w:tcPr>
          <w:p>
            <w:r>
              <w:rPr>
                <w:rFonts w:ascii="微软雅黑" w:hAnsi="微软雅黑" w:eastAsia="微软雅黑"/>
                <w:b w:val="0"/>
                <w:color w:val="000000"/>
                <w:sz w:val="16"/>
              </w:rPr>
              <w:t>验证必要性、预算、受益人和履约</w:t>
            </w:r>
          </w:p>
        </w:tc>
        <w:tc>
          <w:tcPr>
            <w:tcW w:type="dxa" w:w="3798"/>
            <w:tcMar>
              <w:top w:w="90" w:type="dxa"/>
              <w:start w:w="100" w:type="dxa"/>
              <w:bottom w:w="90" w:type="dxa"/>
              <w:end w:w="100" w:type="dxa"/>
            </w:tcMar>
            <w:vAlign w:val="center"/>
          </w:tcPr>
          <w:p>
            <w:r>
              <w:rPr>
                <w:rFonts w:ascii="微软雅黑" w:hAnsi="微软雅黑" w:eastAsia="微软雅黑"/>
                <w:b w:val="0"/>
                <w:color w:val="000000"/>
                <w:sz w:val="16"/>
              </w:rPr>
              <w:t>明知虚假仍批准</w:t>
            </w:r>
          </w:p>
        </w:tc>
      </w:tr>
      <w:tr>
        <w:trPr>
          <w:cantSplit/>
        </w:trPr>
        <w:tc>
          <w:tcPr>
            <w:tcW w:type="dxa" w:w="204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财务经办</w:t>
            </w:r>
          </w:p>
        </w:tc>
        <w:tc>
          <w:tcPr>
            <w:tcW w:type="dxa" w:w="3798"/>
            <w:tcMar>
              <w:top w:w="90" w:type="dxa"/>
              <w:start w:w="100" w:type="dxa"/>
              <w:bottom w:w="90" w:type="dxa"/>
              <w:end w:w="100" w:type="dxa"/>
            </w:tcMar>
            <w:vAlign w:val="center"/>
            <w:shd w:fill="F2F4F7"/>
          </w:tcPr>
          <w:p>
            <w:r>
              <w:rPr>
                <w:rFonts w:ascii="微软雅黑" w:hAnsi="微软雅黑" w:eastAsia="微软雅黑"/>
                <w:b w:val="0"/>
                <w:color w:val="000000"/>
                <w:sz w:val="16"/>
              </w:rPr>
              <w:t>审核凭证、按实入账、提出异常</w:t>
            </w:r>
          </w:p>
        </w:tc>
        <w:tc>
          <w:tcPr>
            <w:tcW w:type="dxa" w:w="3798"/>
            <w:tcMar>
              <w:top w:w="90" w:type="dxa"/>
              <w:start w:w="100" w:type="dxa"/>
              <w:bottom w:w="90" w:type="dxa"/>
              <w:end w:w="100" w:type="dxa"/>
            </w:tcMar>
            <w:vAlign w:val="center"/>
            <w:shd w:fill="F2F4F7"/>
          </w:tcPr>
          <w:p>
            <w:r>
              <w:rPr>
                <w:rFonts w:ascii="微软雅黑" w:hAnsi="微软雅黑" w:eastAsia="微软雅黑"/>
                <w:b w:val="0"/>
                <w:color w:val="000000"/>
                <w:sz w:val="16"/>
              </w:rPr>
              <w:t>明知无业务仍制单抵扣</w:t>
            </w:r>
          </w:p>
        </w:tc>
      </w:tr>
      <w:tr>
        <w:trPr>
          <w:cantSplit/>
        </w:trPr>
        <w:tc>
          <w:tcPr>
            <w:tcW w:type="dxa" w:w="2041"/>
            <w:tcMar>
              <w:top w:w="90" w:type="dxa"/>
              <w:start w:w="100" w:type="dxa"/>
              <w:bottom w:w="90" w:type="dxa"/>
              <w:end w:w="100" w:type="dxa"/>
            </w:tcMar>
            <w:vAlign w:val="center"/>
          </w:tcPr>
          <w:p>
            <w:pPr>
              <w:jc w:val="center"/>
            </w:pPr>
            <w:r>
              <w:rPr>
                <w:rFonts w:ascii="微软雅黑" w:hAnsi="微软雅黑" w:eastAsia="微软雅黑"/>
                <w:b w:val="0"/>
                <w:color w:val="000000"/>
                <w:sz w:val="16"/>
              </w:rPr>
              <w:t>财务主管/复核</w:t>
            </w:r>
          </w:p>
        </w:tc>
        <w:tc>
          <w:tcPr>
            <w:tcW w:type="dxa" w:w="3798"/>
            <w:tcMar>
              <w:top w:w="90" w:type="dxa"/>
              <w:start w:w="100" w:type="dxa"/>
              <w:bottom w:w="90" w:type="dxa"/>
              <w:end w:w="100" w:type="dxa"/>
            </w:tcMar>
            <w:vAlign w:val="center"/>
          </w:tcPr>
          <w:p>
            <w:r>
              <w:rPr>
                <w:rFonts w:ascii="微软雅黑" w:hAnsi="微软雅黑" w:eastAsia="微软雅黑"/>
                <w:b w:val="0"/>
                <w:color w:val="000000"/>
                <w:sz w:val="16"/>
              </w:rPr>
              <w:t>建立制度、复核重大异常、升级红线</w:t>
            </w:r>
          </w:p>
        </w:tc>
        <w:tc>
          <w:tcPr>
            <w:tcW w:type="dxa" w:w="3798"/>
            <w:tcMar>
              <w:top w:w="90" w:type="dxa"/>
              <w:start w:w="100" w:type="dxa"/>
              <w:bottom w:w="90" w:type="dxa"/>
              <w:end w:w="100" w:type="dxa"/>
            </w:tcMar>
            <w:vAlign w:val="center"/>
          </w:tcPr>
          <w:p>
            <w:r>
              <w:rPr>
                <w:rFonts w:ascii="微软雅黑" w:hAnsi="微软雅黑" w:eastAsia="微软雅黑"/>
                <w:b w:val="0"/>
                <w:color w:val="000000"/>
                <w:sz w:val="16"/>
              </w:rPr>
              <w:t>压下异常、指使修改事实</w:t>
            </w:r>
          </w:p>
        </w:tc>
      </w:tr>
      <w:tr>
        <w:trPr>
          <w:cantSplit/>
        </w:trPr>
        <w:tc>
          <w:tcPr>
            <w:tcW w:type="dxa" w:w="2041"/>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6"/>
              </w:rPr>
              <w:t>开票/收款方</w:t>
            </w:r>
          </w:p>
        </w:tc>
        <w:tc>
          <w:tcPr>
            <w:tcW w:type="dxa" w:w="3798"/>
            <w:tcMar>
              <w:top w:w="90" w:type="dxa"/>
              <w:start w:w="100" w:type="dxa"/>
              <w:bottom w:w="90" w:type="dxa"/>
              <w:end w:w="100" w:type="dxa"/>
            </w:tcMar>
            <w:vAlign w:val="center"/>
            <w:shd w:fill="F2F4F7"/>
          </w:tcPr>
          <w:p>
            <w:r>
              <w:rPr>
                <w:rFonts w:ascii="微软雅黑" w:hAnsi="微软雅黑" w:eastAsia="微软雅黑"/>
                <w:b w:val="0"/>
                <w:color w:val="000000"/>
                <w:sz w:val="16"/>
              </w:rPr>
              <w:t>如实开票并按真实交易收款</w:t>
            </w:r>
          </w:p>
        </w:tc>
        <w:tc>
          <w:tcPr>
            <w:tcW w:type="dxa" w:w="3798"/>
            <w:tcMar>
              <w:top w:w="90" w:type="dxa"/>
              <w:start w:w="100" w:type="dxa"/>
              <w:bottom w:w="90" w:type="dxa"/>
              <w:end w:w="100" w:type="dxa"/>
            </w:tcMar>
            <w:vAlign w:val="center"/>
            <w:shd w:fill="F2F4F7"/>
          </w:tcPr>
          <w:p>
            <w:r>
              <w:rPr>
                <w:rFonts w:ascii="微软雅黑" w:hAnsi="微软雅黑" w:eastAsia="微软雅黑"/>
                <w:b w:val="0"/>
                <w:color w:val="000000"/>
                <w:sz w:val="16"/>
              </w:rPr>
              <w:t>无业务开票、资金回流</w:t>
            </w:r>
          </w:p>
        </w:tc>
      </w:tr>
    </w:tbl>
    <w:p>
      <w:pPr>
        <w:spacing w:after="20"/>
      </w:pPr>
    </w:p>
    <w:p>
      <w:pPr>
        <w:pStyle w:val="Heading2"/>
      </w:pPr>
      <w:r>
        <w:t>1.5 面对不合理指令的SOP</w:t>
      </w:r>
    </w:p>
    <w:p>
      <w:pPr>
        <w:spacing w:after="100" w:line="300" w:lineRule="auto"/>
      </w:pPr>
      <w:r>
        <w:rPr>
          <w:rFonts w:ascii="微软雅黑" w:hAnsi="微软雅黑" w:eastAsia="微软雅黑"/>
          <w:b w:val="0"/>
          <w:color w:val="000000"/>
          <w:sz w:val="21"/>
        </w:rPr>
        <w:t>明确真实业务 → 判断受益人和主体 → 分别形成会计与税务结论 → 引用有效法规 → 提供合法替代方案 → 在OA/邮件记录风险和选择 → 按授权矩阵升级 → 明显违法时拒绝执行 → 保留原始记录，不制作或补造假证据。</w:t>
      </w:r>
    </w:p>
    <w:p>
      <w:pPr>
        <w:pStyle w:val="Heading2"/>
      </w:pPr>
      <w:r>
        <w:t>1.6 20条可直接使用的沟通表达</w:t>
      </w:r>
    </w:p>
    <w:p>
      <w:pPr>
        <w:spacing w:after="100" w:line="300" w:lineRule="auto"/>
      </w:pPr>
      <w:r>
        <w:rPr>
          <w:rFonts w:ascii="微软雅黑" w:hAnsi="微软雅黑" w:eastAsia="微软雅黑"/>
          <w:b w:val="0"/>
          <w:color w:val="000000"/>
          <w:sz w:val="21"/>
        </w:rPr>
        <w:t>1. 这笔款公司可以先支付，但真实受益人是个人，账务上需要挂个人往来并约定归还，不能直接计入公司费用。</w:t>
      </w:r>
    </w:p>
    <w:p>
      <w:pPr>
        <w:spacing w:after="100" w:line="300" w:lineRule="auto"/>
      </w:pPr>
      <w:r>
        <w:rPr>
          <w:rFonts w:ascii="微软雅黑" w:hAnsi="微软雅黑" w:eastAsia="微软雅黑"/>
          <w:b w:val="0"/>
          <w:color w:val="000000"/>
          <w:sz w:val="21"/>
        </w:rPr>
        <w:t>2. 发票验真只能证明票据存在，尚不能证明公司实际取得了货物或服务；请补合同、验收和付款资料。</w:t>
      </w:r>
    </w:p>
    <w:p>
      <w:pPr>
        <w:spacing w:after="100" w:line="300" w:lineRule="auto"/>
      </w:pPr>
      <w:r>
        <w:rPr>
          <w:rFonts w:ascii="微软雅黑" w:hAnsi="微软雅黑" w:eastAsia="微软雅黑"/>
          <w:b w:val="0"/>
          <w:color w:val="000000"/>
          <w:sz w:val="21"/>
        </w:rPr>
        <w:t>3. 会计上应如实反映这笔支出，企业所得税是否扣除需要另做判断，我会同步登记纳税调整。</w:t>
      </w:r>
    </w:p>
    <w:p>
      <w:pPr>
        <w:spacing w:after="100" w:line="300" w:lineRule="auto"/>
      </w:pPr>
      <w:r>
        <w:rPr>
          <w:rFonts w:ascii="微软雅黑" w:hAnsi="微软雅黑" w:eastAsia="微软雅黑"/>
          <w:b w:val="0"/>
          <w:color w:val="000000"/>
          <w:sz w:val="21"/>
        </w:rPr>
        <w:t>4. 这项用途依法不得抵扣进项税，发票可以入账，但税额需要计入成本费用。</w:t>
      </w:r>
    </w:p>
    <w:p>
      <w:pPr>
        <w:spacing w:after="100" w:line="300" w:lineRule="auto"/>
      </w:pPr>
      <w:r>
        <w:rPr>
          <w:rFonts w:ascii="微软雅黑" w:hAnsi="微软雅黑" w:eastAsia="微软雅黑"/>
          <w:b w:val="0"/>
          <w:color w:val="000000"/>
          <w:sz w:val="21"/>
        </w:rPr>
        <w:t>5. 当前合同、履约、发票和付款主体不一致，请先说明法律关系并补代付/委托资料。</w:t>
      </w:r>
    </w:p>
    <w:p>
      <w:pPr>
        <w:spacing w:after="100" w:line="300" w:lineRule="auto"/>
      </w:pPr>
      <w:r>
        <w:rPr>
          <w:rFonts w:ascii="微软雅黑" w:hAnsi="微软雅黑" w:eastAsia="微软雅黑"/>
          <w:b w:val="0"/>
          <w:color w:val="000000"/>
          <w:sz w:val="21"/>
        </w:rPr>
        <w:t>6. 这张票已在系统中出现过，需先确认是否重复报销；核实前暂不付款。</w:t>
      </w:r>
    </w:p>
    <w:p>
      <w:pPr>
        <w:spacing w:after="100" w:line="300" w:lineRule="auto"/>
      </w:pPr>
      <w:r>
        <w:rPr>
          <w:rFonts w:ascii="微软雅黑" w:hAnsi="微软雅黑" w:eastAsia="微软雅黑"/>
          <w:b w:val="0"/>
          <w:color w:val="000000"/>
          <w:sz w:val="21"/>
        </w:rPr>
        <w:t>7. 周末或异地发票不是自动违规，但需要行程、对象和业务目的形成闭环。</w:t>
      </w:r>
    </w:p>
    <w:p>
      <w:pPr>
        <w:spacing w:after="100" w:line="300" w:lineRule="auto"/>
      </w:pPr>
      <w:r>
        <w:rPr>
          <w:rFonts w:ascii="微软雅黑" w:hAnsi="微软雅黑" w:eastAsia="微软雅黑"/>
          <w:b w:val="0"/>
          <w:color w:val="000000"/>
          <w:sz w:val="21"/>
        </w:rPr>
        <w:t>8. 私人部分请从本次申请中剔除，公司只承担能证明与公务相关的部分。</w:t>
      </w:r>
    </w:p>
    <w:p>
      <w:pPr>
        <w:spacing w:after="100" w:line="300" w:lineRule="auto"/>
      </w:pPr>
      <w:r>
        <w:rPr>
          <w:rFonts w:ascii="微软雅黑" w:hAnsi="微软雅黑" w:eastAsia="微软雅黑"/>
          <w:b w:val="0"/>
          <w:color w:val="000000"/>
          <w:sz w:val="21"/>
        </w:rPr>
        <w:t>9. 如果公司最终承担这项个人利益，需要按工资薪金或股息红利评估个税，不能只改费用科目。</w:t>
      </w:r>
    </w:p>
    <w:p>
      <w:pPr>
        <w:spacing w:after="100" w:line="300" w:lineRule="auto"/>
      </w:pPr>
      <w:r>
        <w:rPr>
          <w:rFonts w:ascii="微软雅黑" w:hAnsi="微软雅黑" w:eastAsia="微软雅黑"/>
          <w:b w:val="0"/>
          <w:color w:val="000000"/>
          <w:sz w:val="21"/>
        </w:rPr>
        <w:t>10. 供应商不能及时开票不等于业务不能入账；我们先按真实义务确认，同时跟踪税前扣除凭证。</w:t>
      </w:r>
    </w:p>
    <w:p>
      <w:pPr>
        <w:spacing w:after="100" w:line="300" w:lineRule="auto"/>
      </w:pPr>
      <w:r>
        <w:rPr>
          <w:rFonts w:ascii="微软雅黑" w:hAnsi="微软雅黑" w:eastAsia="微软雅黑"/>
          <w:b w:val="0"/>
          <w:color w:val="000000"/>
          <w:sz w:val="21"/>
        </w:rPr>
        <w:t>11. 这项支出达到资产确认条件，应登记资产并按受益期折旧/摊销，不能为了当期利润任意费用化。</w:t>
      </w:r>
    </w:p>
    <w:p>
      <w:pPr>
        <w:spacing w:after="100" w:line="300" w:lineRule="auto"/>
      </w:pPr>
      <w:r>
        <w:rPr>
          <w:rFonts w:ascii="微软雅黑" w:hAnsi="微软雅黑" w:eastAsia="微软雅黑"/>
          <w:b w:val="0"/>
          <w:color w:val="000000"/>
          <w:sz w:val="21"/>
        </w:rPr>
        <w:t>12. 请让开票方按真实品名和金额红冲重开，财务不能在发票上手工修改。</w:t>
      </w:r>
    </w:p>
    <w:p>
      <w:pPr>
        <w:spacing w:after="100" w:line="300" w:lineRule="auto"/>
      </w:pPr>
      <w:r>
        <w:rPr>
          <w:rFonts w:ascii="微软雅黑" w:hAnsi="微软雅黑" w:eastAsia="微软雅黑"/>
          <w:b w:val="0"/>
          <w:color w:val="000000"/>
          <w:sz w:val="21"/>
        </w:rPr>
        <w:t>13. 这笔招待费可以入账，但所得税扣除受双限额约束，需有对象、目的和审批资料。</w:t>
      </w:r>
    </w:p>
    <w:p>
      <w:pPr>
        <w:spacing w:after="100" w:line="300" w:lineRule="auto"/>
      </w:pPr>
      <w:r>
        <w:rPr>
          <w:rFonts w:ascii="微软雅黑" w:hAnsi="微软雅黑" w:eastAsia="微软雅黑"/>
          <w:b w:val="0"/>
          <w:color w:val="000000"/>
          <w:sz w:val="21"/>
        </w:rPr>
        <w:t>14. 员工福利需要名单、制度和签收，同时判断福利费限额、进项抵扣限制与个税。</w:t>
      </w:r>
    </w:p>
    <w:p>
      <w:pPr>
        <w:spacing w:after="100" w:line="300" w:lineRule="auto"/>
      </w:pPr>
      <w:r>
        <w:rPr>
          <w:rFonts w:ascii="微软雅黑" w:hAnsi="微软雅黑" w:eastAsia="微软雅黑"/>
          <w:b w:val="0"/>
          <w:color w:val="000000"/>
          <w:sz w:val="21"/>
        </w:rPr>
        <w:t>15. 母公司可以代付款，但费用、进项和资产应归实际购买并使用的主体，双方同步挂往来。</w:t>
      </w:r>
    </w:p>
    <w:p>
      <w:pPr>
        <w:spacing w:after="100" w:line="300" w:lineRule="auto"/>
      </w:pPr>
      <w:r>
        <w:rPr>
          <w:rFonts w:ascii="微软雅黑" w:hAnsi="微软雅黑" w:eastAsia="微软雅黑"/>
          <w:b w:val="0"/>
          <w:color w:val="000000"/>
          <w:sz w:val="21"/>
        </w:rPr>
        <w:t>16. 目前资料不足以支持抵扣和付款，我先把事项登记为异常，不会把事实不清的业务硬做进账。</w:t>
      </w:r>
    </w:p>
    <w:p>
      <w:pPr>
        <w:spacing w:after="100" w:line="300" w:lineRule="auto"/>
      </w:pPr>
      <w:r>
        <w:rPr>
          <w:rFonts w:ascii="微软雅黑" w:hAnsi="微软雅黑" w:eastAsia="微软雅黑"/>
          <w:b w:val="0"/>
          <w:color w:val="000000"/>
          <w:sz w:val="21"/>
        </w:rPr>
        <w:t>17. 如果继续按虚假业务处理，风险会从内部退单升级为补税、滞纳金、罚款，达到法定条件还可能涉及刑事责任。</w:t>
      </w:r>
    </w:p>
    <w:p>
      <w:pPr>
        <w:spacing w:after="100" w:line="300" w:lineRule="auto"/>
      </w:pPr>
      <w:r>
        <w:rPr>
          <w:rFonts w:ascii="微软雅黑" w:hAnsi="微软雅黑" w:eastAsia="微软雅黑"/>
          <w:b w:val="0"/>
          <w:color w:val="000000"/>
          <w:sz w:val="21"/>
        </w:rPr>
        <w:t>18. 我不能制作虚假合同、验收或会议记录；可以协助按真实业务寻找合法的账务和税务处理。</w:t>
      </w:r>
    </w:p>
    <w:p>
      <w:pPr>
        <w:spacing w:after="100" w:line="300" w:lineRule="auto"/>
      </w:pPr>
      <w:r>
        <w:rPr>
          <w:rFonts w:ascii="微软雅黑" w:hAnsi="微软雅黑" w:eastAsia="微软雅黑"/>
          <w:b w:val="0"/>
          <w:color w:val="000000"/>
          <w:sz w:val="21"/>
        </w:rPr>
        <w:t>19. 请把指令和业务事实写入OA，由有权负责人复核；财务会同时保留专业判断和替代方案。</w:t>
      </w:r>
    </w:p>
    <w:p>
      <w:pPr>
        <w:spacing w:after="100" w:line="300" w:lineRule="auto"/>
      </w:pPr>
      <w:r>
        <w:rPr>
          <w:rFonts w:ascii="微软雅黑" w:hAnsi="微软雅黑" w:eastAsia="微软雅黑"/>
          <w:b w:val="0"/>
          <w:color w:val="000000"/>
          <w:sz w:val="21"/>
        </w:rPr>
        <w:t>20. 该事项已经触及红线，我将停止制单、付款或抵扣，并按公司授权矩阵提交财务负责人和法务。</w:t>
      </w:r>
    </w:p>
    <w:p>
      <w:pPr>
        <w:pStyle w:val="Heading1"/>
      </w:pPr>
      <w:r>
        <w:t>第二篇至第十一篇　141个高频案例</w:t>
      </w:r>
    </w:p>
    <w:p>
      <w:pPr>
        <w:pStyle w:val="Heading1"/>
      </w:pPr>
      <w:r>
        <w:t>第2篇　老板/股东私人支出</w:t>
      </w:r>
    </w:p>
    <w:p>
      <w:pPr>
        <w:spacing w:after="100" w:line="300" w:lineRule="auto"/>
      </w:pPr>
      <w:r>
        <w:rPr>
          <w:rFonts w:ascii="微软雅黑" w:hAnsi="微软雅黑" w:eastAsia="微软雅黑"/>
          <w:b w:val="0"/>
          <w:color w:val="000000"/>
          <w:sz w:val="21"/>
        </w:rPr>
        <w:t>公司支付不等于公司费用；穿透最终受益人，区分其他应收款、工资薪金、股利分配和关联资金占用。</w:t>
      </w:r>
    </w:p>
    <w:p>
      <w:pPr>
        <w:pStyle w:val="Heading2"/>
        <w:pageBreakBefore/>
      </w:pPr>
      <w:r>
        <w:t>BOSS-001　老板给情人购买奢侈品包</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老板个人信用卡购买奢侈品包8万元，收货人和实际使用人为其私人关系人，要求财务用“客户礼品”或“办公用品”发票报销。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真实受益人是老板相关个人；不属于公司经营支出。需判断股东个人消费、往来清收、利润分配/股息红利、公司治理及虚假核算。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⑥明显不应处理；若伪造业务、买票或虚抵则为⑦。公司可以形成对老板的债权，但不能把个人消费改名计入销售费用。若公司最终承担且老板为个人投资者，税务上可能视为红利分配并代扣个税；公司所得税不得扣除。</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费用审批；取得实际订单、收货地址、支付人与受益人信息；OA标注“个人支出待归还”，挂老板个人往来并设还款期限。若股东会依法决定分配且满足利润分配条件，再按利润分配处理；不得倒签客户名单或虚构赠礼。</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暂代付：借：其他应收款—股东80,000；贷：银行存款80,000。归还时反向。若依法确认为股利：借：应付股利；贷：其他应收款，并代扣“利息、股息、红利所得”个税。</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不得抵扣。若已抵扣，应按增值税法第22条及实施条例第24条扣减；以“客户礼品”假名义抵扣会放大风险。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与取得收入无关，不得税前扣除；已计入费用应全额纳税调增。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有限责任公司等为个人投资者及相关人员支付非经营消费，财税〔2003〕158号按红利分配规则处理；企业承担个税还需正确反算和入账。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发票是真的也不能改变私人消费实质。不得要求商家把奢侈品改开“办公用品”，也不得找第三方代开。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真实购物凭证、付款流水、收货信息、老板确认、往来清收通知；若利润分配则需可分配利润资料和股东会决议。</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这笔支出的实际受益人是个人，不能按客户礼品或办公用品入账。我可以先按股东往来登记并安排归还；如果公司决定承担，需要按合法利润分配及个税程序处理。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BOSS-002　老板私人车辆油费维修保险</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车辆登记在老板个人名下，平时既用于客户拜访也用于家庭出行，公司收到油费、维修费、保险费发票。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判断公司是否真实租用、业务里程与私人里程、费用承担边界；不能因为老板偶尔出差就承担全年全部车费。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满足条件可做；③私人部分会计反映往来且税务不得扣除。有真实租赁/使用安排、业务必要性、用车记录和合法凭证的经营相关费用可讨论扣除；折旧不属于公司。保险、年检、维修等是否由公司承担及扣除存在地区口径差异，应在合同中清楚约定并向主管税务机关核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签订公允租赁协议；个人按规定开具租赁发票；建立派车/行程/里程和油耗台账；私人里程剔除；关联交易履行报告审批。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租金及可归属业务费用：借管理/销售费用、应交税费—进项税额（仅符合条件部分）；贷银行/其他应付款。私人部分：借其他应收款—老板；贷银行。</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公司取得合规扣税凭证且用于一般计税经营的部分再判断抵扣；个人消费部分不得抵扣。餐饮、娱乐等自身仍受法定不得抵扣限制。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真实、相关、合理且凭证合规的业务部分可扣；私人部分不得扣。上海税务答复支持“租赁合同+租赁发票+业务相关油费路桥费”，但地区执行需确认。</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向个人支付租金可能涉及财产租赁所得的代扣代缴情形及个人增值税代开；若实质为对老板的额外报酬或股东消费，按相应所得重定性。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租赁由个人按规定代开；油费等发票开公司且与业务台账匹配。仅有公司抬头油票不足以证明经营用途。</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租赁合同、董事会/股东会或关联交易审批、行程台账、里程照片/系统记录、客户拜访记录、发票和付款流水。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车辆可以用于公司业务，但需要把租赁关系和公私里程分开。公司只承担有合同、有业务记录、与里程匹配的部分，私人部分请个人结算。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BOSS-003　股东长期从公司借款</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股东3月借走200万元用于买房，挂其他应收款，12月31日仍未归还，老板要求用假报销单冲掉。</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债权是否真实可收回、是否用于企业经营、关联交易审批、利息和期限、年末个税规则，以及假费用冲账风险。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真实短期借款可做；④年末未还且非经营用途可能纳税；⑤长期占用高风险。应继续反映其他应收款并催收，不得用虚假费用冲销。年度终了未归还且未用于企业经营的，财税〔2003〕158号规定可视为红利分配计征个税。</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核查借款合同、用途、审批、还款能力和资金流；发正式催收函；向管理层书面报告个税和治理后果；评估减值，但减值不能替代追偿或个税处理。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支付：借其他应收款—股东200万；贷银行200万。归还：相反。若依法确认股利并满足分配条件：借应付股利；贷其他应收款；个税另计。不得借管理费用贷其他应收款。</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借款利息及关联资金占用涉及金融服务判断；本样稿不据此直接给唯一结论，应结合是否有偿、2026年增值税规则和合同确认。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本金不是企业费用；坏账或减值须有真实信用损失证据。无偿或不公允关联资金安排还涉及独立交易与公司利益。</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财税〔2003〕158号第2条是核心；年末不还且非经营用途，可能按利息股息红利所得处理。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借款不靠发票入账；以餐费、咨询费等假发票冲借款属于虚假核算。</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借款合同、股东/董事会审批、银行流水、用途证明、对账及催收、个税测算和管理层报告。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这笔款目前是公司对股东的债权，不能用发票冲平。年末未归还且未用于经营会触发股息红利个税风险，我会保留往来、发催收通知并提交管理层处理。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BOSS-004　老板私人旅游冒充商务差旅</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老板携家属去三亚度假，期间与客户吃过一次饭，要求机票酒店全部按商务考察报销。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主要目的、同行人、商务日程、公私行程分拆、家属受益、招待和差旅证据。</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⑥私人部分不应处理；伪造行程和替票可能进入⑦。一次客户用餐不能把整个家庭旅游变成公司差旅。能证明的商务增量成本可单独处理；老板和家属私人机酒由个人承担。</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取得逐日行程、参会/拜访证据和同行人；按实际商务天数、商务人员及增量成本分拆；家属费用剔除；不能让旅行社改开会议费。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商务部分借差旅/招待费；私人部分公司已付时借其他应收款—老板；贷银行。最终公司承担时按股东分红或任职薪酬判断。</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私人旅游和集体福利/个人消费相关进项不得抵扣；餐饮服务进项法定不得抵扣。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私人部分与收入无关不得扣；真实客户宴请按业务招待费双限额。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公司替股东及家属承担旅游费可能按红利；若因任职取得则可能工资薪金，需按身份和实质判断。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旅行社发票即使开公司也不证明公务；不得把旅游改开“会议费”。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出差申请、客户邀请、会议签到、逐日行程、同行人、订单、发票付款和费用分拆。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与客户吃一顿饭不能覆盖整段家庭旅游。请提供真实商务日程，公司只承担商务人员和商务天数对应的支出，其余由个人结算。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BOSS-005　老板购买避孕套等明显私人用品</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企业实际发生“老板购买避孕套等明显私人用品”，业务部门或相关个人提交发票/付款申请，财务需要判断是否报销、如何入账及税务处理。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建议科目：其他应收款—股东。最终分录按是否已付款、是否形成资产/负债、是否取得扣税凭证及真实受益人确定，不用一张固定分录覆盖所有时点。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这项业务我会按“明显私人用品”的真实实质处理。请先补齐业务、受益人和主体资料；能合规处理的部分我会正常入账，私人、虚假或证据不足部分将退回、追回或按权限升级。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BOSS-006　老板私人住房家具由公司付款</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企业实际发生“老板私人住房家具由公司付款”，业务部门或相关个人提交发票/付款申请，财务需要判断是否报销、如何入账及税务处理。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建议科目：其他应收款/依法确认的利润分配。最终分录按是否已付款、是否形成资产/负债、是否取得扣税凭证及真实受益人确定，不用一张固定分录覆盖所有时点。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这项业务我会按“家庭财产”的真实实质处理。请先补齐业务、受益人和主体资料；能合规处理的部分我会正常入账，私人、虚假或证据不足部分将退回、追回或按权限升级。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BOSS-007　老板家属旅行费</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企业实际发生“老板家属旅行费”，业务部门或相关个人提交发票/付款申请，财务需要判断是否报销、如何入账及税务处理。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建议科目：其他应收款/股利或薪酬判断。最终分录按是否已付款、是否形成资产/负债、是否取得扣税凭证及真实受益人确定，不用一张固定分录覆盖所有时点。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这项业务我会按“家属受益”的真实实质处理。请先补齐业务、受益人和主体资料；能合规处理的部分我会正常入账，私人、虚假或证据不足部分将退回、追回或按权限升级。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BOSS-008　老板孩子学费</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企业实际发生“老板孩子学费”，业务部门或相关个人提交发票/付款申请，财务需要判断是否报销、如何入账及税务处理。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建议科目：其他应收款/股利或薪酬判断。最终分录按是否已付款、是否形成资产/负债、是否取得扣税凭证及真实受益人确定，不用一张固定分录覆盖所有时点。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这项业务我会按“家庭支出”的真实实质处理。请先补齐业务、受益人和主体资料；能合规处理的部分我会正常入账，私人、虚假或证据不足部分将退回、追回或按权限升级。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BOSS-009　老板个人体检美容医疗</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企业实际发生“老板个人体检美容医疗”，业务部门或相关个人提交发票/付款申请，财务需要判断是否报销、如何入账及税务处理。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建议科目：其他应收款；任职福利满足制度时职工薪酬。最终分录按是否已付款、是否形成资产/负债、是否取得扣税凭证及真实受益人确定，不用一张固定分录覆盖所有时点。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这项业务我会按“个人健康消费”的真实实质处理。请先补齐业务、受益人和主体资料；能合规处理的部分我会正常入账，私人、虚假或证据不足部分将退回、追回或按权限升级。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BOSS-010　老板私人宴请</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企业实际发生“老板私人宴请”，业务部门或相关个人提交发票/付款申请，财务需要判断是否报销、如何入账及税务处理。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建议科目：其他应收款；真实客户部分招待费。最终分录按是否已付款、是否形成资产/负债、是否取得扣税凭证及真实受益人确定，不用一张固定分录覆盖所有时点。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这项业务我会按“公私混合”的真实实质处理。请先补齐业务、受益人和主体资料；能合规处理的部分我会正常入账，私人、虚假或证据不足部分将退回、追回或按权限升级。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BOSS-011　公司替股东承担个人税费</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企业实际发生“公司替股东承担个人税费”，业务部门或相关个人提交发票/付款申请，财务需要判断是否报销、如何入账及税务处理。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建议科目：其他应收款/税后股利及个税反算。最终分录按是否已付款、是否形成资产/负债、是否取得扣税凭证及真实受益人确定，不用一张固定分录覆盖所有时点。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这项业务我会按“个人税费”的真实实质处理。请先补齐业务、受益人和主体资料；能合规处理的部分我会正常入账，私人、虚假或证据不足部分将退回、追回或按权限升级。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BOSS-012　老板个人信用卡账单由公司付款</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企业实际发生“老板个人信用卡账单由公司付款”，业务部门或相关个人提交发票/付款申请，财务需要判断是否报销、如何入账及税务处理。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建议科目：其他应收款—股东。最终分录按是否已付款、是否形成资产/负债、是否取得扣税凭证及真实受益人确定，不用一张固定分录覆盖所有时点。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这项业务我会按“个人账单”的真实实质处理。请先补齐业务、受益人和主体资料；能合规处理的部分我会正常入账，私人、虚假或证据不足部分将退回、追回或按权限升级。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BOSS-013　公司支付老板家庭保姆和物业费</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企业实际发生“公司支付老板家庭保姆和物业费”，业务部门或相关个人提交发票/付款申请，财务需要判断是否报销、如何入账及税务处理。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建议科目：其他应收款/股利或薪酬判断。最终分录按是否已付款、是否形成资产/负债、是否取得扣税凭证及真实受益人确定，不用一张固定分录覆盖所有时点。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这项业务我会按“家庭服务”的真实实质处理。请先补齐业务、受益人和主体资料；能合规处理的部分我会正常入账，私人、虚假或证据不足部分将退回、追回或按权限升级。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BOSS-014　老板婚礼费用和礼金由公司承担</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企业实际发生“老板婚礼费用和礼金由公司承担”，业务部门或相关个人提交发票/付款申请，财务需要判断是否报销、如何入账及税务处理。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建议科目：其他应收款/股利或薪酬判断。最终分录按是否已付款、是否形成资产/负债、是否取得扣税凭证及真实受益人确定，不用一张固定分录覆盖所有时点。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这项业务我会按“私人庆典”的真实实质处理。请先补齐业务、受益人和主体资料；能合规处理的部分我会正常入账，私人、虚假或证据不足部分将退回、追回或按权限升级。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BOSS-015　老板私人住宅装修由公司施工供应商开票</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企业实际发生“老板私人住宅装修由公司施工供应商开票”，业务部门或相关个人提交发票/付款申请，财务需要判断是否报销、如何入账及税务处理。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公司支付不等于公司费用；穿透最终受益人，区分其他应收款、工资薪金、股利分配和关联资金占用。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⑦疑似违法/刑事风险。先识别真实受益人。与经营无关的老板、股东或家属消费不能计入企业费用；公司已付款时通常形成对个人的其他应收款，最终由公司承担时再按股东红利或任职薪酬等真实性质处理。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停止直接费用化；核对消费地点、使用人、收货人和资金流；个人承担部分发出还款通知；公司承担须经过真实合法的治理/薪酬程序，并在OA保留异议、审批和税务测算。</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建议科目：其他应收款—股东。最终分录按是否已付款、是否形成资产/负债、是否取得扣税凭证及真实受益人确定，不用一张固定分录覆盖所有时点。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个人消费对应进项不得抵扣；已抵扣按规定扣减。不得通过改品名或找票改变用途。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与取得收入无关的私人支出不得税前扣除；误入费用全额调增。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个人投资者及其相关人员的非经营消费可能按股息红利所得；因任职受雇取得则可能按工资薪金，按身份和实质判断并履行扣缴。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真实发票不等于公司业务；不得要求变更品名、金额或由无关主体代开。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L09 《关于规范个人投资者个人所得税征收管理的通知》｜财税〔2003〕158号第1、2条｜公司为个人投资者及相关人员支付非经营消费、购买家庭财产及年末长期借款的个税处理。</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这项业务我会按“私人住宅”的真实实质处理。请先补齐业务、受益人和主体资料；能合规处理的部分我会正常入账，私人、虚假或证据不足部分将退回、追回或按权限升级。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第3篇　公司购买特殊物品</w:t>
      </w:r>
    </w:p>
    <w:p>
      <w:pPr>
        <w:spacing w:after="100" w:line="300" w:lineRule="auto"/>
      </w:pPr>
      <w:r>
        <w:rPr>
          <w:rFonts w:ascii="微软雅黑" w:hAnsi="微软雅黑" w:eastAsia="微软雅黑"/>
          <w:b w:val="0"/>
          <w:color w:val="000000"/>
          <w:sz w:val="21"/>
        </w:rPr>
        <w:t>物品名称不决定科目；按经营用途、使用地点、控制权、金额和受益期判断费用、资产、福利或个人消费。</w:t>
      </w:r>
    </w:p>
    <w:p>
      <w:pPr>
        <w:pStyle w:val="Heading2"/>
        <w:pageBreakBefore/>
      </w:pPr>
      <w:r>
        <w:t>ODD-001　公司购买发财树和办公室绿植</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行政部花3,000元采购发财树和绿植，发票开公司；部分放前台会议室，另有一盆送到老板住宅。</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物品本身不决定会计科目，关键是经营场所、控制权、金额重要性、使用期限和私人部分。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①正常办公绿化；②金额重大或在老板家中需补证；⑥私人用途不进公司费用。办公室合理绿化可作为办公/管理支出；达到企业固定资产重要性标准且使用超过一年，可按固定资产或长期资产政策处理。送老板家的部分是个人受益，不应计办公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行政验收拍照，登记摆放地点和资产责任人；按发票明细分拆公司与私人部分；私人部分由老板归还。</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办公部分：借管理费用—办公/绿化费；贷应付/银行。符合资产政策：借固定资产；贷应付。私人部分：借其他应收款—老板；贷应付/银行。</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专用于经营场所的一般计税业务且取得合规扣税凭证，可按一般规则判断；私人部分不得抵扣。若普通发票则无可抵扣税额。</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经营相关、合理且凭证完整的办公绿化可扣；私人部分不得扣。金额异常高需证明合理性。</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办公室公共绿化不形成个人所得；送老板住宅按股东/员工身份判断红利或工资薪金。</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发票品名应如实为绿植/花卉及服务；“办公用品”笼统改名不能提高合规性。</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采购申请、供应商订单、发票、验收单、摆放清单与照片、资产政策；私人部分分摊记录。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L09 《关于规范个人投资者个人所得税征收管理的通知》｜财税〔2003〕158号第1、2条｜公司为个人投资者及相关人员支付非经营消费、购买家庭财产及年末长期借款的个税处理。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绿植可以作为办公环境支出，关键是实际放在公司并有验收记录。送到个人住宅的那一盆要单独剔除，不能因为同一张发票就全部报销。</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ODD-002　工厂养安保犬</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厂区夜间养两只安保犬，另有一只长期住在老板家。公司支付购犬、犬舍、饲料和医疗费。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是否服务生产经营、由谁管理、在哪里饲养、是否形成受控资产或消耗性费用，以及私人受益。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②安保用途满足条件可做；⑥私人用途不应处理。厂区安保犬有制度、场地、责任人和安保记录时，可按重要性及使用期决定资产或费用；老板家中的宠物支出属于个人消费。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由安保部门提出需求，记录芯片/犬证、厂区照片、饲养责任和用途；发票按犬只和支出拆分；私人部分挂个人往来。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金额重大、使用期超过一年且符合资产政策：借固定资产/生物资产相关科目（结合适用准则和政策）；贷应付。日常饲料医疗：借管理费用—安保费；贷应付。私人部分借其他应收款。</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经营用途取得合法扣税凭证的部分按一般规则判断；个人消费部分不得抵扣。宠物医疗等发票税目需按实际业务，不可改品名。</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安保用途真实合理可扣；私人宠物不得扣。特殊资产分类存在实务判断，需在会计政策中固定口径。</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公司为老板私人宠物支付，按个人投资者消费或任职受雇利益判断个税。</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必须来自真实销售/服务方，品名与购犬、饲料、诊疗一致；票面真实仍需位置、用途证据。</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安保需求、审批、犬只登记、场所照片、责任人、值守制度、发票付款、私人部分分拆。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L09 《关于规范个人投资者个人所得税征收管理的通知》｜财税〔2003〕158号第1、2条｜公司为个人投资者及相关人员支付非经营消费、购买家庭财产及年末长期借款的个税处理。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厂区安保犬可以按真实安保用途核算，但需要责任人和使用记录；老板家里的宠物属于个人受益，相关费用需由个人承担。</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ODD-003　公司购买宣传用猫与老板私人养猫</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企业实际发生“公司购买宣传用猫与老板私人养猫”，业务部门或相关个人提交发票/付款申请，财务需要判断是否报销、如何入账及税务处理。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建议科目：销售费用—宣传/其他应收款。最终分录按是否已付款、是否形成资产/负债、是否取得扣税凭证及真实受益人确定，不用一张固定分录覆盖所有时点。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这项业务我会按“经营宣传与私人宠物”的真实实质处理。请先补齐业务、受益人和主体资料；能合规处理的部分我会正常入账，私人、虚假或证据不足部分将退回、追回或按权限升级。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ODD-004　办公室购买鱼缸</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企业实际发生“办公室购买鱼缸”，业务部门或相关个人提交发票/付款申请，财务需要判断是否报销、如何入账及税务处理。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建议科目：管理费用或固定资产。最终分录按是否已付款、是否形成资产/负债、是否取得扣税凭证及真实受益人确定，不用一张固定分录覆盖所有时点。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这项业务我会按“办公环境”的真实实质处理。请先补齐业务、受益人和主体资料；能合规处理的部分我会正常入账，私人、虚假或证据不足部分将退回、追回或按权限升级。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ODD-005　公司购买咖啡机</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企业实际发生“公司购买咖啡机”，业务部门或相关个人提交发票/付款申请，财务需要判断是否报销、如何入账及税务处理。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建议科目：固定资产/低值易耗品/职工福利。最终分录按是否已付款、是否形成资产/负债、是否取得扣税凭证及真实受益人确定，不用一张固定分录覆盖所有时点。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这项业务我会按“办公设备”的真实实质处理。请先补齐业务、受益人和主体资料；能合规处理的部分我会正常入账，私人、虚假或证据不足部分将退回、追回或按权限升级。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ODD-006　公司购买健身器材</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企业实际发生“公司购买健身器材”，业务部门或相关个人提交发票/付款申请，财务需要判断是否报销、如何入账及税务处理。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建议科目：固定资产并通过职工福利分配。最终分录按是否已付款、是否形成资产/负债、是否取得扣税凭证及真实受益人确定，不用一张固定分录覆盖所有时点。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这项业务我会按“员工福利设施”的真实实质处理。请先补齐业务、受益人和主体资料；能合规处理的部分我会正常入账，私人、虚假或证据不足部分将退回、追回或按权限升级。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ODD-007　游戏公司购买游戏机用于测试</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企业实际发生“游戏公司购买游戏机用于测试”，业务部门或相关个人提交发票/付款申请，财务需要判断是否报销、如何入账及税务处理。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建议科目：固定资产/研发费用；娱乐福利另处理。最终分录按是否已付款、是否形成资产/负债、是否取得扣税凭证及真实受益人确定，不用一张固定分录覆盖所有时点。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这项业务我会按“研发测试”的真实实质处理。请先补齐业务、受益人和主体资料；能合规处理的部分我会正常入账，私人、虚假或证据不足部分将退回、追回或按权限升级。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ODD-008　办公室购买按摩椅</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企业实际发生“办公室购买按摩椅”，业务部门或相关个人提交发票/付款申请，财务需要判断是否报销、如何入账及税务处理。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建议科目：固定资产并通过职工福利分配。最终分录按是否已付款、是否形成资产/负债、是否取得扣税凭证及真实受益人确定，不用一张固定分录覆盖所有时点。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这项业务我会按“福利设施”的真实实质处理。请先补齐业务、受益人和主体资料；能合规处理的部分我会正常入账，私人、虚假或证据不足部分将退回、追回或按权限升级。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ODD-009　公司购买茶叶</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企业实际发生“公司购买茶叶”，业务部门或相关个人提交发票/付款申请，财务需要判断是否报销、如何入账及税务处理。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建议科目：办公费/招待费/职工福利/个人往来。最终分录按是否已付款、是否形成资产/负债、是否取得扣税凭证及真实受益人确定，不用一张固定分录覆盖所有时点。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这项业务我会按“用途分流”的真实实质处理。请先补齐业务、受益人和主体资料；能合规处理的部分我会正常入账，私人、虚假或证据不足部分将退回、追回或按权限升级。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ODD-010　公司购买高档酒</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企业实际发生“公司购买高档酒”，业务部门或相关个人提交发票/付款申请，财务需要判断是否报销、如何入账及税务处理。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建议科目：业务招待费/库存礼品/个人往来。最终分录按是否已付款、是否形成资产/负债、是否取得扣税凭证及真实受益人确定，不用一张固定分录覆盖所有时点。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这项业务我会按“高风险招待”的真实实质处理。请先补齐业务、受益人和主体资料；能合规处理的部分我会正常入账，私人、虚假或证据不足部分将退回、追回或按权限升级。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ODD-011　公司购买艺术品</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企业实际发生“公司购买艺术品”，业务部门或相关个人提交发票/付款申请，财务需要判断是否报销、如何入账及税务处理。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建议科目：固定资产/投资或装饰用途；不得随意摊销。最终分录按是否已付款、是否形成资产/负债、是否取得扣税凭证及真实受益人确定，不用一张固定分录覆盖所有时点。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这项业务我会按“特殊资产”的真实实质处理。请先补齐业务、受益人和主体资料；能合规处理的部分我会正常入账，私人、虚假或证据不足部分将退回、追回或按权限升级。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ODD-012　老板办公室高档家具</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企业实际发生“老板办公室高档家具”，业务部门或相关个人提交发票/付款申请，财务需要判断是否报销、如何入账及税务处理。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物品名称不决定科目；按经营用途、使用地点、控制权、金额和受益期判断费用、资产、福利或个人消费。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②可以做，但需满足真实、相关、合理和凭证条件。不因物品“奇怪”直接否决。实际用于经营、金额合理且由公司控制时可按费用或资产处理；放在私人住所或主要供个人使用的部分转个人往来、薪酬或股利。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取得用途说明、放置地点、验收照片、责任人和资产编号；按公司与私人用途分拆；金额重大时由更高权限审批。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建议科目：固定资产；超出经营合理性部分重点审查。最终分录按是否已付款、是否形成资产/负债、是否取得扣税凭证及真实受益人确定，不用一张固定分录覆盖所有时点。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经营用途且取得合规扣税凭证时按一般规则判断；集体福利、个人消费及餐饮娱乐等法定项目不得抵扣。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真实、相关、合理且凭证完整的经营部分可扣；福利按14%限额，私人部分不得扣。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公共经营用途通常不形成个人所得；明确归个人使用或带走的，按工资薪金或股息红利判断。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品名应与实际物品一致，发票、验收、使用地点和付款形成闭环。</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L12 《企业会计准则第4号——固定资产》｜第3、4、6—8条｜生产经营持有、使用寿命超过一年且满足确认条件的资产按成本确认；后续支出按条件资本化。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这项业务我会按“高档办公资产”的真实实质处理。请先补齐业务、受益人和主体资料；能合规处理的部分我会正常入账，私人、虚假或证据不足部分将退回、追回或按权限升级。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第4篇　员工费用报销</w:t>
      </w:r>
    </w:p>
    <w:p>
      <w:pPr>
        <w:spacing w:after="100" w:line="300" w:lineRule="auto"/>
      </w:pPr>
      <w:r>
        <w:rPr>
          <w:rFonts w:ascii="微软雅黑" w:hAnsi="微软雅黑" w:eastAsia="微软雅黑"/>
          <w:b w:val="0"/>
          <w:color w:val="000000"/>
          <w:sz w:val="21"/>
        </w:rPr>
        <w:t>以真实公务、制度标准、时间地点金额和证据链为核心；发票验真只是第一步。</w:t>
      </w:r>
    </w:p>
    <w:p>
      <w:pPr>
        <w:pStyle w:val="Heading2"/>
        <w:pageBreakBefore/>
      </w:pPr>
      <w:r>
        <w:t>EXP-001　普通员工国内差旅费报销</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员工出差审批为8月10—12日，酒店发票日期为8月13日，打车票含8月9日和周末行程。</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业务时间是否合理延伸、发票开具日与消费日差异、提前出发/延迟返程、私人行程分拆以及是否替票。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②补充解释后可做；⑤无法解释或疑似替票时暂停。发票日期不同不必然违规。先以酒店入住单、行程单、支付记录和业务安排还原事实；公司只报与公务相关且符合制度的部分。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退回补充行程说明；核对入住/退房、车票、客户会议和支付时间；私人延住、探亲或改签差额由个人承担；OA记录例外审批。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合规公务部分：借销售/管理费用—差旅费、应交税费—进项税额（符合抵扣条件）；贷其他应付款—员工。私人部分不入费用或挂员工往来。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公务住宿专票等符合条件可抵；员工旅游、探亲或个人消费部分不得抵。旅客运输扣税凭证还需满足现行规则和人员身份。</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真实、相关、合理且凭证合规的差旅可扣；私人行程不得扣。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实报实销且有公务证据通常不形成员工所得；包干补贴、超标准现金或私人费用由公司承担需按当地政策和薪酬性质判断。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核对购买方、税号、入住人、服务日期和金额。开票日可晚于消费日，但不能用他人发票填补。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出差申请、行程单、酒店水单、客户会议记录、付款凭证、差异说明和例外审批。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日期不一致我不会直接否决，但需要把提前一天和周末行程解释清楚。公司报销公务部分，私人延伸部分单独剔除。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EXP-002　员工打车费报销</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员工把同一张电子餐饮发票分别附在OA报销和备用金核销中，系统未自动查重，两次付款。</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重复凭证、重复付款、员工主观状态、费用和进项重复入账，以及系统控制。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⑤需要追回和调查；故意骗取可能涉及纪律或法律责任。保留一次真实合法报销，第二次应冲回并追回。先判断误操作还是故意骗报，不能简单删除系统痕迹。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冻结第二笔、通知员工退款；用发票号码、代码、开票日期、含税金额和哈希值查重；检查是否已抵扣/申报；形成事件报告并升级审批。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追回：借银行/其他应收款—员工；贷原费用或以前期间差错相关科目。重复抵扣的进项按申报更正或扣减。</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同一扣税凭证不得重复抵扣；餐饮服务本身属于法定不得抵扣项目。</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只能扣除真实发生的一次支出；重复费用应调减，跨期按差错性质处理。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误付后及时追回通常不形成所得；公司放弃追回可能形成员工利益并需评估工资薪金个税。</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发票是真的也不能报两次；电子发票应建立全库唯一键和报销状态。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两笔报销单、发票原文件/XML、付款流水、员工说明、追回回单、系统日志和整改记录。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这张发票已经在另一笔单据报销，第二笔必须冲回并追回。我们会保留系统记录并查明是误操作还是故意重复申报。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EXP-003　酒店住宿费报销</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销售经理每月提交大量油费、停车费和过路费，车辆为个人所有，只有微信说明“跑客户”。</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真实业务里程、公私分摊、租赁关系、油耗合理性、车辆维修保险是否应由公司承担。</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②满足条件可做；④无关或超范围部分调增。建议采用租赁或按里程补贴的清晰政策；业务行程需可核验。仅凭公司抬头油票不足。不同地区对合同、租赁发票及相关费用扣除要求可能不同。</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建立私车公用协议、授权审批、行程/客户/里程台账和单公里标准；维修、保险、折旧等原则上不因一次公务行程全部转给公司。</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按制度实报实销：借销售费用—交通费、应交税费—进项税额（符合条件）；贷其他应付款。支付租金则借租赁费，贷应付款并履行个人涉税。</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油费等是否抵扣取决于公司取得合规扣税凭证、真实经营用途和现行规则；个人消费部分不得抵扣。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业务相关、合理且凭证完整部分可扣；地区执行有差异，实际前向主管税务机关确认。</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合理实报实销与定额现金补贴的个税逻辑不同；租金属于个人财产租赁所得并可能需代扣。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油费等发票开公司；个人出租车辆按规定取得租赁发票。发票与车牌、里程、客户行程建立对应。</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私车公用制度/合同、车辆证件、行程里程、客户记录、油耗计算、发票、支付、个人税务凭证。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可以报销真实公务行程，但需要协议、里程和客户记录。公司不会承担无法区分的全年维修保险及私人油费。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EXP-004　飞机票报销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企业实际发生“飞机票报销”，业务部门或相关个人提交发票/付款申请，财务需要判断是否报销、如何入账及税务处理。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建议科目：管理/销售费用—差旅费。最终分录按是否已付款、是否形成资产/负债、是否取得扣税凭证及真实受益人确定，不用一张固定分录覆盖所有时点。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这项业务我会按“旅客运输”的真实实质处理。请先补齐业务、受益人和主体资料；能合规处理的部分我会正常入账，私人、虚假或证据不足部分将退回、追回或按权限升级。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EXP-005　高铁票报销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企业实际发生“高铁票报销”，业务部门或相关个人提交发票/付款申请，财务需要判断是否报销、如何入账及税务处理。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建议科目：管理/销售费用—差旅费。最终分录按是否已付款、是否形成资产/负债、是否取得扣税凭证及真实受益人确定，不用一张固定分录覆盖所有时点。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这项业务我会按“旅客运输”的真实实质处理。请先补齐业务、受益人和主体资料；能合规处理的部分我会正常入账，私人、虚假或证据不足部分将退回、追回或按权限升级。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EXP-006　员工工作餐和加班餐报销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企业实际发生“员工工作餐和加班餐报销”，业务部门或相关个人提交发票/付款申请，财务需要判断是否报销、如何入账及税务处理。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建议科目：差旅/福利/业务招待按用途。最终分录按是否已付款、是否形成资产/负债、是否取得扣税凭证及真实受益人确定，不用一张固定分录覆盖所有时点。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这项业务我会按“餐费”的真实实质处理。请先补齐业务、受益人和主体资料；能合规处理的部分我会正常入账，私人、虚假或证据不足部分将退回、追回或按权限升级。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EXP-007　员工代垫客户业务招待费</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企业实际发生“员工代垫客户业务招待费”，业务部门或相关个人提交发票/付款申请，财务需要判断是否报销、如何入账及税务处理。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建议科目：销售/管理费用—业务招待费。最终分录按是否已付款、是否形成资产/负债、是否取得扣税凭证及真实受益人确定，不用一张固定分录覆盖所有时点。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这项业务我会按“招待”的真实实质处理。请先补齐业务、受益人和主体资料；能合规处理的部分我会正常入账，私人、虚假或证据不足部分将退回、追回或按权限升级。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EXP-008　员工购买客户礼品报销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企业实际发生“员工购买客户礼品报销”，业务部门或相关个人提交发票/付款申请，财务需要判断是否报销、如何入账及税务处理。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建议科目：销售费用—招待/宣传。最终分录按是否已付款、是否形成资产/负债、是否取得扣税凭证及真实受益人确定，不用一张固定分录覆盖所有时点。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这项业务我会按“礼品”的真实实质处理。请先补齐业务、受益人和主体资料；能合规处理的部分我会正常入账，私人、虚假或证据不足部分将退回、追回或按权限升级。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EXP-009　员工报销茶叶烟酒</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企业实际发生“员工报销茶叶烟酒”，业务部门或相关个人提交发票/付款申请，财务需要判断是否报销、如何入账及税务处理。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建议科目：办公/招待/福利按用途。最终分录按是否已付款、是否形成资产/负债、是否取得扣税凭证及真实受益人确定，不用一张固定分录覆盖所有时点。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这项业务我会按“敏感物品”的真实实质处理。请先补齐业务、受益人和主体资料；能合规处理的部分我会正常入账，私人、虚假或证据不足部分将退回、追回或按权限升级。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EXP-010　会议费报销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企业实际发生“会议费报销”，业务部门或相关个人提交发票/付款申请，财务需要判断是否报销、如何入账及税务处理。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建议科目：管理/销售费用—会议费。最终分录按是否已付款、是否形成资产/负债、是否取得扣税凭证及真实受益人确定，不用一张固定分录覆盖所有时点。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这项业务我会按“会议”的真实实质处理。请先补齐业务、受益人和主体资料；能合规处理的部分我会正常入账，私人、虚假或证据不足部分将退回、追回或按权限升级。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EXP-011　培训费报销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企业实际发生“培训费报销”，业务部门或相关个人提交发票/付款申请，财务需要判断是否报销、如何入账及税务处理。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建议科目：职工教育经费/管理费用。最终分录按是否已付款、是否形成资产/负债、是否取得扣税凭证及真实受益人确定，不用一张固定分录覆盖所有时点。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这项业务我会按“培训”的真实实质处理。请先补齐业务、受益人和主体资料；能合规处理的部分我会正常入账，私人、虚假或证据不足部分将退回、追回或按权限升级。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EXP-012　通讯费和话费报销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企业实际发生“通讯费和话费报销”，业务部门或相关个人提交发票/付款申请，财务需要判断是否报销、如何入账及税务处理。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建议科目：管理/销售费用—通讯费或薪酬。最终分录按是否已付款、是否形成资产/负债、是否取得扣税凭证及真实受益人确定，不用一张固定分录覆盖所有时点。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这项业务我会按“通讯”的真实实质处理。请先补齐业务、受益人和主体资料；能合规处理的部分我会正常入账，私人、虚假或证据不足部分将退回、追回或按权限升级。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EXP-013　员工购买工作手机报销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企业实际发生“员工购买工作手机报销”，业务部门或相关个人提交发票/付款申请，财务需要判断是否报销、如何入账及税务处理。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建议科目：固定资产/低值易耗品/职工薪酬。最终分录按是否已付款、是否形成资产/负债、是否取得扣税凭证及真实受益人确定，不用一张固定分录覆盖所有时点。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这项业务我会按“手机”的真实实质处理。请先补齐业务、受益人和主体资料；能合规处理的部分我会正常入账，私人、虚假或证据不足部分将退回、追回或按权限升级。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EXP-014　员工购买电脑报销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企业实际发生“员工购买电脑报销”，业务部门或相关个人提交发票/付款申请，财务需要判断是否报销、如何入账及税务处理。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建议科目：固定资产/低值易耗品。最终分录按是否已付款、是否形成资产/负债、是否取得扣税凭证及真实受益人确定，不用一张固定分录覆盖所有时点。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这项业务我会按“电脑”的真实实质处理。请先补齐业务、受益人和主体资料；能合规处理的部分我会正常入账，私人、虚假或证据不足部分将退回、追回或按权限升级。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EXP-015　员工私车公用报销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企业实际发生“员工私车公用报销”，业务部门或相关个人提交发票/付款申请，财务需要判断是否报销、如何入账及税务处理。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建议科目：销售/管理费用—交通/租赁费。最终分录按是否已付款、是否形成资产/负债、是否取得扣税凭证及真实受益人确定，不用一张固定分录覆盖所有时点。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这项业务我会按“私车公用”的真实实质处理。请先补齐业务、受益人和主体资料；能合规处理的部分我会正常入账，私人、虚假或证据不足部分将退回、追回或按权限升级。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EXP-016　加油费报销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企业实际发生“加油费报销”，业务部门或相关个人提交发票/付款申请，财务需要判断是否报销、如何入账及税务处理。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建议科目：交通费；私人部分员工往来。最终分录按是否已付款、是否形成资产/负债、是否取得扣税凭证及真实受益人确定，不用一张固定分录覆盖所有时点。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这项业务我会按“油费”的真实实质处理。请先补齐业务、受益人和主体资料；能合规处理的部分我会正常入账，私人、虚假或证据不足部分将退回、追回或按权限升级。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EXP-017　停车费报销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企业实际发生“停车费报销”，业务部门或相关个人提交发票/付款申请，财务需要判断是否报销、如何入账及税务处理。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建议科目：交通费。最终分录按是否已付款、是否形成资产/负债、是否取得扣税凭证及真实受益人确定，不用一张固定分录覆盖所有时点。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这项业务我会按“停车”的真实实质处理。请先补齐业务、受益人和主体资料；能合规处理的部分我会正常入账，私人、虚假或证据不足部分将退回、追回或按权限升级。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EXP-018　过路费报销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企业实际发生“过路费报销”，业务部门或相关个人提交发票/付款申请，财务需要判断是否报销、如何入账及税务处理。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建议科目：交通费。最终分录按是否已付款、是否形成资产/负债、是否取得扣税凭证及真实受益人确定，不用一张固定分录覆盖所有时点。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这项业务我会按“通行费”的真实实质处理。请先补齐业务、受益人和主体资料；能合规处理的部分我会正常入账，私人、虚假或证据不足部分将退回、追回或按权限升级。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EXP-019　居家办公网络电费报销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企业实际发生“居家办公网络电费报销”，业务部门或相关个人提交发票/付款申请，财务需要判断是否报销、如何入账及税务处理。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建议科目：办公费/薪酬按制度。最终分录按是否已付款、是否形成资产/负债、是否取得扣税凭证及真实受益人确定，不用一张固定分录覆盖所有时点。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这项业务我会按“居家办公”的真实实质处理。请先补齐业务、受益人和主体资料；能合规处理的部分我会正常入账，私人、虚假或证据不足部分将退回、追回或按权限升级。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EXP-020　外卖报销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企业实际发生“外卖报销”，业务部门或相关个人提交发票/付款申请，财务需要判断是否报销、如何入账及税务处理。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建议科目：差旅/福利/招待按用途。最终分录按是否已付款、是否形成资产/负债、是否取得扣税凭证及真实受益人确定，不用一张固定分录覆盖所有时点。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这项业务我会按“外卖”的真实实质处理。请先补齐业务、受益人和主体资料；能合规处理的部分我会正常入账，私人、虚假或证据不足部分将退回、追回或按权限升级。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EXP-021　快递费报销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企业实际发生“快递费报销”，业务部门或相关个人提交发票/付款申请，财务需要判断是否报销、如何入账及税务处理。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建议科目：销售/管理费用—快递费。最终分录按是否已付款、是否形成资产/负债、是否取得扣税凭证及真实受益人确定，不用一张固定分录覆盖所有时点。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这项业务我会按“快递”的真实实质处理。请先补齐业务、受益人和主体资料；能合规处理的部分我会正常入账，私人、虚假或证据不足部分将退回、追回或按权限升级。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EXP-022　小额零星采购报销</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企业实际发生“小额零星采购报销”，业务部门或相关个人提交发票/付款申请，财务需要判断是否报销、如何入账及税务处理。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建议科目：费用/低值易耗品。最终分录按是否已付款、是否形成资产/负债、是否取得扣税凭证及真实受益人确定，不用一张固定分录覆盖所有时点。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这项业务我会按“零星采购”的真实实质处理。请先补齐业务、受益人和主体资料；能合规处理的部分我会正常入账，私人、虚假或证据不足部分将退回、追回或按权限升级。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EXP-023　发票日期与出差时间不一致</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企业实际发生“发票日期与出差时间不一致”，业务部门或相关个人提交发票/付款申请，财务需要判断是否报销、如何入账及税务处理。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建议科目：按真实公务用途归类。最终分录按是否已付款、是否形成资产/负债、是否取得扣税凭证及真实受益人确定，不用一张固定分录覆盖所有时点。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这项业务我会按“时间异常”的真实实质处理。请先补齐业务、受益人和主体资料；能合规处理的部分我会正常入账，私人、虚假或证据不足部分将退回、追回或按权限升级。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EXP-024　周末或异地发票</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企业实际发生“周末或异地发票”，业务部门或相关个人提交发票/付款申请，财务需要判断是否报销、如何入账及税务处理。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建议科目：按真实公务用途归类。最终分录按是否已付款、是否形成资产/负债、是否取得扣税凭证及真实受益人确定，不用一张固定分录覆盖所有时点。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这项业务我会按“地点异常”的真实实质处理。请先补齐业务、受益人和主体资料；能合规处理的部分我会正常入账，私人、虚假或证据不足部分将退回、追回或按权限升级。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EXP-025　同一张电子发票重复报销或找别人发票报销</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企业实际发生“同一张电子发票重复报销或找别人发票报销”，业务部门或相关个人提交发票/付款申请，财务需要判断是否报销、如何入账及税务处理。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以真实公务、制度标准、时间地点金额和证据链为核心；发票验真只是第一步。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⑦疑似违法/刑事风险。以真实公务和企业制度为先。时间、地点或金额异常只是调查入口；能补齐业务闭环的合规部分报销，私人、超标、重复或替票部分拒绝并追回。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核对事前审批、行程/对象、订单、支付、发票唯一性和制度标准；OA记录例外原因与复核人。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建议科目：追回款项并冲销重复/虚假费用。最终分录按是否已付款、是否形成资产/负债、是否取得扣税凭证及真实受益人确定，不用一张固定分录覆盖所有时点。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符合经营用途和扣税凭证规则的项目按规定抵扣；餐饮服务、娱乐、个人消费和福利不得抵扣。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真实、相关、合理、凭证合规的公务支出可扣；招待费、福利费等适用各自限额；无业务证据不得扣。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合理实报实销通常不形成员工所得；定额现金补贴、私人消费或超额不追回部分需按工资薪金评估。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发票需验真、查重并与实际支付、人员、时间地点和业务目的匹配。</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这项业务我会按“重复与替票”的真实实质处理。请先补齐业务、受益人和主体资料；能合规处理的部分我会正常入账，私人、虚假或证据不足部分将退回、追回或按权限升级。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第5篇　员工福利</w:t>
      </w:r>
    </w:p>
    <w:p>
      <w:pPr>
        <w:spacing w:after="100" w:line="300" w:lineRule="auto"/>
      </w:pPr>
      <w:r>
        <w:rPr>
          <w:rFonts w:ascii="微软雅黑" w:hAnsi="微软雅黑" w:eastAsia="微软雅黑"/>
          <w:b w:val="0"/>
          <w:color w:val="000000"/>
          <w:sz w:val="21"/>
        </w:rPr>
        <w:t>通过应付职工薪酬核算，区分集体不可分割福利与可量化到个人的现金/实物利益。</w:t>
      </w:r>
    </w:p>
    <w:p>
      <w:pPr>
        <w:pStyle w:val="Heading2"/>
        <w:pageBreakBefore/>
      </w:pPr>
      <w:r>
        <w:t>WEL-001　公司自营食堂：每餐成本20元员工付5元公司补15元</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公司自营食堂，月供餐10,000份，食材人工水电总成本20万元；员工刷卡支付5万元，公司承担15万元。</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15万元属于职工福利还是工资；员工5万元如何冲减；食材进项；是否涉及内部餐饮应税交易；个税是否可分割到个人。</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制度、名单和成本核算；④福利费超限额调增。公司承担的15万元通常属于职工食堂经费补贴/非货币性集体福利，通过“应付职工薪酬—职工福利”归集并按受益对象分配。员工支付5万元冲减食堂成本或应付福利。增值税对自营食堂收费5元及相关进项的处理存在实务争议，应结合经营模式和主管税务机关口径确认；专用于集体福利的购进进项原则上不得抵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建立食堂制度、用餐权限、刷卡明细、食材出入库、成本中心和月度成本表；工资系统只同步用餐资格/员工实付，不把15元机械并入现金工资；税务台账单列福利费和不可抵扣进项。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归集成本：借应付职工薪酬—职工福利20万；贷原材料/应付薪酬/应付账款20万。分配：借生产成本/制造费用/管理费用/销售费用15万；贷应付职工薪酬—职工福利15万。员工实付5万：借银行/其他应收款5万；贷应付职工薪酬—职工福利5万（企业也可设食堂往来科目，政策须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购进并专用于集体福利的货物、服务进项不得抵扣，已抵扣需扣减。员工支付5元是否构成有偿餐饮服务、如何确定销售额及进项匹配，存在实务争议/需结合当地执行口径确认。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职工食堂经费补贴属于国税函〔2009〕3号所列职工福利费；年度在工资薪金总额14%限额内扣除，超限额纳税调增。食材发票只是凭证之一，还需成本、领用和用餐资料。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员工统一就餐、由单位统一核算、不可分割且未发到个人名下的集体非现金福利，官方地方答复原则上不征个税；若直接发现金餐补或个人可自由支配充值，通常按工资薪金评估。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食材按真实供应商和品名取得发票；零星农产品按适用凭证规则；不得用餐饮发票替代食材采购。</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福利制度、食堂预算、员工名单、刷卡明细、食材合同/发票/入库领用、工资和社保、成本分配表、员工收款流水、当地口径确认记录。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公司补贴的15元可以按职工食堂福利核算，但要建立刷卡和食材成本台账。福利费限额、不可抵扣进项，以及员工5元收费的增值税口径需要分别处理。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WEL-002　员工现金餐补</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中秋给每名员工发1,000元购物卡，共30万元，采购发票为“预付卡销售和充值”。</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非货币性福利、个税计税、福利费限额、预付卡购卡环节凭证和实际发放证据。</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要满足制度审批；④福利费超限额调增。属于可明确到个人的非货币性福利，应通过应付职工薪酬核算；通常并入工资薪金代扣个税。购卡凭证与消费环节发票规则需按预付卡政策核验，不能仅凭购卡不征税发票当然税前扣除。</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福利制度和预算审批；实名发放并签收；工资系统按每人价值计入当月应税收入；核对未发卡、退卡、余额；禁止回流给老板或虚列员工。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购卡：借预付账款/其他应收款—购物卡；贷银行。发放：借应付职工薪酬—职工福利；贷预付账款；分配计入成本费用并贷应付职工薪酬。</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购物卡用于集体福利，对应进项通常不得抵扣；购卡环节通常不产生可抵扣进项。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作为职工福利费，在14%限额内并取得真实发放及合规凭证后扣除；超限额调增。</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可明确到个人的实物/卡券福利通常并入工资薪金代扣个税。</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核查售卡方资质、卡号清单、购卡及消费环节开票规则；发票不能替代员工签收。</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福利制度、工会/公司审批、员工名单、卡号、签收、购卡合同发票付款、工资个税申报记录。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购物卡可以作为员工福利发放，但必须实名签收，并进入职工薪酬和个税系统；只有购卡发票、没有发放证据，不能直接计入福利费。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WEL-003　通讯补贴</w:t>
      </w:r>
    </w:p>
    <w:p>
      <w:pPr>
        <w:spacing w:before="80" w:after="100"/>
      </w:pPr>
      <w:r>
        <w:rPr>
          <w:rFonts w:ascii="微软雅黑" w:hAnsi="微软雅黑" w:eastAsia="微软雅黑"/>
          <w:b/>
          <w:color w:val="548235"/>
          <w:sz w:val="21"/>
        </w:rPr>
        <w:t>【风险等级】</w:t>
      </w:r>
      <w:r>
        <w:rPr>
          <w:rFonts w:ascii="微软雅黑" w:hAnsi="微软雅黑" w:eastAsia="微软雅黑"/>
          <w:b w:val="0"/>
          <w:color w:val="000000"/>
          <w:sz w:val="21"/>
        </w:rPr>
        <w:t>蓝色/黄色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工厂统一配发带LOGO防静电工装；同时高管每人报销2万元西装，日常也可穿。</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劳动保护、工作服、福利或个人服饰；是否统一制作、工作时强制穿着、是否具有岗位防护或识别功能。</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①符合工作特点的统一工装；②补贴需按薪酬个税处理。防静电工装及符合工作性质的统一服装可作为劳动保护或合理经营支出；可私人使用的高档西装更接近个人福利/薪酬，不能仅改名“工装”。</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建立岗位着装标准、规格、领用和回收；高管西装按真实福利或薪酬审批并计个税，超标准/私人部分由个人承担。</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工装领用：借制造费用/管理费用—劳动保护费；贷周转材料/应付。个人服饰福利：借应付职工薪酬—非货币福利；贷应付，并分配成本费用。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生产经营劳动保护用品取得合规凭证可按一般规则抵扣；专用于个人消费或福利的不得抵扣。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合理劳动保护支出可扣；统一制作并要求工作时统一着装的工作服饰可扣。个人服饰按福利费限额或工资薪金规则处理。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统一防护工装一般不形成可支配个人所得；报销个人西装或发现金补贴通常按工资薪金评估。</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发票应如实列服装/防护用品；需与采购明细、岗位和领用对应。</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着装/劳保制度、岗位风险、采购合同、样式LOGO、领用签收、库存台账、高管福利审批。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L11 《企业会计准则第9号——职工薪酬》｜财会〔2014〕8号第2、6条等｜职工福利、非货币性福利属于短期薪酬，按受益对象计入成本费用。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带有岗位功能并统一管理的工装可以按劳保处理；个人可自由穿用的高档西装应按福利或薪酬处理并考虑个税。</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WEL-004　交通补贴</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企业实际发生“交通补贴”，业务部门或相关个人提交发票/付款申请，财务需要判断是否报销、如何入账及税务处理。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建议科目：应付职工薪酬—工资/补贴。最终分录按是否已付款、是否形成资产/负债、是否取得扣税凭证及真实受益人确定，不用一张固定分录覆盖所有时点。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这项业务我会按“交通补贴”的真实实质处理。请先补齐业务、受益人和主体资料；能合规处理的部分我会正常入账，私人、虚假或证据不足部分将退回、追回或按权限升级。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WEL-005　住房补贴</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企业实际发生“住房补贴”，业务部门或相关个人提交发票/付款申请，财务需要判断是否报销、如何入账及税务处理。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建议科目：应付职工薪酬—工资/补贴。最终分录按是否已付款、是否形成资产/负债、是否取得扣税凭证及真实受益人确定，不用一张固定分录覆盖所有时点。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这项业务我会按“住房补贴”的真实实质处理。请先补齐业务、受益人和主体资料；能合规处理的部分我会正常入账，私人、虚假或证据不足部分将退回、追回或按权限升级。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WEL-006　节日礼品</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企业实际发生“节日礼品”，业务部门或相关个人提交发票/付款申请，财务需要判断是否报销、如何入账及税务处理。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这项业务我会按“节礼”的真实实质处理。请先补齐业务、受益人和主体资料；能合规处理的部分我会正常入账，私人、虚假或证据不足部分将退回、追回或按权限升级。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WEL-007　生日礼物</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企业实际发生“生日礼物”，业务部门或相关个人提交发票/付款申请，财务需要判断是否报销、如何入账及税务处理。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这项业务我会按“生日福利”的真实实质处理。请先补齐业务、受益人和主体资料；能合规处理的部分我会正常入账，私人、虚假或证据不足部分将退回、追回或按权限升级。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WEL-008　商场购物卡</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企业实际发生“商场购物卡”，业务部门或相关个人提交发票/付款申请，财务需要判断是否报销、如何入账及税务处理。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建议科目：预付账款转应付职工薪酬—职工福利。最终分录按是否已付款、是否形成资产/负债、是否取得扣税凭证及真实受益人确定，不用一张固定分录覆盖所有时点。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这项业务我会按“购物卡”的真实实质处理。请先补齐业务、受益人和主体资料；能合规处理的部分我会正常入账，私人、虚假或证据不足部分将退回、追回或按权限升级。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WEL-009　电影票</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企业实际发生“电影票”，业务部门或相关个人提交发票/付款申请，财务需要判断是否报销、如何入账及税务处理。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这项业务我会按“文娱福利”的真实实质处理。请先补齐业务、受益人和主体资料；能合规处理的部分我会正常入账，私人、虚假或证据不足部分将退回、追回或按权限升级。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WEL-010　部门团建</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企业实际发生“部门团建”，业务部门或相关个人提交发票/付款申请，财务需要判断是否报销、如何入账及税务处理。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这项业务我会按“团建”的真实实质处理。请先补齐业务、受益人和主体资料；能合规处理的部分我会正常入账，私人、虚假或证据不足部分将退回、追回或按权限升级。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WEL-011　员工旅游</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企业实际发生“员工旅游”，业务部门或相关个人提交发票/付款申请，财务需要判断是否报销、如何入账及税务处理。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这项业务我会按“旅游”的真实实质处理。请先补齐业务、受益人和主体资料；能合规处理的部分我会正常入账，私人、虚假或证据不足部分将退回、追回或按权限升级。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WEL-012　员工统一体检</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企业实际发生“员工统一体检”，业务部门或相关个人提交发票/付款申请，财务需要判断是否报销、如何入账及税务处理。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这项业务我会按“体检”的真实实质处理。请先补齐业务、受益人和主体资料；能合规处理的部分我会正常入账，私人、虚假或证据不足部分将退回、追回或按权限升级。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WEL-013　为员工购买商业保险</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企业实际发生“为员工购买商业保险”，业务部门或相关个人提交发票/付款申请，财务需要判断是否报销、如何入账及税务处理。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建议科目：应付职工薪酬—职工福利/补充保险。最终分录按是否已付款、是否形成资产/负债、是否取得扣税凭证及真实受益人确定，不用一张固定分录覆盖所有时点。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这项业务我会按“商业保险”的真实实质处理。请先补齐业务、受益人和主体资料；能合规处理的部分我会正常入账，私人、虚假或证据不足部分将退回、追回或按权限升级。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WEL-014　企业健身房</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企业实际发生“企业健身房”，业务部门或相关个人提交发票/付款申请，财务需要判断是否报销、如何入账及税务处理。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建议科目：固定资产折旧及运营费转职工福利。最终分录按是否已付款、是否形成资产/负债、是否取得扣税凭证及真实受益人确定，不用一张固定分录覆盖所有时点。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这项业务我会按“健身”的真实实质处理。请先补齐业务、受益人和主体资料；能合规处理的部分我会正常入账，私人、虚假或证据不足部分将退回、追回或按权限升级。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WEL-015　免费班车</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企业实际发生“免费班车”，业务部门或相关个人提交发票/付款申请，财务需要判断是否报销、如何入账及税务处理。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这项业务我会按“班车”的真实实质处理。请先补齐业务、受益人和主体资料；能合规处理的部分我会正常入账，私人、虚假或证据不足部分将退回、追回或按权限升级。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WEL-016　员工宿舍</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企业实际发生“员工宿舍”，业务部门或相关个人提交发票/付款申请，财务需要判断是否报销、如何入账及税务处理。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这项业务我会按“宿舍”的真实实质处理。请先补齐业务、受益人和主体资料；能合规处理的部分我会正常入账，私人、虚假或证据不足部分将退回、追回或按权限升级。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WEL-017　统一工作服</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企业实际发生“统一工作服”，业务部门或相关个人提交发票/付款申请，财务需要判断是否报销、如何入账及税务处理。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建议科目：劳动保护费/管理费用。最终分录按是否已付款、是否形成资产/负债、是否取得扣税凭证及真实受益人确定，不用一张固定分录覆盖所有时点。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这项业务我会按“工装”的真实实质处理。请先补齐业务、受益人和主体资料；能合规处理的部分我会正常入账，私人、虚假或证据不足部分将退回、追回或按权限升级。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WEL-018　劳保用品</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企业实际发生“劳保用品”，业务部门或相关个人提交发票/付款申请，财务需要判断是否报销、如何入账及税务处理。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建议科目：生产成本/制造费用—劳动保护费。最终分录按是否已付款、是否形成资产/负债、是否取得扣税凭证及真实受益人确定，不用一张固定分录覆盖所有时点。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这项业务我会按“劳保”的真实实质处理。请先补齐业务、受益人和主体资料；能合规处理的部分我会正常入账，私人、虚假或证据不足部分将退回、追回或按权限升级。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WEL-019　加班餐</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企业实际发生“加班餐”，业务部门或相关个人提交发票/付款申请，财务需要判断是否报销、如何入账及税务处理。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建议科目：应付职工薪酬—职工福利或生产成本。最终分录按是否已付款、是否形成资产/负债、是否取得扣税凭证及真实受益人确定，不用一张固定分录覆盖所有时点。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这项业务我会按“加班餐”的真实实质处理。请先补齐业务、受益人和主体资料；能合规处理的部分我会正常入账，私人、虚假或证据不足部分将退回、追回或按权限升级。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WEL-020　办公室下午茶</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企业实际发生“办公室下午茶”，业务部门或相关个人提交发票/付款申请，财务需要判断是否报销、如何入账及税务处理。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通过应付职工薪酬核算，区分集体不可分割福利与可量化到个人的现金/实物利益。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②可以做，但需满足真实、相关、合理和凭证条件。通常通过应付职工薪酬核算并按受益对象进入成本费用。需要区分集体不可分割福利、可明确到个人的实物福利和现金补贴。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由HR建立福利制度、适用人员和标准；财务核对名单、签收/刷卡、供应商、工资个税系统及福利费台账。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建议科目：应付职工薪酬—职工福利。最终分录按是否已付款、是否形成资产/负债、是否取得扣税凭证及真实受益人确定，不用一张固定分录覆盖所有时点。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购进并用于集体福利或个人消费的进项不得抵扣，已抵扣需扣减；自产/委托加工货物用于福利关注视同应税交易。</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职工福利费在工资薪金总额14%限额内扣除，超限额调增；符合劳动保护的支出不按福利费。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现金补贴或可量化到个人的实物通常并入工资薪金；集体、不可分割、非现金福利在地方官方口径中原则上不征，需结合当地执行。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发票开公司并与福利名单、签收、领用或刷卡明细匹配；购物卡等按专项开票规则。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L10 《国家税务总局关于企业工资薪金及职工福利费扣除问题的通知》｜国税函〔2009〕3号第3条｜食堂补贴、卫生保健、交通住房补贴及非货币福利属于职工福利费范围。</w:t>
              <w:br/>
              <w:t>L11 《企业会计准则第9号——职工薪酬》｜财会〔2014〕8号第2、6条等｜职工福利、非货币性福利属于短期薪酬，按受益对象计入成本费用。</w:t>
              <w:br/>
              <w:t>L19 《中华人民共和国税收征收管理法》｜第32、62—65、69条｜逾期税款按日万分之五加收滞纳金；偷税通常追缴税款、滞纳金并处少缴税款50%至5倍罚款；应扣未扣有相应责任。</w:t>
              <w:br/>
              <w:t>L20 《中华人民共和国劳动合同法》｜第4、39条｜内部处分及解除须以依法制定并公示的规章制度和事实证据为基础；严重违纪、严重失职营私舞弊造成重大损害等可依法处理。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这项业务我会按“下午茶”的真实实质处理。请先补齐业务、受益人和主体资料；能合规处理的部分我会正常入账，私人、虚假或证据不足部分将退回、追回或按权限升级。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第6篇　客户招待、礼品与市场推广</w:t>
      </w:r>
    </w:p>
    <w:p>
      <w:pPr>
        <w:spacing w:after="100" w:line="300" w:lineRule="auto"/>
      </w:pPr>
      <w:r>
        <w:rPr>
          <w:rFonts w:ascii="微软雅黑" w:hAnsi="微软雅黑" w:eastAsia="微软雅黑"/>
          <w:b w:val="0"/>
          <w:color w:val="000000"/>
          <w:sz w:val="21"/>
        </w:rPr>
        <w:t>区分业务招待、广告宣传、合同折扣、销售返利、样品试用和无偿赠送。</w:t>
      </w:r>
    </w:p>
    <w:p>
      <w:pPr>
        <w:pStyle w:val="Heading2"/>
        <w:pageBreakBefore/>
      </w:pPr>
      <w:r>
        <w:t>MKT-001　给客户送普通礼品</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销售部门申请购买10部手机，每部8,000元，定向送给客户采购负责人，称“维护关系”。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业务招待还是广告宣传、是否构成商业贿赂、增值税无偿转让、外部个人个税和企业所得税限额。</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真实市场活动且符合廉洁政策可评估；⑤高价值定向赠礼高风险。高价值定向赠送客户关键决策人通常不宜执行，尤其客户制度禁止收礼时。即便公司审批，也需分别处理会计、增值税视同交易、招待费限额和受赠个人个税；审批不能消除商业贿赂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先做客户廉洁审查和法务审批；优先改为公开、低值、带标识的宣传品或合同内商业折扣；若合法执行，实名登记受赠人、市场目的和价值并完成税务。</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合法营销赠礼：借销售费用—业务招待/业务宣传；贷库存商品/银行；自产货物同步确认视同交易销项税。</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无偿转让货物属于增值税法第5条视同应税交易，按市场价格确定销售额；外购手机进项与后续视同销售的衔接需完整。交际应酬消费进项限制另行判断。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定向关系维护通常更接近业务招待费，按60%且不超过收入5‰扣除；公开宣传且符合广告宣传证据时才进入广告宣传费逻辑。</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向外部个人在活动中赠礼，可能按偶然所得20%由企业扣缴；具体结合2019年第74号及财税〔2011〕50号。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手机采购发票开公司、型号序列号可追踪；不能找“广告费”发票替代实际购机。</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营销方案、受赠名单、客户廉洁确认、法务审批、手机IMEI、签收、市场效果、发票付款、视同交易和个税凭证。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定向向客户采购负责人赠送高价值手机，税务处理也无法消除廉洁风险。建议改为公开、低值宣传活动；如仍执行，必须先经法务和合规审批并实名完成视同销售及个税处理。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MKT-002　给供应商送礼</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销售P产品一件1,130元（含税），同时赠送同款小配件，合同和宣传页均写明买一赠一。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总对价在商品间分配、发票开具、赠品是否无偿转让、企业所得税视同销售以及消费者个税。</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①真实促销可做；②需在销售方案和发票上清楚表达。若赠品属于销售合同整体对价的一部分，实务中应按交易实质分配收入和成本，发票折扣/明细需符合开票规则。是否按增值税无偿转让处理取决于合同定价、发票呈现和当地执行，不能只看“赠”字。</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促销前由销售、法务、税务确定价格政策和开票方案；ERP绑定主品和赠品SKU，出库均有成本；不得线下随意赠送后再补单。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借应收/银行1,130；贷主营业务收入（按不含税总对价分配至主品及赠品）、应交税费—销项税。结转两项商品实际成本：借主营业务成本；贷库存商品。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若整体有偿销售且折扣/赠品关系在同一交易和发票中准确体现，可按整体交易判断；若独立无偿转让货物，则落入视同应税交易。存在实务争议/需结合开票规则和当地口径确认。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收入与成本按真实销售安排确认；企业所得税通常按总交易收入及两项成本处理，避免主品收入、赠品又重复视同收入。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销售同时给予赠品属于财税〔2011〕50号列举的不征个税情形。</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促销品名、数量、折扣和金额应与合同、出库一致；禁止主品开票、赠品账外出库。</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促销方案、合同、价格审批、发票样式、销售订单、两项出库、收款和毛利分析。</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买一赠一可以做，但必须在促销方案、合同、订单、发票和两项商品出库中形成同一条业务链，避免把赠品变成账外货物。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MKT-003　给客户负责人送手机</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企业实际发生“给客户负责人送手机”，业务部门或相关个人提交发票/付款申请，财务需要判断是否报销、如何入账及税务处理。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建议科目：业务招待/宣传费；廉洁审查。最终分录按是否已付款、是否形成资产/负债、是否取得扣税凭证及真实受益人确定，不用一张固定分录覆盖所有时点。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这项业务我会按“高价值礼品”的真实实质处理。请先补齐业务、受益人和主体资料；能合规处理的部分我会正常入账，私人、虚假或证据不足部分将退回、追回或按权限升级。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MKT-004　给客户送购物卡</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企业实际发生“给客户送购物卡”，业务部门或相关个人提交发票/付款申请，财务需要判断是否报销、如何入账及税务处理。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建议科目：业务招待费；实名台账。最终分录按是否已付款、是否形成资产/负债、是否取得扣税凭证及真实受益人确定，不用一张固定分录覆盖所有时点。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这项业务我会按“购物卡”的真实实质处理。请先补齐业务、受益人和主体资料；能合规处理的部分我会正常入账，私人、虚假或证据不足部分将退回、追回或按权限升级。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MKT-005　展会低值赠品</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企业实际发生“展会低值赠品”，业务部门或相关个人提交发票/付款申请，财务需要判断是否报销、如何入账及税务处理。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建议科目：销售费用—广告宣传费。最终分录按是否已付款、是否形成资产/负债、是否取得扣税凭证及真实受益人确定，不用一张固定分录覆盖所有时点。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这项业务我会按“展会赠品”的真实实质处理。请先补齐业务、受益人和主体资料；能合规处理的部分我会正常入账，私人、虚假或证据不足部分将退回、追回或按权限升级。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MKT-006　买一赠一促销</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企业实际发生“买一赠一促销”，业务部门或相关个人提交发票/付款申请，财务需要判断是否报销、如何入账及税务处理。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建议科目：合同收入分配和主营业务成本。最终分录按是否已付款、是否形成资产/负债、是否取得扣税凭证及真实受益人确定，不用一张固定分录覆盖所有时点。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这项业务我会按“销售附赠”的真实实质处理。请先补齐业务、受益人和主体资料；能合规处理的部分我会正常入账，私人、虚假或证据不足部分将退回、追回或按权限升级。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MKT-007　向客户寄送样品</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企业实际发生“向客户寄送样品”，业务部门或相关个人提交发票/付款申请，财务需要判断是否报销、如何入账及税务处理。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建议科目：销售费用—样品费/存货发出。最终分录按是否已付款、是否形成资产/负债、是否取得扣税凭证及真实受益人确定，不用一张固定分录覆盖所有时点。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这项业务我会按“样品”的真实实质处理。请先补齐业务、受益人和主体资料；能合规处理的部分我会正常入账，私人、虚假或证据不足部分将退回、追回或按权限升级。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MKT-008　免费试用品</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企业实际发生“免费试用品”，业务部门或相关个人提交发票/付款申请，财务需要判断是否报销、如何入账及税务处理。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建议科目：销售费用—试用费/存货发出。最终分录按是否已付款、是否形成资产/负债、是否取得扣税凭证及真实受益人确定，不用一张固定分录覆盖所有时点。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这项业务我会按“试用”的真实实质处理。请先补齐业务、受益人和主体资料；能合规处理的部分我会正常入账，私人、虚假或证据不足部分将退回、追回或按权限升级。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MKT-009　渠道返利</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企业实际发生“渠道返利”，业务部门或相关个人提交发票/付款申请，财务需要判断是否报销、如何入账及税务处理。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建议科目：冲减收入或销售费用按合同实质。最终分录按是否已付款、是否形成资产/负债、是否取得扣税凭证及真实受益人确定，不用一张固定分录覆盖所有时点。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这项业务我会按“返利”的真实实质处理。请先补齐业务、受益人和主体资料；能合规处理的部分我会正常入账，私人、虚假或证据不足部分将退回、追回或按权限升级。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MKT-010　为客户安排旅游</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企业实际发生“为客户安排旅游”，业务部门或相关个人提交发票/付款申请，财务需要判断是否报销、如何入账及税务处理。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建议科目：业务招待费；合规廉洁审查。最终分录按是否已付款、是否形成资产/负债、是否取得扣税凭证及真实受益人确定，不用一张固定分录覆盖所有时点。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这项业务我会按“客户旅游”的真实实质处理。请先补齐业务、受益人和主体资料；能合规处理的部分我会正常入账，私人、虚假或证据不足部分将退回、追回或按权限升级。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MKT-011　客户宴请</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企业实际发生“客户宴请”，业务部门或相关个人提交发票/付款申请，财务需要判断是否报销、如何入账及税务处理。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这项业务我会按“宴请”的真实实质处理。请先补齐业务、受益人和主体资料；能合规处理的部分我会正常入账，私人、虚假或证据不足部分将退回、追回或按权限升级。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MKT-012　承担客户住宿费</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企业实际发生“承担客户住宿费”，业务部门或相关个人提交发票/付款申请，财务需要判断是否报销、如何入账及税务处理。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建议科目：业务招待费/合同履约按实质。最终分录按是否已付款、是否形成资产/负债、是否取得扣税凭证及真实受益人确定，不用一张固定分录覆盖所有时点。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这项业务我会按“住宿”的真实实质处理。请先补齐业务、受益人和主体资料；能合规处理的部分我会正常入账，私人、虚假或证据不足部分将退回、追回或按权限升级。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MKT-013　承担客户交通费</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企业实际发生“承担客户交通费”，业务部门或相关个人提交发票/付款申请，财务需要判断是否报销、如何入账及税务处理。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建议科目：业务招待费/合同履约按实质。最终分录按是否已付款、是否形成资产/负债、是否取得扣税凭证及真实受益人确定，不用一张固定分录覆盖所有时点。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这项业务我会按“交通”的真实实质处理。请先补齐业务、受益人和主体资料；能合规处理的部分我会正常入账，私人、虚假或证据不足部分将退回、追回或按权限升级。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MKT-014　商业折扣和现金折扣</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企业实际发生“商业折扣和现金折扣”，业务部门或相关个人提交发票/付款申请，财务需要判断是否报销、如何入账及税务处理。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建议科目：冲减交易价格/财务费用按准则。最终分录按是否已付款、是否形成资产/负债、是否取得扣税凭证及真实受益人确定，不用一张固定分录覆盖所有时点。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这项业务我会按“折扣”的真实实质处理。请先补齐业务、受益人和主体资料；能合规处理的部分我会正常入账，私人、虚假或证据不足部分将退回、追回或按权限升级。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MKT-015　赞助活动取得宣传权益</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企业实际发生“赞助活动取得宣传权益”，业务部门或相关个人提交发票/付款申请，财务需要判断是否报销、如何入账及税务处理。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区分业务招待、广告宣传、合同折扣、销售返利、样品试用和无偿赠送。</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②可以做，但需满足真实、相关、合理和凭证条件。先区分合同对价、公开宣传、定向招待和无偿赠送；高价值定向利益还需法务廉洁审查，税务处理不能消除商业合规风险。</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促销/招待前审批；记录对象、数量、单价、活动、合同和效果；礼品按SKU出库，实名或活动批次签收。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建议科目：广告宣传费；无对价则赞助/捐赠。最终分录按是否已付款、是否形成资产/负债、是否取得扣税凭证及真实受益人确定，不用一张固定分录覆盖所有时点。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无偿转让货物一般属于视同应税交易；买一赠一、折扣和返利按合同及发票呈现判断。交际应酬进项不得抵扣。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业务招待费按发生额60%且不超过收入5‰；符合条件的广告宣传费通常受收入15%限额；赞助及无关支出不得扣。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销售同时附赠等规定情形不征个税；随机向外部个人赠礼通常按偶然所得由企业扣缴。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采购和销售发票、合同、出库和收款必须一致，不得用广告费票替代实际礼品。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L16 促销展业赠送礼品个税规定｜财税〔2011〕50号、财政部 税务总局公告2019年第74号｜随销售附赠等不征个税；随机向外部个人赠礼通常按偶然所得扣缴。</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这项业务我会按“赞助”的真实实质处理。请先补齐业务、受益人和主体资料；能合规处理的部分我会正常入账，私人、虚假或证据不足部分将退回、追回或按权限升级。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第7篇　真实业务但无发票</w:t>
      </w:r>
    </w:p>
    <w:p>
      <w:pPr>
        <w:spacing w:after="100" w:line="300" w:lineRule="auto"/>
      </w:pPr>
      <w:r>
        <w:rPr>
          <w:rFonts w:ascii="微软雅黑" w:hAnsi="微软雅黑" w:eastAsia="微软雅黑"/>
          <w:b w:val="0"/>
          <w:color w:val="000000"/>
          <w:sz w:val="21"/>
        </w:rPr>
        <w:t>会计确认、增值税抵扣和所得税扣除分别判断；建立催票、补换和特殊举证机制。</w:t>
      </w:r>
    </w:p>
    <w:p>
      <w:pPr>
        <w:pStyle w:val="Heading2"/>
        <w:pageBreakBefore/>
      </w:pPr>
      <w:r>
        <w:t>NOP-001　真实业务但供应商拒绝开票</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咨询公司已提交报告并验收，合同金额21.2万元，年底仍拒绝开票，公司尚未付款。</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权责发生制确认费用与应付、税前扣除凭证取得期限、进项税确认、供应商违约。</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③会计可确认费用负债，但税务暂不能当然扣除/抵扣；④未补票需调整。真实服务已取得并验收，会计上按不含可抵扣税额的合理估计确认费用/负债；未取得合法扣税凭证时不确认可抵扣进项。所得税应在汇算清缴结束前取得发票，否则按规定调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验收报告、合同和成果归档；向供应商发正式催票函；AP设未到票台账和扣款条款；汇算前检查补票；必要时按合同追责或更换供应商。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年末暂估：借管理费用—咨询费20万；贷应付账款—暂估20万。次年收到发票：冲暂估，借管理费用20万、进项税1.2万；贷应付21.2万（按企业冲暂估政策）。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未取得法定扣税凭证不抵扣；收到合规发票并符合用途后再抵扣。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支出真实并会计确认不等于已满足税前扣除凭证。应在汇算清缴结束前补开；不能补开的特殊原因仅限28号公告规定并需完整证据。</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供应商为公司时不涉及员工个税；若实质由个人提供劳务，需改按个人劳务及扣缴义务处理。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应由实际提供服务的合同相对方开具真实咨询服务发票；不得找关联公司或票务中介代开。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合同、采购审批、服务成果、验收、会议纪要、催票函、暂估台账、供应商违约处理。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服务已经完成，所以会计上要暂估费用和负债；但没有合法发票，进项不能抵扣，所得税也要在汇算前完成补票，否则纳税调增。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NOP-002　个体户无法及时开票</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员工临时向路边个人购买200元维修小配件，对方没有税务登记，也无法开票。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是否真实、小额零星经营个人身份、起征点判断、收款凭证要素和内部审批。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满足主体和起征点条件可做；③不满足时会计可入账但税前凭证不足。对方为依法无需登记或从事小额零星经营的个人，且销售额不超过增值税起征点时，可按28号公告第9条用载明规定信息的收款凭证和内部凭证税前扣除。不能把长期固定供应商拆成大量“小额个人”。</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记录个人姓名、身份证号、项目、金额和联系方式；保留支付记录、物品照片/验收和用途；采购部门监控同一收款人累计频次，超出条件要求代开发票。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借管理/制造费用或低值易耗品200；贷其他应付款—员工/银行200。</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没有法定扣税凭证，通常无进项抵扣。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符合28号公告第9条的小额零星条件时可扣；否则催促代开发票或在汇算时调整。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购买货物通常不由付款企业按工资薪金扣缴；若实质为个人提供劳务，应另行判断劳务报酬扣缴。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可接受税务机关代开发票；符合条件时收款凭证需写明个人姓名、身份证号、项目、金额等。</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采购申请、收款凭证、个人信息、付款记录、验收/领用、同一供应商累计监控。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这笔小额采购可以先按真实业务审核，但要补齐个人姓名、身份证号、项目、金额和支付验收记录；如果同一人持续供货，就不能再按零星采购处理。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NOP-003　向农业生产者采购自产农产品</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企业实际发生“向农业生产者采购自产农产品”，业务部门或相关个人提交发票/付款申请，财务需要判断是否报销、如何入账及税务处理。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建议科目：原材料/库存商品。最终分录按是否已付款、是否形成资产/负债、是否取得扣税凭证及真实受益人确定，不用一张固定分录覆盖所有时点。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这项业务我会按“农户采购”的真实实质处理。请先补齐业务、受益人和主体资料；能合规处理的部分我会正常入账，私人、虚假或证据不足部分将退回、追回或按权限升级。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NOP-004　员工向个人小额零星采购</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企业实际发生“员工向个人小额零星采购”，业务部门或相关个人提交发票/付款申请，财务需要判断是否报销、如何入账及税务处理。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建议科目：费用/低值易耗品。最终分录按是否已付款、是否形成资产/负债、是否取得扣税凭证及真实受益人确定，不用一张固定分录覆盖所有时点。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这项业务我会按“零星采购”的真实实质处理。请先补齐业务、受益人和主体资料；能合规处理的部分我会正常入账，私人、虚假或证据不足部分将退回、追回或按权限升级。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NOP-005　房东拒绝开具租赁发票</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企业实际发生“房东拒绝开具租赁发票”，业务部门或相关个人提交发票/付款申请，财务需要判断是否报销、如何入账及税务处理。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建议科目：使用权资产/租赁费及应付款。最终分录按是否已付款、是否形成资产/负债、是否取得扣税凭证及真实受益人确定，不用一张固定分录覆盖所有时点。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这项业务我会按“房租”的真实实质处理。请先补齐业务、受益人和主体资料；能合规处理的部分我会正常入账，私人、虚假或证据不足部分将退回、追回或按权限升级。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NOP-006　境外采购货物或服务</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企业实际发生“境外采购货物或服务”，业务部门或相关个人提交发票/付款申请，财务需要判断是否报销、如何入账及税务处理。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建议科目：存货/费用/无形资产及应付款。最终分录按是否已付款、是否形成资产/负债、是否取得扣税凭证及真实受益人确定，不用一张固定分录覆盖所有时点。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这项业务我会按“境外凭证”的真实实质处理。请先补齐业务、受益人和主体资料；能合规处理的部分我会正常入账，私人、虚假或证据不足部分将退回、追回或按权限升级。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NOP-007　个人提供临时劳务</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企业实际发生“个人提供临时劳务”，业务部门或相关个人提交发票/付款申请，财务需要判断是否报销、如何入账及税务处理。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建议科目：管理/销售费用—劳务费。最终分录按是否已付款、是否形成资产/负债、是否取得扣税凭证及真实受益人确定，不用一张固定分录覆盖所有时点。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这项业务我会按“个人劳务”的真实实质处理。请先补齐业务、受益人和主体资料；能合规处理的部分我会正常入账，私人、虚假或证据不足部分将退回、追回或按权限升级。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NOP-008　纸质发票丢失</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企业实际发生“纸质发票丢失”，业务部门或相关个人提交发票/付款申请，财务需要判断是否报销、如何入账及税务处理。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建议科目：按业务入账并补充合规凭证。最终分录按是否已付款、是否形成资产/负债、是否取得扣税凭证及真实受益人确定，不用一张固定分录覆盖所有时点。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这项业务我会按“发票丢失”的真实实质处理。请先补齐业务、受益人和主体资料；能合规处理的部分我会正常入账，私人、虚假或证据不足部分将退回、追回或按权限升级。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NOP-009　发票跨年未取得</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企业实际发生“发票跨年未取得”，业务部门或相关个人提交发票/付款申请，财务需要判断是否报销、如何入账及税务处理。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建议科目：权责发生制暂估及纳税调整台账。最终分录按是否已付款、是否形成资产/负债、是否取得扣税凭证及真实受益人确定，不用一张固定分录覆盖所有时点。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这项业务我会按“跨年补票”的真实实质处理。请先补齐业务、受益人和主体资料；能合规处理的部分我会正常入账，私人、虚假或证据不足部分将退回、追回或按权限升级。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NOP-010　供应商注销无法补开发票</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企业实际发生“供应商注销无法补开发票”，业务部门或相关个人提交发票/付款申请，财务需要判断是否报销、如何入账及税务处理。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会计确认、增值税抵扣和所得税扣除分别判断；建立催票、补换和特殊举证机制。</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⑤高风险，先暂停并补资料/升级审批。真实业务达到会计确认条件时仍应入账，但无合法扣税凭证通常不能抵扣；所得税是否扣除取决于28号公告的凭证、补票期限或特殊举证。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按验收和合同暂估；建立催票台账；汇算清缴前补开/换开；仅在供应商注销等规定特殊原因下按证据包处理。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建议科目：按28号公告特殊原因证据包。最终分录按是否已付款、是否形成资产/负债、是否取得扣税凭证及真实受益人确定，不用一张固定分录覆盖所有时点。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未取得法定扣税凭证不抵扣；取得后结合用途和所属期按现行规则处理。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按28号公告第9、11—17条判断发票、收款凭证、境外凭证、特殊举证和最长五年追补。</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若交易对方为个人劳务提供者，企业需判断劳务报酬等代扣代缴义务；采购货物与个人劳务不可混同。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供应商为登记纳税人原则上应取得发票；小额零星个人收款凭证必须具备姓名、身份证号、项目、金额等要素。</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L08 《中华人民共和国个人所得税法》及实施条例｜个税法第2、9条；实施条例第6条｜工资薪金、股息红利等所得和扣缴义务按利益归属判断。</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这项业务我会按“无法补票”的真实实质处理。请先补齐业务、受益人和主体资料；能合规处理的部分我会正常入账，私人、虚假或证据不足部分将退回、追回或按权限升级。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第8篇　发票异常</w:t>
      </w:r>
    </w:p>
    <w:p>
      <w:pPr>
        <w:spacing w:after="100" w:line="300" w:lineRule="auto"/>
      </w:pPr>
      <w:r>
        <w:rPr>
          <w:rFonts w:ascii="微软雅黑" w:hAnsi="微软雅黑" w:eastAsia="微软雅黑"/>
          <w:b w:val="0"/>
          <w:color w:val="000000"/>
          <w:sz w:val="21"/>
        </w:rPr>
        <w:t>按票面、业务、主体、金额、税率、时点和唯一性检查；退票、红冲、换开与税务更正闭环。</w:t>
      </w:r>
    </w:p>
    <w:p>
      <w:pPr>
        <w:pStyle w:val="Heading2"/>
        <w:pageBreakBefore/>
      </w:pPr>
      <w:r>
        <w:t>INV-001　发票抬头错误</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老板要求支付票面金额6%的“手续费”，从外部公司购买100万元咨询费专票；无合同、无服务人员、无成果，资金计划转一圈后返还。</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无真实交易、让他人为自己虚开、虚列费用、虚抵进项、资金回流和责任人员风险。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⑦涉嫌违法甚至刑事风险。必须拒绝。发票能验真只说明票面在系统存在，不证明交易真实。不得编合同、验收、会议纪要或资金流来“补证”。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不入账、不抵扣、不付款；书面记录事实和风险，向财务负责人/审计委员会等有权限层级升级。若已入账，立即封存资料，停止继续抵扣，按专业意见评估账务更正、税务更正、补税滞纳金及自查报告。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不应做费用分录。若已错误入账且尚未结账：冲销原费用、进项和应付；款项已付且可追回，借其他应收款—收款方/责任人，贷原错误科目，并启动追偿。</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不得抵扣。已抵扣需及时更正/扣减；无业务专票和骗抵税款可能触及刑法第205条及法释〔2024〕4号。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不得税前扣除；虚列支出用于少缴税可能被认定为逃税欺骗隐瞒手段。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通常不是核心，但资金最终进入个人账户时还需追查利益归属、工资/分红/违法所得等。</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《发票管理办法》第21条明确禁止为自己、让他人为自己开具与实际经营业务不符的发票。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保留原始指令、发票、沟通和付款拦截记录；不要制作虚假证据。已发生时交由法务、税务专业人士在保密和法定框架内处理。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这张票虽然能够验真，但公司没有实际接受咨询服务，属于票实不符。我不能入账或抵扣，也不能补做虚假合同；建议停止交易并由法务和税务负责人评估更正。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INV-002　纳税人识别号错误</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企业实际发生“纳税人识别号错误”，业务部门或相关个人提交发票/付款申请，财务需要判断是否报销、如何入账及税务处理。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建议科目：退票换开前暂缓抵扣。最终分录按是否已付款、是否形成资产/负债、是否取得扣税凭证及真实受益人确定，不用一张固定分录覆盖所有时点。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这项业务我会按“税号”的真实实质处理。请先补齐业务、受益人和主体资料；能合规处理的部分我会正常入账，私人、虚假或证据不足部分将退回、追回或按权限升级。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INV-003　发票税率使用错误</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企业实际发生“发票税率使用错误”，业务部门或相关个人提交发票/付款申请，财务需要判断是否报销、如何入账及税务处理。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建议科目：退票红冲重开并复核税率。最终分录按是否已付款、是否形成资产/负债、是否取得扣税凭证及真实受益人确定，不用一张固定分录覆盖所有时点。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这项业务我会按“税率”的真实实质处理。请先补齐业务、受益人和主体资料；能合规处理的部分我会正常入账，私人、虚假或证据不足部分将退回、追回或按权限升级。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INV-004　发票金额错误</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企业实际发生“发票金额错误”，业务部门或相关个人提交发票/付款申请，财务需要判断是否报销、如何入账及税务处理。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建议科目：退票红冲重开。最终分录按是否已付款、是否形成资产/负债、是否取得扣税凭证及真实受益人确定，不用一张固定分录覆盖所有时点。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这项业务我会按“金额”的真实实质处理。请先补齐业务、受益人和主体资料；能合规处理的部分我会正常入账，私人、虚假或证据不足部分将退回、追回或按权限升级。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INV-005　开票内容与实际业务不一致</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企业实际发生“开票内容与实际业务不一致”，业务部门或相关个人提交发票/付款申请，财务需要判断是否报销、如何入账及税务处理。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建议科目：退票红冲重开。最终分录按是否已付款、是否形成资产/负债、是否取得扣税凭证及真实受益人确定，不用一张固定分录覆盖所有时点。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这项业务我会按“品名”的真实实质处理。请先补齐业务、受益人和主体资料；能合规处理的部分我会正常入账，私人、虚假或证据不足部分将退回、追回或按权限升级。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INV-006　重复开票</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企业实际发生“重复开票”，业务部门或相关个人提交发票/付款申请，财务需要判断是否报销、如何入账及税务处理。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建议科目：保留真实一张其余红冲。最终分录按是否已付款、是否形成资产/负债、是否取得扣税凭证及真实受益人确定，不用一张固定分录覆盖所有时点。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这项业务我会按“重复开票”的真实实质处理。请先补齐业务、受益人和主体资料；能合规处理的部分我会正常入账，私人、虚假或证据不足部分将退回、追回或按权限升级。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INV-007　发票跨期取得</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企业实际发生“发票跨期取得”，业务部门或相关个人提交发票/付款申请，财务需要判断是否报销、如何入账及税务处理。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建议科目：按业务发生期入账并管理税务时点。最终分录按是否已付款、是否形成资产/负债、是否取得扣税凭证及真实受益人确定，不用一张固定分录覆盖所有时点。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这项业务我会按“跨期”的真实实质处理。请先补齐业务、受益人和主体资料；能合规处理的部分我会正常入账，私人、虚假或证据不足部分将退回、追回或按权限升级。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INV-008　发票已到但货未到</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企业实际发生“发票已到但货未到”，业务部门或相关个人提交发票/付款申请，财务需要判断是否报销、如何入账及税务处理。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建议科目：预付/在途及发票暂存。最终分录按是否已付款、是否形成资产/负债、是否取得扣税凭证及真实受益人确定，不用一张固定分录覆盖所有时点。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这项业务我会按“票到货未到”的真实实质处理。请先补齐业务、受益人和主体资料；能合规处理的部分我会正常入账，私人、虚假或证据不足部分将退回、追回或按权限升级。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INV-009　货已到但发票未到</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企业实际发生“货已到但发票未到”，业务部门或相关个人提交发票/付款申请，财务需要判断是否报销、如何入账及税务处理。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建议科目：暂估入库/应付。最终分录按是否已付款、是否形成资产/负债、是否取得扣税凭证及真实受益人确定，不用一张固定分录覆盖所有时点。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这项业务我会按“货到票未到”的真实实质处理。请先补齐业务、受益人和主体资料；能合规处理的部分我会正常入账，私人、虚假或证据不足部分将退回、追回或按权限升级。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INV-010　发票是真的但没有真实业务</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企业实际发生“发票是真的但没有真实业务”，业务部门或相关个人提交发票/付款申请，财务需要判断是否报销、如何入账及税务处理。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建议科目：不得入账抵扣。最终分录按是否已付款、是否形成资产/负债、是否取得扣税凭证及真实受益人确定，不用一张固定分录覆盖所有时点。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这项业务我会按“真票假业务”的真实实质处理。请先补齐业务、受益人和主体资料；能合规处理的部分我会正常入账，私人、虚假或证据不足部分将退回、追回或按权限升级。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INV-011　票货不一致</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企业实际发生“票货不一致”，业务部门或相关个人提交发票/付款申请，财务需要判断是否报销、如何入账及税务处理。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建议科目：暂停入账并重建货物流。最终分录按是否已付款、是否形成资产/负债、是否取得扣税凭证及真实受益人确定，不用一张固定分录覆盖所有时点。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这项业务我会按“票货差异”的真实实质处理。请先补齐业务、受益人和主体资料；能合规处理的部分我会正常入账，私人、虚假或证据不足部分将退回、追回或按权限升级。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INV-012　票款不一致</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企业实际发生“票款不一致”，业务部门或相关个人提交发票/付款申请，财务需要判断是否报销、如何入账及税务处理。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按票面、业务、主体、金额、税率、时点和唯一性检查；退票、红冲、换开与税务更正闭环。</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⑤高风险，先暂停并补资料/升级审批。先暂停报销、抵扣和付款，识别是可补正票面错误、业务跨期还是业务不存在；可补正的退票/红冲/换开，不存在业务的直接拒绝。</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核对合同、订单、验收、物流、支付和数电票源文件；建立异常工单，明确开票方、业务部门、税务和AP关闭责任。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建议科目：核查代收代付、折扣和资金回流。最终分录按是否已付款、是否形成资产/负债、是否取得扣税凭证及真实受益人确定，不用一张固定分录覆盖所有时点。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不合规扣税凭证不得抵扣；已抵扣的按规定扣减或更正。票面正确仍需真实业务和允许抵扣用途。</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不合规发票不得作为税前扣除凭证；真实支出在汇算前补换，特殊情况按28号公告举证。</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通常不是核心；若差额或虚假报销流向个人，需判断员工/股东所得并追回。</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按发票管理办法第18—21条如实开具；金额、品名、主体错误不得手工改票。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L21 《中华人民共和国发票管理办法实施细则》｜国家税务总局令第56号，2024年3月1日起施行｜不合规发票不得用于抵扣、退税、税前扣除和财务报销；发生错误、红冲、丢失等按规定处理。</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这项业务我会按“票款差异”的真实实质处理。请先补齐业务、受益人和主体资料；能合规处理的部分我会正常入账，私人、虚假或证据不足部分将退回、追回或按权限升级。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第9篇　主体不一致与代收代付</w:t>
      </w:r>
    </w:p>
    <w:p>
      <w:pPr>
        <w:spacing w:after="100" w:line="300" w:lineRule="auto"/>
      </w:pPr>
      <w:r>
        <w:rPr>
          <w:rFonts w:ascii="微软雅黑" w:hAnsi="微软雅黑" w:eastAsia="微软雅黑"/>
          <w:b w:val="0"/>
          <w:color w:val="000000"/>
          <w:sz w:val="21"/>
        </w:rPr>
        <w:t>穿透合同、履约、受益、付款义务、发票和最终资金流；不以“票款一致”替代判断。</w:t>
      </w:r>
    </w:p>
    <w:p>
      <w:pPr>
        <w:pStyle w:val="Heading2"/>
        <w:pageBreakBefore/>
      </w:pPr>
      <w:r>
        <w:t>PAY-001　合同是A公司、发票由B公司开具</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公司与A咨询公司签合同并验收，但发票由B公司开具，付款账户也是B；业务说A、B是“兄弟公司”。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谁承担合同义务、谁实际履约、债权人是谁、是否有转委托/债权转让/三方协议、发票主体是否与真实销售方一致。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有合法转委托/变更可做；⑤无依据时暂缓入账抵扣；⑦虚构B开票则红色。“关联公司”不是主体不一致的万能理由。若B依法承接履约并有合同变更/三方协议，且B真实提供服务、取得价款，可按重构后的链条处理；否则退票并由实际销售方开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暂停付款和抵扣；穿透人员邮箱、交付成果、营业范围和资金；取得三方协议、合同转让/转委托、授权收款或债权转让文件；法务确认后再处理。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关系未澄清不确认对B的应付。若A履约、B仅代收：借费用/资产、贷应付账款—A；付款B时依据A的授权冲A应付。若B实际履约且合同已合法变更，则对B确认应付。</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扣税凭证应来自真实销售方。主体虚构时不得抵扣；仅代收款的B通常不应为A的服务开票。</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真实相关支出还须取得合规凭证；主体链不清会同时削弱真实性、合法性和关联性。</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通常无个人所得；资金流入个人或回流时另查。</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核对开票方与实际提供方；必要时红冲B发票并由真实销售方重开。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原合同、三方协议、履约人员与成果、验收、授权收款/债权转让、发票、银行账户和关联关系说明。</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A和B是关联公司不能直接解决主体问题。请先确认谁真实履约、谁享有收款权，并补齐三方协议或合同变更；在此之前我会暂停抵扣和付款。</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PAY-002　付款给合同和发票以外的C公司</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企业实际发生“付款给合同和发票以外的C公司”，业务部门或相关个人提交发票/付款申请，财务需要判断是否报销、如何入账及税务处理。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建议科目：对真实债权人确认应付并取得授权。最终分录按是否已付款、是否形成资产/负债、是否取得扣税凭证及真实受益人确定，不用一张固定分录覆盖所有时点。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这项业务我会按“第三方收款”的真实实质处理。请先补齐业务、受益人和主体资料；能合规处理的部分我会正常入账，私人、虚假或证据不足部分将退回、追回或按权限升级。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PAY-003　员工代付公司采购款</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企业实际发生“员工代付公司采购款”，业务部门或相关个人提交发票/付款申请，财务需要判断是否报销、如何入账及税务处理。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建议科目：费用/资产及其他应付款—员工。最终分录按是否已付款、是否形成资产/负债、是否取得扣税凭证及真实受益人确定，不用一张固定分录覆盖所有时点。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这项业务我会按“员工代付”的真实实质处理。请先补齐业务、受益人和主体资料；能合规处理的部分我会正常入账，私人、虚假或证据不足部分将退回、追回或按权限升级。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PAY-004　老板个人先支付公司费用</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企业实际发生“老板个人先支付公司费用”，业务部门或相关个人提交发票/付款申请，财务需要判断是否报销、如何入账及税务处理。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建议科目：费用/资产及其他应付款—老板。最终分录按是否已付款、是否形成资产/负债、是否取得扣税凭证及真实受益人确定，不用一张固定分录覆盖所有时点。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这项业务我会按“老板代付”的真实实质处理。请先补齐业务、受益人和主体资料；能合规处理的部分我会正常入账，私人、虚假或证据不足部分将退回、追回或按权限升级。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PAY-005　母公司付款、子公司使用</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企业实际发生“母公司付款、子公司使用”，业务部门或相关个人提交发票/付款申请，财务需要判断是否报销、如何入账及税务处理。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建议科目：子公司费用/资产；双方关联往来。最终分录按是否已付款、是否形成资产/负债、是否取得扣税凭证及真实受益人确定，不用一张固定分录覆盖所有时点。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这项业务我会按“母子代付”的真实实质处理。请先补齐业务、受益人和主体资料；能合规处理的部分我会正常入账，私人、虚假或证据不足部分将退回、追回或按权限升级。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PAY-006　关联公司代采购</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企业实际发生“关联公司代采购”，业务部门或相关个人提交发票/付款申请，财务需要判断是否报销、如何入账及税务处理。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建议科目：受益公司存货/资产及关联往来。最终分录按是否已付款、是否形成资产/负债、是否取得扣税凭证及真实受益人确定，不用一张固定分录覆盖所有时点。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这项业务我会按“关联代采购”的真实实质处理。请先补齐业务、受益人和主体资料；能合规处理的部分我会正常入账，私人、虚假或证据不足部分将退回、追回或按权限升级。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PAY-007　客户指定第三方代收款</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企业实际发生“客户指定第三方代收款”，业务部门或相关个人提交发票/付款申请，财务需要判断是否报销、如何入账及税务处理。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建议科目：应收账款核销需授权和付款识别。最终分录按是否已付款、是否形成资产/负债、是否取得扣税凭证及真实受益人确定，不用一张固定分录覆盖所有时点。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这项业务我会按“第三方代收”的真实实质处理。请先补齐业务、受益人和主体资料；能合规处理的部分我会正常入账，私人、虚假或证据不足部分将退回、追回或按权限升级。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PAY-008　供应商指定第三方代付款</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企业实际发生“供应商指定第三方代付款”，业务部门或相关个人提交发票/付款申请，财务需要判断是否报销、如何入账及税务处理。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建议科目：应付账款核销需授权和债务确认。最终分录按是否已付款、是否形成资产/负债、是否取得扣税凭证及真实受益人确定，不用一张固定分录覆盖所有时点。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这项业务我会按“第三方代付”的真实实质处理。请先补齐业务、受益人和主体资料；能合规处理的部分我会正常入账，私人、虚假或证据不足部分将退回、追回或按权限升级。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PAY-009　一张发票由多家公司共同承担</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企业实际发生“一张发票由多家公司共同承担”，业务部门或相关个人提交发票/付款申请，财务需要判断是否报销、如何入账及税务处理。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建议科目：按受益分摊并使用分割单/内部结算。最终分录按是否已付款、是否形成资产/负债、是否取得扣税凭证及真实受益人确定，不用一张固定分录覆盖所有时点。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这项业务我会按“共同支出”的真实实质处理。请先补齐业务、受益人和主体资料；能合规处理的部分我会正常入账，私人、虚假或证据不足部分将退回、追回或按权限升级。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PAY-010　供应商临时变更收款账户</w:t>
      </w:r>
    </w:p>
    <w:p>
      <w:pPr>
        <w:spacing w:before="80" w:after="100"/>
      </w:pPr>
      <w:r>
        <w:rPr>
          <w:rFonts w:ascii="微软雅黑" w:hAnsi="微软雅黑" w:eastAsia="微软雅黑"/>
          <w:b/>
          <w:color w:val="BF7200"/>
          <w:sz w:val="21"/>
        </w:rPr>
        <w:t>【风险等级】</w:t>
      </w:r>
      <w:r>
        <w:rPr>
          <w:rFonts w:ascii="微软雅黑" w:hAnsi="微软雅黑" w:eastAsia="微软雅黑"/>
          <w:b w:val="0"/>
          <w:color w:val="000000"/>
          <w:sz w:val="21"/>
        </w:rPr>
        <w:t>橙色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企业实际发生“供应商临时变更收款账户”，业务部门或相关个人提交发票/付款申请，财务需要判断是否报销、如何入账及税务处理。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穿透合同、履约、受益、付款义务、发票和最终资金流；不以“票款一致”替代判断。</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⑤高风险，先暂停并补资料/升级审批。付款主体不同不自动否定交易，但必须有合法债权债务、授权代收代付或共同分摊依据；发票应由真实销售方开给实际购买方。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依次确认合同方、履约方、受益方、付款义务人、开票方和最终收款人；取得三方协议、授权收款、债权转让或分割单。</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建议科目：原应付不变；强化账户变更控制。最终分录按是否已付款、是否形成资产/负债、是否取得扣税凭证及真实受益人确定，不用一张固定分录覆盖所有时点。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由实际购买方凭真实销售方开具的合规扣税凭证抵扣；仅代付款的主体不取得抵扣权。</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费用归属实际受益企业；代付款形成往来。主体链不清时真实性、合法性和关联性均不足。</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无个人受益通常不涉及个税；资金流向员工、老板或其他个人时需穿透是否报销、借款、薪酬或股利。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不能因A、B关联就互相代开；仅代收款不改变实际销售方。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这项业务我会按“账户变更”的真实实质处理。请先补齐业务、受益人和主体资料；能合规处理的部分我会正常入账，私人、虚假或证据不足部分将退回、追回或按权限升级。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拒不整改并继续虚列、虚抵或不申报，可能升级为发票行政处罚、税收处罚或刑事评价；股东及董监高造成公司损失还可能承担返还和赔偿责任。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第10篇　资产与费用边界</w:t>
      </w:r>
    </w:p>
    <w:p>
      <w:pPr>
        <w:spacing w:after="100" w:line="300" w:lineRule="auto"/>
      </w:pPr>
      <w:r>
        <w:rPr>
          <w:rFonts w:ascii="微软雅黑" w:hAnsi="微软雅黑" w:eastAsia="微软雅黑"/>
          <w:b w:val="0"/>
          <w:color w:val="000000"/>
          <w:sz w:val="21"/>
        </w:rPr>
        <w:t>按控制、未来经济利益、使用寿命、可靠计量和达到可使用状态判断资本化。</w:t>
      </w:r>
    </w:p>
    <w:p>
      <w:pPr>
        <w:pStyle w:val="Heading2"/>
        <w:pageBreakBefore/>
      </w:pPr>
      <w:r>
        <w:t>ASSET-001　公司购买手机</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公司给销售经理采购手机6,000元、笔记本12,000元，设备使用超过一年，离职需归还；另给高管报销个人自购手机且无需归还。</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公司是否控制资产、使用寿命、重要性阈值、资产卡片、个人受益和税会差异。</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按资产政策处理；私人赠送则转职工薪酬/个人消费。公司采购并控制、使用超过一年，通常符合固定资产定义；企业可基于重要性制定低值一次费用化政策，但税务一次性扣除政策与会计确认不是同一概念。无需归还的个人手机更接近非货币福利/工资。</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公司统一采购、发票开公司、设备序列号入卡片、签署领用归还和信息安全责任；个人购买报销需先判断所有权和福利政策。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公司资产：借固定资产、进项税；贷应付；按月折旧计销售/管理费用。低值且政策允许会计费用化：借费用；贷应付。个人福利：借应付职工薪酬—非货币福利；贷应付，并分配费用。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用于一般计税经营的公司资产取得合规凭证按现行长期资产规则判断；专用于个人消费/福利不得抵扣。2026年混合用途长期资产还需关注原值500万元规则，但普通手机电脑通常低于该标准。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会计资产与企业所得税一次性扣除政策需建立税会差异台账；福利部分按福利费/工资规则。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公司控制且工作使用、离职归还通常不形成个人可支配所得；赠给个人或无需归还通常并入工资薪金。</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公司资产发票抬头为公司，型号序列号与验收卡片一致；个人抬头发票需按真实福利/报销政策处理。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采购审批、资产政策、发票验收、序列号卡片、领用归还、MDM/IT管理、个人福利审批。</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L08 《中华人民共和国个人所得税法》及实施条例｜个税法第2、9条；实施条例第6条｜工资薪金、股息红利等所得和扣缴义务按利益归属判断。</w:t>
              <w:br/>
              <w:t>L11 《企业会计准则第9号——职工薪酬》｜财会〔2014〕8号第2、6条等｜职工福利、非货币性福利属于短期薪酬，按受益对象计入成本费用。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设备如果归公司所有并由IT管理，应按资产政策登记和折旧；如果最终送给个人，就要按职工薪酬和个税处理，不能只看发票抬头。</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ASSET-002　公司购买电脑</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企业实际发生“公司购买电脑”，业务部门或相关个人提交发票/付款申请，财务需要判断是否报销、如何入账及税务处理。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建议科目：固定资产/低值易耗品。最终分录按是否已付款、是否形成资产/负债、是否取得扣税凭证及真实受益人确定，不用一张固定分录覆盖所有时点。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这项业务我会按“电脑”的真实实质处理。请先补齐业务、受益人和主体资料；能合规处理的部分我会正常入账，私人、虚假或证据不足部分将退回、追回或按权限升级。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ASSET-003　公司购买汽车</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企业实际发生“公司购买汽车”，业务部门或相关个人提交发票/付款申请，财务需要判断是否报销、如何入账及税务处理。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这项业务我会按“汽车”的真实实质处理。请先补齐业务、受益人和主体资料；能合规处理的部分我会正常入账，私人、虚假或证据不足部分将退回、追回或按权限升级。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ASSET-004　公司购买办公家具</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企业实际发生“公司购买办公家具”，业务部门或相关个人提交发票/付款申请，财务需要判断是否报销、如何入账及税务处理。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建议科目：固定资产/低值易耗品。最终分录按是否已付款、是否形成资产/负债、是否取得扣税凭证及真实受益人确定，不用一张固定分录覆盖所有时点。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这项业务我会按“家具”的真实实质处理。请先补齐业务、受益人和主体资料；能合规处理的部分我会正常入账，私人、虚假或证据不足部分将退回、追回或按权限升级。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ASSET-005　办公室整体装修</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企业实际发生“办公室整体装修”，业务部门或相关个人提交发票/付款申请，财务需要判断是否报销、如何入账及税务处理。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建议科目：长期待摊费用/使用权资产改良。最终分录按是否已付款、是否形成资产/负债、是否取得扣税凭证及真实受益人确定，不用一张固定分录覆盖所有时点。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这项业务我会按“装修”的真实实质处理。请先补齐业务、受益人和主体资料；能合规处理的部分我会正常入账，私人、虚假或证据不足部分将退回、追回或按权限升级。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ASSET-006　购买软件许可</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企业实际发生“购买软件许可”，业务部门或相关个人提交发票/付款申请，财务需要判断是否报销、如何入账及税务处理。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建议科目：无形资产/使用权/期间费用。最终分录按是否已付款、是否形成资产/负债、是否取得扣税凭证及真实受益人确定，不用一张固定分录覆盖所有时点。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这项业务我会按“软件”的真实实质处理。请先补齐业务、受益人和主体资料；能合规处理的部分我会正常入账，私人、虚假或证据不足部分将退回、追回或按权限升级。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ASSET-007　购买会员费</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企业实际发生“购买会员费”，业务部门或相关个人提交发票/付款申请，财务需要判断是否报销、如何入账及税务处理。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建议科目：预付账款按期摊销/期间费用。最终分录按是否已付款、是否形成资产/负债、是否取得扣税凭证及真实受益人确定，不用一张固定分录覆盖所有时点。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这项业务我会按“会员”的真实实质处理。请先补齐业务、受益人和主体资料；能合规处理的部分我会正常入账，私人、虚假或证据不足部分将退回、追回或按权限升级。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ASSET-008　建设企业网站</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企业实际发生“建设企业网站”，业务部门或相关个人提交发票/付款申请，财务需要判断是否报销、如何入账及税务处理。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建议科目：无形资产或期间费用。最终分录按是否已付款、是否形成资产/负债、是否取得扣税凭证及真实受益人确定，不用一张固定分录覆盖所有时点。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这项业务我会按“网站”的真实实质处理。请先补齐业务、受益人和主体资料；能合规处理的部分我会正常入账，私人、虚假或证据不足部分将退回、追回或按权限升级。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ASSET-009　广告设计费</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企业实际发生“广告设计费”，业务部门或相关个人提交发票/付款申请，财务需要判断是否报销、如何入账及税务处理。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建议科目：销售费用—广告宣传费；特定资产直接成本除外。最终分录按是否已付款、是否形成资产/负债、是否取得扣税凭证及真实受益人确定，不用一张固定分录覆盖所有时点。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这项业务我会按“设计”的真实实质处理。请先补齐业务、受益人和主体资料；能合规处理的部分我会正常入账，私人、虚假或证据不足部分将退回、追回或按权限升级。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ASSET-010　购买专利</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企业实际发生“购买专利”，业务部门或相关个人提交发票/付款申请，财务需要判断是否报销、如何入账及税务处理。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建议科目：无形资产。最终分录按是否已付款、是否形成资产/负债、是否取得扣税凭证及真实受益人确定，不用一张固定分录覆盖所有时点。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这项业务我会按“专利”的真实实质处理。请先补齐业务、受益人和主体资料；能合规处理的部分我会正常入账，私人、虚假或证据不足部分将退回、追回或按权限升级。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ASSET-011　购买或注册商标</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企业实际发生“购买或注册商标”，业务部门或相关个人提交发票/付款申请，财务需要判断是否报销、如何入账及税务处理。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建议科目：无形资产/期间费用按形成方式。最终分录按是否已付款、是否形成资产/负债、是否取得扣税凭证及真实受益人确定，不用一张固定分录覆盖所有时点。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这项业务我会按“商标”的真实实质处理。请先补齐业务、受益人和主体资料；能合规处理的部分我会正常入账，私人、虚假或证据不足部分将退回、追回或按权限升级。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ASSET-012　生产设备大额维修与改良</w:t>
      </w:r>
    </w:p>
    <w:p>
      <w:pPr>
        <w:spacing w:before="80" w:after="100"/>
      </w:pPr>
      <w:r>
        <w:rPr>
          <w:rFonts w:ascii="微软雅黑" w:hAnsi="微软雅黑" w:eastAsia="微软雅黑"/>
          <w:b/>
          <w:color w:val="B8860B"/>
          <w:sz w:val="21"/>
        </w:rPr>
        <w:t>【风险等级】</w:t>
      </w:r>
      <w:r>
        <w:rPr>
          <w:rFonts w:ascii="微软雅黑" w:hAnsi="微软雅黑" w:eastAsia="微软雅黑"/>
          <w:b w:val="0"/>
          <w:color w:val="000000"/>
          <w:sz w:val="21"/>
        </w:rPr>
        <w:t>黄色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企业实际发生“生产设备大额维修与改良”，业务部门或相关个人提交发票/付款申请，财务需要判断是否报销、如何入账及税务处理。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按控制、未来经济利益、使用寿命、可靠计量和达到可使用状态判断资本化。</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②可以做，但需满足真实、相关、合理和凭证条件。符合公司控制、未来经济利益很可能流入、使用超过一个会计年度及成本可靠计量等条件时资本化；日常维护或不满足条件的支出费用化。</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立项、采购、验收、序列号/权利证书、达到可使用状态和责任人入卡片；会计重要性政策与税法扣除政策分开维护。</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建议科目：固定资产后续支出/维修费。最终分录按是否已付款、是否形成资产/负债、是否取得扣税凭证及真实受益人确定，不用一张固定分录覆盖所有时点。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经营用途长期资产取得合规凭证按2026年长期资产规则判断；专用于个人消费、福利等不得抵扣。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按资产计税基础折旧/摊销；会计低值费用化与税法一次性扣除可能形成税会差异。</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公司控制、工作使用并归还通常不形成个人所得；赠给个人或装修私人住宅则按工资薪金或股息红利。</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发票、资产名称、型号、权利主体、验收和付款一致。</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L02 《中华人民共和国增值税法》｜第5、16、19、22、28条；2026年1月1日起施行｜视同应税交易、扣税凭证、不得抵扣项目和纳税义务时点。</w:t>
              <w:br/>
              <w:t>L03 《中华人民共和国增值税法实施条例》｜第20、23—25条｜交际应酬属于个人消费；用途改变的进项扣减；混合用途长期资产规则。</w:t>
              <w:br/>
              <w:t>L04 《中华人民共和国企业所得税法》｜第8、10条｜与取得收入有关且合理的实际支出可扣除；与取得收入无关等项目不得扣除。</w:t>
              <w:br/>
              <w:t>L05 《中华人民共和国企业所得税法实施条例》｜第27、30、40、43、44、48、54、57条｜相关性合理性、福利费14%、招待费双限额、广告宣传费限额、劳保和资产边界。</w:t>
              <w:br/>
              <w:t>L06 《企业所得税税前扣除凭证管理办法》｜国家税务总局公告2018年第28号第4、7、9、11—18条｜真实性、合法性、关联性；无票补换、特殊原因举证、境外凭证和分割单。</w:t>
              <w:br/>
              <w:t>L12 《企业会计准则第4号——固定资产》｜第3、4、6—8条｜生产经营持有、使用寿命超过一年且满足确认条件的资产按成本确认；后续支出按条件资本化。</w:t>
              <w:br/>
              <w:t>L13 《企业会计准则第6号——无形资产》｜第3、4、6、12、17条｜可辨认、受控制且利益很可能流入、成本可靠时确认无形资产，否则费用化。</w:t>
              <w:br/>
              <w:t>L19 《中华人民共和国税收征收管理法》｜第32、62—65、69条｜逾期税款按日万分之五加收滞纳金；偷税通常追缴税款、滞纳金并处少缴税款50%至5倍罚款；应扣未扣有相应责任。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这项业务我会按“大修”的真实实质处理。请先补齐业务、受益人和主体资料；能合规处理的部分我会正常入账，私人、虚假或证据不足部分将退回、追回或按权限升级。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资料长期不补齐通常导致不予报销、税前不得扣除或进项不得抵扣；员工故意骗报、重复报销，企业可依依法制定并公示的制度处分，达到严重违纪或严重失职并造成重大损害时可依法处理劳动关系。</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第11篇　高风险红线</w:t>
      </w:r>
    </w:p>
    <w:p>
      <w:pPr>
        <w:spacing w:after="100" w:line="300" w:lineRule="auto"/>
      </w:pPr>
      <w:r>
        <w:rPr>
          <w:rFonts w:ascii="微软雅黑" w:hAnsi="微软雅黑" w:eastAsia="微软雅黑"/>
          <w:b w:val="0"/>
          <w:color w:val="000000"/>
          <w:sz w:val="21"/>
        </w:rPr>
        <w:t>无真实业务、虚假主体、虚列支出、虚抵进项、资金回流或虚假工资均不得执行。</w:t>
      </w:r>
    </w:p>
    <w:p>
      <w:pPr>
        <w:pStyle w:val="Heading2"/>
        <w:pageBreakBefore/>
      </w:pPr>
      <w:r>
        <w:t>RED-001　购买发票冲成本费用</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公司与无实际能力的供应商签“咨询合同”，付款后对方扣除手续费，将余款转给老板指定个人；拟取得专票抵税。</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虚构交易、虚列支出、虚抵进项、资金回流、个人利益输送、共同参与人员责任。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⑦涉嫌违法甚至刑事风险。这是典型红线，财务不得制单、审批、抵扣或协助编造成果。合同、发票和银行流水齐全仍可能是一套虚假证据链。</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停止付款/抵扣；保存已有真实沟通和系统日志；书面向有权治理层报告；若已发生，聘请独立法律和税务专业人士评估主动更正、补税、追偿及报告义务。不得自行销毁或篡改资料。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不得确认咨询费和进项。已入账应依据事实冲销，并将可追偿款项反映为其他应收款或按法律意见处理；税务同步更正。</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无业务专票不得抵扣；达到法释〔2024〕4号标准和主观、实害等构成要件时可能追究刑责。</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不得扣除；以虚列支出少缴税属于司法解释列举的欺骗隐瞒手段之一。</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回流至个人账户需追查最终受益人，可能涉及股息红利、工资薪金、侵占或其他法律后果。</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无实际业务开票属于发票管理办法第21条禁止的虚开发票。</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保留原始指令、合同草案、付款计划、供应商尽调、系统日志和拒绝/升级记录；不得“补”虚假成果。</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L04 《中华人民共和国企业所得税法》｜第8、10条｜与取得收入有关且合理的实际支出可扣除；与取得收入无关等项目不得扣除。</w:t>
              <w:br/>
              <w:t>L06 《企业所得税税前扣除凭证管理办法》｜国家税务总局公告2018年第28号第4、7、9、11—18条｜真实性、合法性、关联性；无票补换、特殊原因举证、境外凭证和分割单。</w:t>
              <w:br/>
              <w:t>L07 《中华人民共和国发票管理办法》（2023年修订）｜第18—21、23、28、32、33—35条｜如实开票；不得要求变更品名金额；不合规发票不得报销；禁止虚开。</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合同、发票和付款形式不能替代真实服务。该安排存在资金回流和虚抵进项风险，我不能执行或制作凭证，建议立即停止并交由独立法务、税务负责人处理。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RED-002　找其他公司代开发票</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企业实际发生“找其他公司代开发票”，业务部门或相关个人提交发票/付款申请，财务需要判断是否报销、如何入账及税务处理。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这项业务我会按“代开”的真实实质处理。请先补齐业务、受益人和主体资料；能合规处理的部分我会正常入账，私人、虚假或证据不足部分将退回、追回或按权限升级。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RED-003　虚构咨询费</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企业实际发生“虚构咨询费”，业务部门或相关个人提交发票/付款申请，财务需要判断是否报销、如何入账及税务处理。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这项业务我会按“虚假咨询”的真实实质处理。请先补齐业务、受益人和主体资料；能合规处理的部分我会正常入账，私人、虚假或证据不足部分将退回、追回或按权限升级。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RED-004　虚构广告费</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企业实际发生“虚构广告费”，业务部门或相关个人提交发票/付款申请，财务需要判断是否报销、如何入账及税务处理。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这项业务我会按“虚假广告”的真实实质处理。请先补齐业务、受益人和主体资料；能合规处理的部分我会正常入账，私人、虚假或证据不足部分将退回、追回或按权限升级。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RED-005　虚构差旅和会议</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企业实际发生“虚构差旅和会议”，业务部门或相关个人提交发票/付款申请，财务需要判断是否报销、如何入账及税务处理。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这项业务我会按“虚假差旅”的真实实质处理。请先补齐业务、受益人和主体资料；能合规处理的部分我会正常入账，私人、虚假或证据不足部分将退回、追回或按权限升级。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RED-006　虚假员工工资和“幽灵员工”</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企业实际发生“虚假员工工资和“幽灵员工””，业务部门或相关个人提交发票/付款申请，财务需要判断是否报销、如何入账及税务处理。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建议科目：不得入账并追查资金。最终分录按是否已付款、是否形成资产/负债、是否取得扣税凭证及真实受益人确定，不用一张固定分录覆盖所有时点。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这项业务我会按“虚假工资”的真实实质处理。请先补齐业务、受益人和主体资料；能合规处理的部分我会正常入账，私人、虚假或证据不足部分将退回、追回或按权限升级。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RED-007　付款后资金循环回流</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企业实际发生“付款后资金循环回流”，业务部门或相关个人提交发票/付款申请，财务需要判断是否报销、如何入账及税务处理。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建议科目：不得入账并追查最终受益人。最终分录按是否已付款、是否形成资产/负债、是否取得扣税凭证及真实受益人确定，不用一张固定分录覆盖所有时点。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这项业务我会按“资金回流”的真实实质处理。请先补齐业务、受益人和主体资料；能合规处理的部分我会正常入账，私人、虚假或证据不足部分将退回、追回或按权限升级。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RED-008　无实际货物但开具采购发票</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企业实际发生“无实际货物但开具采购发票”，业务部门或相关个人提交发票/付款申请，财务需要判断是否报销、如何入账及税务处理。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建议科目：不得入账。最终分录按是否已付款、是否形成资产/负债、是否取得扣税凭证及真实受益人确定，不用一张固定分录覆盖所有时点。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这项业务我会按“无货虚开”的真实实质处理。请先补齐业务、受益人和主体资料；能合规处理的部分我会正常入账，私人、虚假或证据不足部分将退回、追回或按权限升级。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RED-009　有货但故意提高数量金额开票</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企业实际发生“有货但故意提高数量金额开票”，业务部门或相关个人提交发票/付款申请，财务需要判断是否报销、如何入账及税务处理。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建议科目：按真实金额入账；虚增部分拒绝。最终分录按是否已付款、是否形成资产/负债、是否取得扣税凭证及真实受益人确定，不用一张固定分录覆盖所有时点。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这项业务我会按“有货虚开”的真实实质处理。请先补齐业务、受益人和主体资料；能合规处理的部分我会正常入账，私人、虚假或证据不足部分将退回、追回或按权限升级。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2"/>
        <w:pageBreakBefore/>
      </w:pPr>
      <w:r>
        <w:t>RED-010　虚构交易主体取得不得抵扣业务专票</w:t>
      </w:r>
    </w:p>
    <w:p>
      <w:pPr>
        <w:spacing w:before="80" w:after="100"/>
      </w:pPr>
      <w:r>
        <w:rPr>
          <w:rFonts w:ascii="微软雅黑" w:hAnsi="微软雅黑" w:eastAsia="微软雅黑"/>
          <w:b/>
          <w:color w:val="C00000"/>
          <w:sz w:val="21"/>
        </w:rPr>
        <w:t>【风险等级】</w:t>
      </w:r>
      <w:r>
        <w:rPr>
          <w:rFonts w:ascii="微软雅黑" w:hAnsi="微软雅黑" w:eastAsia="微软雅黑"/>
          <w:b w:val="0"/>
          <w:color w:val="000000"/>
          <w:sz w:val="21"/>
        </w:rPr>
        <w:t>红色</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判断项目</w:t>
            </w:r>
          </w:p>
        </w:tc>
        <w:tc>
          <w:tcPr>
            <w:tcW w:type="dxa" w:w="7313"/>
            <w:shd w:fill="17365D"/>
            <w:tcMar>
              <w:top w:w="90" w:type="dxa"/>
              <w:start w:w="100" w:type="dxa"/>
              <w:bottom w:w="90" w:type="dxa"/>
              <w:end w:w="100" w:type="dxa"/>
            </w:tcMar>
            <w:vAlign w:val="center"/>
          </w:tcPr>
          <w:p>
            <w:pPr>
              <w:jc w:val="center"/>
            </w:pPr>
            <w:r>
              <w:rPr>
                <w:rFonts w:ascii="微软雅黑" w:hAnsi="微软雅黑" w:eastAsia="微软雅黑"/>
                <w:b/>
                <w:color w:val="FFFFFF"/>
                <w:sz w:val="17"/>
              </w:rPr>
              <w:t>实务处理</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 业务场景</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企业实际发生“虚构交易主体取得不得抵扣业务专票”，业务部门或相关个人提交发票/付款申请，财务需要判断是否报销、如何入账及税务处理。</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2. 核心问题</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无真实业务、虚假主体、虚列支出、虚抵进项、资金回流或虚假工资均不得执行。</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3. 是否违规与结论</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⑦疑似违法/刑事风险。缺乏真实业务或故意虚构主体、金额、服务成果、员工、货物流或资金流的，不得入账、抵扣、扣除或协助制作虚假资料。</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4. 正确操作方式</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停止开票、付款、入账和抵扣；保存原始指令与系统日志；书面向有权治理层升级；已发生时由独立法务和税务专业人员评估更正、补税和报告。</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5. 会计处理与分录</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建议科目：不得抵扣并更正。最终分录按是否已付款、是否形成资产/负债、是否取得扣税凭证及真实受益人确定，不用一张固定分录覆盖所有时点。</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6. 增值税处理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不得抵扣；无业务专票、超额专票或虚构主体骗抵可能触及刑法第205条及法释〔2024〕4号。</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7. 企业所得税处理</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不得扣除；以虚列支出少缴税属于司法解释列举的欺骗隐瞒手段。</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8. 个人所得税处理</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追查资金最终受益人，可能涉及工资薪金、股息红利、侵占或其他责任。</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9. 发票要求</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无业务、有业务但品名数量金额不符、虚构主体和篡改电子信息均属于禁止情形。</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10. 支持性资料</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合同/申请审批、真实业务说明、发票源文件、验收/签收/行程或使用记录、付款流水、受益人和系统日志；按本案标签补充专项资料。</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11. 法律法规依据</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L01 《中华人民共和国会计法》（2024年修正）｜第3、4、5、9、13、14、40—43条｜以实际发生经济业务核算；原始凭证须审核；不得伪造、强令造假。</w:t>
              <w:br/>
              <w:t>L07 《中华人民共和国发票管理办法》（2023年修订）｜第18—21、23、28、32、33—35条｜如实开票；不得要求变更品名金额；不合规发票不得报销；禁止虚开。</w:t>
              <w:br/>
              <w:t>L15 “两高”危害税收征管刑事案件司法解释｜法释〔2024〕4号第1、10—13、19、21条｜虚列支出、虚抵进项及无业务、有货不符、虚构主体开票的刑事评价和补税从宽因素。</w:t>
              <w:br/>
              <w:t>L19 《中华人民共和国税收征收管理法》｜第32、62—65、69条｜逾期税款按日万分之五加收滞纳金；偷税通常追缴税款、滞纳金并处少缴税款50%至5倍罚款；应扣未扣有相应责任。</w:t>
              <w:br/>
              <w:t>L14 《中华人民共和国公司法》（2023年修订）｜第21、22、180—182、192条｜股东不得滥用权利；董监高忠实勤勉；关联交易应报告审批，不得损害公司。</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12. 怎么沟通</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这项业务我会按“虚构主体”的真实实质处理。请先补齐业务、受益人和主体资料；能合规处理的部分我会正常入账，私人、虚假或证据不足部分将退回、追回或按权限升级。</w:t>
            </w:r>
          </w:p>
        </w:tc>
      </w:tr>
      <w:tr>
        <w:trPr>
          <w:cantSplit/>
        </w:trPr>
        <w:tc>
          <w:tcPr>
            <w:tcW w:type="dxa" w:w="2324"/>
            <w:tcMar>
              <w:top w:w="90" w:type="dxa"/>
              <w:start w:w="100" w:type="dxa"/>
              <w:bottom w:w="90" w:type="dxa"/>
              <w:end w:w="100" w:type="dxa"/>
            </w:tcMar>
            <w:vAlign w:val="center"/>
          </w:tcPr>
          <w:p>
            <w:pPr>
              <w:jc w:val="center"/>
            </w:pPr>
            <w:r>
              <w:rPr>
                <w:rFonts w:ascii="微软雅黑" w:hAnsi="微软雅黑" w:eastAsia="微软雅黑"/>
                <w:b w:val="0"/>
                <w:color w:val="000000"/>
                <w:sz w:val="15"/>
              </w:rPr>
              <w:t>13. 拒不整改/继续执行的后果</w:t>
            </w:r>
          </w:p>
        </w:tc>
        <w:tc>
          <w:tcPr>
            <w:tcW w:type="dxa" w:w="7313"/>
            <w:tcMar>
              <w:top w:w="90" w:type="dxa"/>
              <w:start w:w="100" w:type="dxa"/>
              <w:bottom w:w="90" w:type="dxa"/>
              <w:end w:w="100" w:type="dxa"/>
            </w:tcMar>
            <w:vAlign w:val="center"/>
          </w:tcPr>
          <w:p>
            <w:r>
              <w:rPr>
                <w:rFonts w:ascii="微软雅黑" w:hAnsi="微软雅黑" w:eastAsia="微软雅黑"/>
                <w:b w:val="0"/>
                <w:color w:val="000000"/>
                <w:sz w:val="15"/>
              </w:rPr>
              <w:t>首先退回补充或拒绝报销；已付款则追回，已入账则按事实冲销或重分类；已抵扣或税前扣除错误时，办理进项扣减/更正申报、纳税调增、补税并视逾期情况承担滞纳金。 若仍虚构业务、接受或让他人虚开发票：税务机关可没收违法所得；虚开金额1万元以下可并处5万元以下罚款，超过1万元并处5万至50万元罚款。造成少缴税可能追缴税款、按日万分之五滞纳金并处少缴税款50%至5倍罚款。达到刑法及法释〔2024〕4号构成要件的，单位、直接负责主管人员和其他直接责任人员可能被追究刑事责任；并非出现一张问题发票就自动入罪。会计人员参与伪造会计资料还可能被罚款、五年内不得从事会计工作。</w:t>
            </w:r>
          </w:p>
        </w:tc>
      </w:tr>
      <w:tr>
        <w:trPr>
          <w:cantSplit/>
        </w:trPr>
        <w:tc>
          <w:tcPr>
            <w:tcW w:type="dxa" w:w="2324"/>
            <w:tcMar>
              <w:top w:w="90" w:type="dxa"/>
              <w:start w:w="100" w:type="dxa"/>
              <w:bottom w:w="90" w:type="dxa"/>
              <w:end w:w="100" w:type="dxa"/>
            </w:tcMar>
            <w:vAlign w:val="center"/>
            <w:shd w:fill="F2F4F7"/>
          </w:tcPr>
          <w:p>
            <w:pPr>
              <w:jc w:val="center"/>
            </w:pPr>
            <w:r>
              <w:rPr>
                <w:rFonts w:ascii="微软雅黑" w:hAnsi="微软雅黑" w:eastAsia="微软雅黑"/>
                <w:b w:val="0"/>
                <w:color w:val="000000"/>
                <w:sz w:val="15"/>
              </w:rPr>
              <w:t>14. 可能责任主体与财务留痕</w:t>
            </w:r>
          </w:p>
        </w:tc>
        <w:tc>
          <w:tcPr>
            <w:tcW w:type="dxa" w:w="7313"/>
            <w:tcMar>
              <w:top w:w="90" w:type="dxa"/>
              <w:start w:w="100" w:type="dxa"/>
              <w:bottom w:w="90" w:type="dxa"/>
              <w:end w:w="100" w:type="dxa"/>
            </w:tcMar>
            <w:vAlign w:val="center"/>
            <w:shd w:fill="F2F4F7"/>
          </w:tcPr>
          <w:p>
            <w:r>
              <w:rPr>
                <w:rFonts w:ascii="微软雅黑" w:hAnsi="微软雅黑" w:eastAsia="微软雅黑"/>
                <w:b w:val="0"/>
                <w:color w:val="000000"/>
                <w:sz w:val="15"/>
              </w:rPr>
              <w:t>先区分申请人、审批人、单位负责人、实际受益人、开票/收款方、会计制单复核人员和税务申报人员；责任取决于其行为、主观认知、金额、造成后果及整改情况，不因职务名称自动承担全部责任。</w:t>
            </w:r>
          </w:p>
        </w:tc>
      </w:tr>
    </w:tbl>
    <w:p>
      <w:pPr>
        <w:spacing w:after="20"/>
      </w:pPr>
    </w:p>
    <w:p>
      <w:pPr>
        <w:pStyle w:val="Heading1"/>
      </w:pPr>
      <w:r>
        <w:t>第十二篇　法规与官方资料索引</w:t>
      </w:r>
    </w:p>
    <w:p>
      <w:r>
        <w:rPr>
          <w:rFonts w:ascii="微软雅黑" w:hAnsi="微软雅黑" w:eastAsia="微软雅黑"/>
          <w:b w:val="0"/>
          <w:color w:val="000000"/>
          <w:sz w:val="16"/>
        </w:rPr>
        <w:t xml:space="preserve">L01　《中华人民共和国会计法》（2024年修正）｜第3、4、5、9、13、14、40—43条｜以实际发生经济业务核算；原始凭证须审核；不得伪造、强令造假。　</w:t>
      </w:r>
      <w:hyperlink r:id="rId10">
        <w:r>
          <w:rPr>
            <w:color w:val="2F75B5"/>
            <w:u w:val="single"/>
          </w:rPr>
          <w:t>官方链接</w:t>
        </w:r>
      </w:hyperlink>
    </w:p>
    <w:p>
      <w:r>
        <w:rPr>
          <w:rFonts w:ascii="微软雅黑" w:hAnsi="微软雅黑" w:eastAsia="微软雅黑"/>
          <w:b w:val="0"/>
          <w:color w:val="000000"/>
          <w:sz w:val="16"/>
        </w:rPr>
        <w:t xml:space="preserve">L02　《中华人民共和国增值税法》｜第5、16、19、22、28条；2026年1月1日起施行｜视同应税交易、扣税凭证、不得抵扣项目和纳税义务时点。　</w:t>
      </w:r>
      <w:hyperlink r:id="rId11">
        <w:r>
          <w:rPr>
            <w:color w:val="2F75B5"/>
            <w:u w:val="single"/>
          </w:rPr>
          <w:t>官方链接</w:t>
        </w:r>
      </w:hyperlink>
    </w:p>
    <w:p>
      <w:r>
        <w:rPr>
          <w:rFonts w:ascii="微软雅黑" w:hAnsi="微软雅黑" w:eastAsia="微软雅黑"/>
          <w:b w:val="0"/>
          <w:color w:val="000000"/>
          <w:sz w:val="16"/>
        </w:rPr>
        <w:t xml:space="preserve">L03　《中华人民共和国增值税法实施条例》｜第20、23—25条｜交际应酬属于个人消费；用途改变的进项扣减；混合用途长期资产规则。　</w:t>
      </w:r>
      <w:hyperlink r:id="rId12">
        <w:r>
          <w:rPr>
            <w:color w:val="2F75B5"/>
            <w:u w:val="single"/>
          </w:rPr>
          <w:t>官方链接</w:t>
        </w:r>
      </w:hyperlink>
    </w:p>
    <w:p>
      <w:r>
        <w:rPr>
          <w:rFonts w:ascii="微软雅黑" w:hAnsi="微软雅黑" w:eastAsia="微软雅黑"/>
          <w:b w:val="0"/>
          <w:color w:val="000000"/>
          <w:sz w:val="16"/>
        </w:rPr>
        <w:t xml:space="preserve">L04　《中华人民共和国企业所得税法》｜第8、10条｜与取得收入有关且合理的实际支出可扣除；与取得收入无关等项目不得扣除。　</w:t>
      </w:r>
      <w:hyperlink r:id="rId13">
        <w:r>
          <w:rPr>
            <w:color w:val="2F75B5"/>
            <w:u w:val="single"/>
          </w:rPr>
          <w:t>官方链接</w:t>
        </w:r>
      </w:hyperlink>
    </w:p>
    <w:p>
      <w:r>
        <w:rPr>
          <w:rFonts w:ascii="微软雅黑" w:hAnsi="微软雅黑" w:eastAsia="微软雅黑"/>
          <w:b w:val="0"/>
          <w:color w:val="000000"/>
          <w:sz w:val="16"/>
        </w:rPr>
        <w:t xml:space="preserve">L05　《中华人民共和国企业所得税法实施条例》｜第27、30、40、43、44、48、54、57条｜相关性合理性、福利费14%、招待费双限额、广告宣传费限额、劳保和资产边界。　</w:t>
      </w:r>
      <w:hyperlink r:id="rId14">
        <w:r>
          <w:rPr>
            <w:color w:val="2F75B5"/>
            <w:u w:val="single"/>
          </w:rPr>
          <w:t>官方链接</w:t>
        </w:r>
      </w:hyperlink>
    </w:p>
    <w:p>
      <w:r>
        <w:rPr>
          <w:rFonts w:ascii="微软雅黑" w:hAnsi="微软雅黑" w:eastAsia="微软雅黑"/>
          <w:b w:val="0"/>
          <w:color w:val="000000"/>
          <w:sz w:val="16"/>
        </w:rPr>
        <w:t xml:space="preserve">L06　《企业所得税税前扣除凭证管理办法》｜国家税务总局公告2018年第28号第4、7、9、11—18条｜真实性、合法性、关联性；无票补换、特殊原因举证、境外凭证和分割单。　</w:t>
      </w:r>
      <w:hyperlink r:id="rId15">
        <w:r>
          <w:rPr>
            <w:color w:val="2F75B5"/>
            <w:u w:val="single"/>
          </w:rPr>
          <w:t>官方链接</w:t>
        </w:r>
      </w:hyperlink>
    </w:p>
    <w:p>
      <w:r>
        <w:rPr>
          <w:rFonts w:ascii="微软雅黑" w:hAnsi="微软雅黑" w:eastAsia="微软雅黑"/>
          <w:b w:val="0"/>
          <w:color w:val="000000"/>
          <w:sz w:val="16"/>
        </w:rPr>
        <w:t xml:space="preserve">L07　《中华人民共和国发票管理办法》（2023年修订）｜第18—21、23、28、32、33—35条｜如实开票；不得要求变更品名金额；不合规发票不得报销；禁止虚开。　</w:t>
      </w:r>
      <w:hyperlink r:id="rId16">
        <w:r>
          <w:rPr>
            <w:color w:val="2F75B5"/>
            <w:u w:val="single"/>
          </w:rPr>
          <w:t>官方链接</w:t>
        </w:r>
      </w:hyperlink>
    </w:p>
    <w:p>
      <w:r>
        <w:rPr>
          <w:rFonts w:ascii="微软雅黑" w:hAnsi="微软雅黑" w:eastAsia="微软雅黑"/>
          <w:b w:val="0"/>
          <w:color w:val="000000"/>
          <w:sz w:val="16"/>
        </w:rPr>
        <w:t xml:space="preserve">L08　《中华人民共和国个人所得税法》及实施条例｜个税法第2、9条；实施条例第6条｜工资薪金、股息红利等所得和扣缴义务按利益归属判断。　</w:t>
      </w:r>
      <w:hyperlink r:id="rId17">
        <w:r>
          <w:rPr>
            <w:color w:val="2F75B5"/>
            <w:u w:val="single"/>
          </w:rPr>
          <w:t>官方链接</w:t>
        </w:r>
      </w:hyperlink>
    </w:p>
    <w:p>
      <w:r>
        <w:rPr>
          <w:rFonts w:ascii="微软雅黑" w:hAnsi="微软雅黑" w:eastAsia="微软雅黑"/>
          <w:b w:val="0"/>
          <w:color w:val="000000"/>
          <w:sz w:val="16"/>
        </w:rPr>
        <w:t xml:space="preserve">L09　《关于规范个人投资者个人所得税征收管理的通知》｜财税〔2003〕158号第1、2条｜公司为个人投资者及相关人员支付非经营消费、购买家庭财产及年末长期借款的个税处理。　</w:t>
      </w:r>
      <w:hyperlink r:id="rId18">
        <w:r>
          <w:rPr>
            <w:color w:val="2F75B5"/>
            <w:u w:val="single"/>
          </w:rPr>
          <w:t>官方链接</w:t>
        </w:r>
      </w:hyperlink>
    </w:p>
    <w:p>
      <w:r>
        <w:rPr>
          <w:rFonts w:ascii="微软雅黑" w:hAnsi="微软雅黑" w:eastAsia="微软雅黑"/>
          <w:b w:val="0"/>
          <w:color w:val="000000"/>
          <w:sz w:val="16"/>
        </w:rPr>
        <w:t xml:space="preserve">L10　《国家税务总局关于企业工资薪金及职工福利费扣除问题的通知》｜国税函〔2009〕3号第3条｜食堂补贴、卫生保健、交通住房补贴及非货币福利属于职工福利费范围。　</w:t>
      </w:r>
      <w:hyperlink r:id="rId19">
        <w:r>
          <w:rPr>
            <w:color w:val="2F75B5"/>
            <w:u w:val="single"/>
          </w:rPr>
          <w:t>官方链接</w:t>
        </w:r>
      </w:hyperlink>
    </w:p>
    <w:p>
      <w:r>
        <w:rPr>
          <w:rFonts w:ascii="微软雅黑" w:hAnsi="微软雅黑" w:eastAsia="微软雅黑"/>
          <w:b w:val="0"/>
          <w:color w:val="000000"/>
          <w:sz w:val="16"/>
        </w:rPr>
        <w:t xml:space="preserve">L11　《企业会计准则第9号——职工薪酬》｜财会〔2014〕8号第2、6条等｜职工福利、非货币性福利属于短期薪酬，按受益对象计入成本费用。　</w:t>
      </w:r>
      <w:hyperlink r:id="rId20">
        <w:r>
          <w:rPr>
            <w:color w:val="2F75B5"/>
            <w:u w:val="single"/>
          </w:rPr>
          <w:t>官方链接</w:t>
        </w:r>
      </w:hyperlink>
    </w:p>
    <w:p>
      <w:r>
        <w:rPr>
          <w:rFonts w:ascii="微软雅黑" w:hAnsi="微软雅黑" w:eastAsia="微软雅黑"/>
          <w:b w:val="0"/>
          <w:color w:val="000000"/>
          <w:sz w:val="16"/>
        </w:rPr>
        <w:t xml:space="preserve">L12　《企业会计准则第4号——固定资产》｜第3、4、6—8条｜生产经营持有、使用寿命超过一年且满足确认条件的资产按成本确认；后续支出按条件资本化。　</w:t>
      </w:r>
      <w:hyperlink r:id="rId21">
        <w:r>
          <w:rPr>
            <w:color w:val="2F75B5"/>
            <w:u w:val="single"/>
          </w:rPr>
          <w:t>官方链接</w:t>
        </w:r>
      </w:hyperlink>
    </w:p>
    <w:p>
      <w:r>
        <w:rPr>
          <w:rFonts w:ascii="微软雅黑" w:hAnsi="微软雅黑" w:eastAsia="微软雅黑"/>
          <w:b w:val="0"/>
          <w:color w:val="000000"/>
          <w:sz w:val="16"/>
        </w:rPr>
        <w:t xml:space="preserve">L13　《企业会计准则第6号——无形资产》｜第3、4、6、12、17条｜可辨认、受控制且利益很可能流入、成本可靠时确认无形资产，否则费用化。　</w:t>
      </w:r>
      <w:hyperlink r:id="rId22">
        <w:r>
          <w:rPr>
            <w:color w:val="2F75B5"/>
            <w:u w:val="single"/>
          </w:rPr>
          <w:t>官方链接</w:t>
        </w:r>
      </w:hyperlink>
    </w:p>
    <w:p>
      <w:r>
        <w:rPr>
          <w:rFonts w:ascii="微软雅黑" w:hAnsi="微软雅黑" w:eastAsia="微软雅黑"/>
          <w:b w:val="0"/>
          <w:color w:val="000000"/>
          <w:sz w:val="16"/>
        </w:rPr>
        <w:t xml:space="preserve">L14　《中华人民共和国公司法》（2023年修订）｜第21、22、180—182、192条｜股东不得滥用权利；董监高忠实勤勉；关联交易应报告审批，不得损害公司。　</w:t>
      </w:r>
      <w:hyperlink r:id="rId23">
        <w:r>
          <w:rPr>
            <w:color w:val="2F75B5"/>
            <w:u w:val="single"/>
          </w:rPr>
          <w:t>官方链接</w:t>
        </w:r>
      </w:hyperlink>
    </w:p>
    <w:p>
      <w:r>
        <w:rPr>
          <w:rFonts w:ascii="微软雅黑" w:hAnsi="微软雅黑" w:eastAsia="微软雅黑"/>
          <w:b w:val="0"/>
          <w:color w:val="000000"/>
          <w:sz w:val="16"/>
        </w:rPr>
        <w:t xml:space="preserve">L15　“两高”危害税收征管刑事案件司法解释｜法释〔2024〕4号第1、10—13、19、21条｜虚列支出、虚抵进项及无业务、有货不符、虚构主体开票的刑事评价和补税从宽因素。　</w:t>
      </w:r>
      <w:hyperlink r:id="rId24">
        <w:r>
          <w:rPr>
            <w:color w:val="2F75B5"/>
            <w:u w:val="single"/>
          </w:rPr>
          <w:t>官方链接</w:t>
        </w:r>
      </w:hyperlink>
    </w:p>
    <w:p>
      <w:r>
        <w:rPr>
          <w:rFonts w:ascii="微软雅黑" w:hAnsi="微软雅黑" w:eastAsia="微软雅黑"/>
          <w:b w:val="0"/>
          <w:color w:val="000000"/>
          <w:sz w:val="16"/>
        </w:rPr>
        <w:t xml:space="preserve">L16　促销展业赠送礼品个税规定｜财税〔2011〕50号、财政部 税务总局公告2019年第74号｜随销售附赠等不征个税；随机向外部个人赠礼通常按偶然所得扣缴。　</w:t>
      </w:r>
      <w:hyperlink r:id="rId25">
        <w:r>
          <w:rPr>
            <w:color w:val="2F75B5"/>
            <w:u w:val="single"/>
          </w:rPr>
          <w:t>官方链接</w:t>
        </w:r>
      </w:hyperlink>
    </w:p>
    <w:p>
      <w:r>
        <w:rPr>
          <w:rFonts w:ascii="微软雅黑" w:hAnsi="微软雅黑" w:eastAsia="微软雅黑"/>
          <w:b w:val="0"/>
          <w:color w:val="000000"/>
          <w:sz w:val="16"/>
        </w:rPr>
        <w:t xml:space="preserve">L17　私车公用官方答复（上海税务）｜2024-06-27答复｜签订租赁合同并取得租赁发票，业务相关油费、路桥费凭合法凭证可扣除；地区执行需复核。　</w:t>
      </w:r>
      <w:hyperlink r:id="rId26">
        <w:r>
          <w:rPr>
            <w:color w:val="2F75B5"/>
            <w:u w:val="single"/>
          </w:rPr>
          <w:t>官方链接</w:t>
        </w:r>
      </w:hyperlink>
    </w:p>
    <w:p>
      <w:r>
        <w:rPr>
          <w:rFonts w:ascii="微软雅黑" w:hAnsi="微软雅黑" w:eastAsia="微软雅黑"/>
          <w:b w:val="0"/>
          <w:color w:val="000000"/>
          <w:sz w:val="16"/>
        </w:rPr>
        <w:t xml:space="preserve">L18　企业统一工装税前扣除规定｜国家税务总局公告2011年第34号第2条｜按工作性质统一制作并要求工作时统一着装的工装可作为合理支出扣除。　</w:t>
      </w:r>
      <w:hyperlink r:id="rId27">
        <w:r>
          <w:rPr>
            <w:color w:val="2F75B5"/>
            <w:u w:val="single"/>
          </w:rPr>
          <w:t>官方链接</w:t>
        </w:r>
      </w:hyperlink>
    </w:p>
    <w:p>
      <w:r>
        <w:rPr>
          <w:rFonts w:ascii="微软雅黑" w:hAnsi="微软雅黑" w:eastAsia="微软雅黑"/>
          <w:b w:val="0"/>
          <w:color w:val="000000"/>
          <w:sz w:val="16"/>
        </w:rPr>
        <w:t xml:space="preserve">L19　《中华人民共和国税收征收管理法》｜第32、62—65、69条｜逾期税款按日万分之五加收滞纳金；偷税通常追缴税款、滞纳金并处少缴税款50%至5倍罚款；应扣未扣有相应责任。　</w:t>
      </w:r>
      <w:hyperlink r:id="rId28">
        <w:r>
          <w:rPr>
            <w:color w:val="2F75B5"/>
            <w:u w:val="single"/>
          </w:rPr>
          <w:t>官方链接</w:t>
        </w:r>
      </w:hyperlink>
    </w:p>
    <w:p>
      <w:r>
        <w:rPr>
          <w:rFonts w:ascii="微软雅黑" w:hAnsi="微软雅黑" w:eastAsia="微软雅黑"/>
          <w:b w:val="0"/>
          <w:color w:val="000000"/>
          <w:sz w:val="16"/>
        </w:rPr>
        <w:t xml:space="preserve">L20　《中华人民共和国劳动合同法》｜第4、39条｜内部处分及解除须以依法制定并公示的规章制度和事实证据为基础；严重违纪、严重失职营私舞弊造成重大损害等可依法处理。　</w:t>
      </w:r>
      <w:hyperlink r:id="rId29">
        <w:r>
          <w:rPr>
            <w:color w:val="2F75B5"/>
            <w:u w:val="single"/>
          </w:rPr>
          <w:t>官方链接</w:t>
        </w:r>
      </w:hyperlink>
    </w:p>
    <w:p>
      <w:r>
        <w:rPr>
          <w:rFonts w:ascii="微软雅黑" w:hAnsi="微软雅黑" w:eastAsia="微软雅黑"/>
          <w:b w:val="0"/>
          <w:color w:val="000000"/>
          <w:sz w:val="16"/>
        </w:rPr>
        <w:t xml:space="preserve">L21　《中华人民共和国发票管理办法实施细则》｜国家税务总局令第56号，2024年3月1日起施行｜不合规发票不得用于抵扣、退税、税前扣除和财务报销；发生错误、红冲、丢失等按规定处理。　</w:t>
      </w:r>
      <w:hyperlink r:id="rId30">
        <w:r>
          <w:rPr>
            <w:color w:val="2F75B5"/>
            <w:u w:val="single"/>
          </w:rPr>
          <w:t>官方链接</w:t>
        </w:r>
      </w:hyperlink>
    </w:p>
    <w:p>
      <w:pPr>
        <w:pStyle w:val="Heading1"/>
      </w:pPr>
      <w:r>
        <w:t>附录　使用与维护</w:t>
      </w:r>
    </w:p>
    <w:p>
      <w:pPr>
        <w:spacing w:after="100" w:line="300" w:lineRule="auto"/>
      </w:pPr>
      <w:r>
        <w:rPr>
          <w:rFonts w:ascii="微软雅黑" w:hAnsi="微软雅黑" w:eastAsia="微软雅黑"/>
          <w:b w:val="0"/>
          <w:color w:val="000000"/>
          <w:sz w:val="21"/>
        </w:rPr>
        <w:t>建议在实际工作中使用Excel按关键词、风险等级、税种和案例编号检索，再回到本手册阅读完整判断。每季度复核官方法规状态；发生政策变化、地方执行差异或典型案例时，在版本记录中追加，不直接覆盖历史判断。</w:t>
      </w:r>
    </w:p>
    <w:sectPr w:rsidR="00FC693F" w:rsidRPr="0006063C" w:rsidSect="00034616">
      <w:footerReference w:type="default" r:id="rId9"/>
      <w:pgSz w:w="11906" w:h="16838"/>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777777"/>
        <w:sz w:val="16"/>
      </w:rPr>
      <w:t xml:space="preserve">企业发票、报销与异常支出实战手册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微软雅黑" w:hAnsi="微软雅黑" w:eastAsia="微软雅黑"/>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5A5A5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kjs.mof.gov.cn/zt/kjfxcgc/kjfqw/202408/t20240814_3941788.htm" TargetMode="External"/><Relationship Id="rId11" Type="http://schemas.openxmlformats.org/officeDocument/2006/relationships/hyperlink" Target="https://fgk.chinatax.gov.cn/zcfgk/c100009/c5237365/content.html" TargetMode="External"/><Relationship Id="rId12" Type="http://schemas.openxmlformats.org/officeDocument/2006/relationships/hyperlink" Target="https://fgk.chinatax.gov.cn/zcfgk/c100010/c5246349/content.html" TargetMode="External"/><Relationship Id="rId13" Type="http://schemas.openxmlformats.org/officeDocument/2006/relationships/hyperlink" Target="https://wb.flk.npc.gov.cn/flfg/PDF/2a4852c0632c4575af73e37f122a4cb9.pdf" TargetMode="External"/><Relationship Id="rId14" Type="http://schemas.openxmlformats.org/officeDocument/2006/relationships/hyperlink" Target="https://www.chinatax.gov.cn/n810341/n810765/n812176/n812748/c1193046/content.html" TargetMode="External"/><Relationship Id="rId15" Type="http://schemas.openxmlformats.org/officeDocument/2006/relationships/hyperlink" Target="https://fgk.chinatax.gov.cn/zcfgk/c100012/c5194804/content.html" TargetMode="External"/><Relationship Id="rId16" Type="http://schemas.openxmlformats.org/officeDocument/2006/relationships/hyperlink" Target="https://fgk.chinatax.gov.cn/zcfgk/c100010/c5195084/content.html" TargetMode="External"/><Relationship Id="rId17" Type="http://schemas.openxmlformats.org/officeDocument/2006/relationships/hyperlink" Target="https://www.npc.gov.cn/zgrdw/npc/xinwen/2018-09/05/content_2060671.htm" TargetMode="External"/><Relationship Id="rId18" Type="http://schemas.openxmlformats.org/officeDocument/2006/relationships/hyperlink" Target="https://fgk.chinatax.gov.cn/zcfgk/c102416/c5202842/content.html" TargetMode="External"/><Relationship Id="rId19" Type="http://schemas.openxmlformats.org/officeDocument/2006/relationships/hyperlink" Target="https://fgk.chinatax.gov.cn/zcfgk/c100012/c5194006/content.html" TargetMode="External"/><Relationship Id="rId20" Type="http://schemas.openxmlformats.org/officeDocument/2006/relationships/hyperlink" Target="https://kjs.mof.gov.cn/zhengcefabu/201401/t20140129_1040561.htm" TargetMode="External"/><Relationship Id="rId21" Type="http://schemas.openxmlformats.org/officeDocument/2006/relationships/hyperlink" Target="https://kjs.mof.gov.cn/zt/kjzzss/kuaijizhunzeshishi/200806/t20080618_46213.htm" TargetMode="External"/><Relationship Id="rId22" Type="http://schemas.openxmlformats.org/officeDocument/2006/relationships/hyperlink" Target="https://kjs.mof.gov.cn/zt/kjzzss/kuaijizhunzeshishi/200806/t20080618_46242.htm" TargetMode="External"/><Relationship Id="rId23" Type="http://schemas.openxmlformats.org/officeDocument/2006/relationships/hyperlink" Target="https://www.npc.gov.cn/npc/c2/c30834/202312/t20231229_433999.html" TargetMode="External"/><Relationship Id="rId24" Type="http://schemas.openxmlformats.org/officeDocument/2006/relationships/hyperlink" Target="https://www.court.gov.cn/fabu/xiangqing/428482.html" TargetMode="External"/><Relationship Id="rId25" Type="http://schemas.openxmlformats.org/officeDocument/2006/relationships/hyperlink" Target="https://www.chinatax.gov.cn/chinatax/n810356/n3255681/c5139524/content.html" TargetMode="External"/><Relationship Id="rId26" Type="http://schemas.openxmlformats.org/officeDocument/2006/relationships/hyperlink" Target="https://shanghai.chinatax.gov.cn/tax/bsfw/nszx/hdfk/202406/t472384.html" TargetMode="External"/><Relationship Id="rId27" Type="http://schemas.openxmlformats.org/officeDocument/2006/relationships/hyperlink" Target="https://shanghai.chinatax.gov.cn/zcfw/rdwd/201710/t434555.html" TargetMode="External"/><Relationship Id="rId28" Type="http://schemas.openxmlformats.org/officeDocument/2006/relationships/hyperlink" Target="https://www.samr.gov.cn/zw/zfxxgk/fdzdgknr/bgt/art/2023/art_1dbea81872cb4fda9ab3ccc45c627531.html" TargetMode="External"/><Relationship Id="rId29" Type="http://schemas.openxmlformats.org/officeDocument/2006/relationships/hyperlink" Target="https://www.npc.gov.cn/zgrdw/npc/xinwen/lfgz/zxfl/2007-06/29/content_368169.htm" TargetMode="External"/><Relationship Id="rId30" Type="http://schemas.openxmlformats.org/officeDocument/2006/relationships/hyperlink" Target="https://fgk.chinatax.gov.cn/zcfgk/c100011/c5221006/5221006/files/91f4056ddd2e4b67bc77cdb9d231523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