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300"/>
        <w:jc w:val="center"/>
      </w:pPr>
      <w:r>
        <w:t>企业财务报表编制、调整、</w:t>
        <w:br/>
        <w:t>重分类与校验实操手册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444444"/>
          <w:sz w:val="24"/>
        </w:rPr>
        <w:t>从调整前TB到四张财务报表｜硬件科技制造企业贯穿案例</w:t>
      </w:r>
    </w:p>
    <w:p>
      <w:pPr>
        <w:spacing w:before="2500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V1.0｜政策核验日：2026年9月10日</w:t>
      </w:r>
    </w:p>
    <w:p>
      <w:r>
        <w:br w:type="page"/>
      </w:r>
    </w:p>
    <w:p>
      <w:pPr>
        <w:pStyle w:val="Heading1"/>
      </w:pPr>
      <w:r>
        <w:t>使用说明与适用口径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2F75B5"/>
          <w:sz w:val="21"/>
        </w:rPr>
        <w:t>【【核心原理】】</w:t>
      </w:r>
      <w:r>
        <w:rPr>
          <w:rFonts w:ascii="微软雅黑" w:hAnsi="微软雅黑" w:eastAsia="微软雅黑"/>
          <w:b w:val="0"/>
          <w:color w:val="000000"/>
          <w:sz w:val="21"/>
        </w:rPr>
        <w:t>账错了做凭证；账没有错、仅列报位置不对时做报表重分类。负数只是异常信号，必须穿透合同、履约、结算、受益人和辅助核算后再下结论。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案例公司为执行企业会计准则的非上市企业，2026年不提前执行财会〔2026〕11号，采用财会〔2014〕7号、财会〔2019〕6号及其他现行准则。财会〔2026〕11号已发布但对该类企业自2030年起强制执行，手册仅作过渡提示。</w:t>
      </w:r>
    </w:p>
    <w:p>
      <w:pPr>
        <w:pStyle w:val="Heading1"/>
      </w:pPr>
      <w:r>
        <w:t>目录</w:t>
      </w:r>
    </w:p>
    <w:p>
      <w:pPr>
        <w:jc w:val="left"/>
      </w:pPr>
      <w:fldSimple w:instr="TOC \o &quot;1-3&quot; \h \z \u"/>
    </w:p>
    <w:p>
      <w:pPr>
        <w:pStyle w:val="Heading1"/>
      </w:pPr>
      <w:r>
        <w:t>第一篇　从总账到财务报表</w:t>
      </w:r>
    </w:p>
    <w:p>
      <w:pPr>
        <w:pStyle w:val="Heading2"/>
      </w:pPr>
      <w:r>
        <w:t>第1章　完整形成流程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业务发生 → 原始单据 → 会计凭证 → 明细账 → 总账 → 调整前TB → AJ账务调整 → AJ后TB → RJ报表重分类 → 最终报表TB → 资产负债表、利润表、现金流量表、所有者权益变动表 → 四层勾稽 → 主管复核 → 锁账归档。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通常自动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人工判断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主管复核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凭证至TB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ERP过账、分类账汇总、试算平衡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截止、计提、异常科目和接口完整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关账状态及重大调整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可导入凭证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确认计量是否错误、金额和税务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依据、权限、利润影响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RJ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报表系统规则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业务实质、明细方向、流动性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不得机械重分类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四表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资产负债表和利润表可自动取数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现金流分类、权益滚动、特殊列报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勾稽、版本和签发</w:t>
            </w:r>
          </w:p>
        </w:tc>
      </w:tr>
    </w:tbl>
    <w:p>
      <w:pPr>
        <w:spacing w:after="20"/>
      </w:pPr>
    </w:p>
    <w:p>
      <w:pPr>
        <w:pStyle w:val="Heading2"/>
      </w:pPr>
      <w:r>
        <w:t>第2章　TB为什么不等于报表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一个项目可以汇总多个科目，一个科目也可能按明细、期限或用途拆入多个项目。备抵科目需净额列示，长期项目需划分一年内到期部分，资产负债抵销还必须满足准则条件。总账正确只说明确认计量层可能正确，并不自动证明报表列报正确。</w:t>
      </w:r>
    </w:p>
    <w:p>
      <w:pPr>
        <w:pStyle w:val="Heading2"/>
      </w:pPr>
      <w:r>
        <w:t>第3章　四种调整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凭证</w:t>
            </w:r>
          </w:p>
        </w:tc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总账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利润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次年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AJ账务调整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必须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改变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可能影响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已过账自然承接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RJ报表重分类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通常不做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通常不影响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每期按事实重做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审计调整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取决于实质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取决于企业是否过账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必须建立衔接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抵销/净额列报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通常不做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一般不影响确认金额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持续验证条件</w:t>
            </w:r>
          </w:p>
        </w:tc>
      </w:tr>
    </w:tbl>
    <w:p>
      <w:pPr>
        <w:spacing w:after="20"/>
      </w:pPr>
    </w:p>
    <w:p>
      <w:pPr>
        <w:pStyle w:val="Heading1"/>
      </w:pPr>
      <w:r>
        <w:t>第二篇　科目—报表项目映射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以下逐科目卡片说明正常方向、基础映射、备抵、重分类风险和月结检查。基础映射不是机械结论；出现异常方向或特殊合同条款时必须回到明细。</w:t>
      </w:r>
    </w:p>
    <w:p>
      <w:pPr>
        <w:pStyle w:val="Heading2"/>
        <w:pageBreakBefore/>
      </w:pPr>
      <w:r>
        <w:t>M-001　1001 库存现金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货币资金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M-002　1002 银行存款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1400万元（借方为正、贷方为负）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货币资金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M-003　1012 其他货币资金—票据保证金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货币资金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M-004　1121 应收票据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应收票据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M-005　1122D 应收账款—借方客户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应收账款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M-006　1122C 应收账款—贷方客户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应收账款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M-007　1231 坏账准备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-35万元（借方为正、贷方为负）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应收账款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M-008　1136 合同资产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M-009　1137 合同资产减值准备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-4万元（借方为正、贷方为负）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M-010　1221 其他应收款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其他应收款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M-011　1123 预付账款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180万元（借方为正、贷方为负）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预付款项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M-012　2202D 应付账款—借方供应商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应付账款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M-013　1400 存货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2100万元（借方为正、贷方为负）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存货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M-014　1471 存货跌价准备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存货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M-015　1901 其他流动资产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其他流动资产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M-016　1531 长期应收款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240万元（借方为正、贷方为负）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长期应收款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M-017　1601 固定资产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3200万元（借方为正、贷方为负）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固定资产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M-018　1602 累计折旧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-890万元（借方为正、贷方为负）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固定资产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M-019　1603 固定资产减值准备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固定资产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M-020　1604 在建工程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在建工程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M-021　1701 使用权资产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使用权资产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M-022　1702 使用权资产累计折旧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使用权资产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M-023　1801 无形资产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无形资产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M-024　1802 累计摊销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无形资产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净额映射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M-025　1803 长期待摊费用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长期待摊费用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M-026　1811 递延所得税资产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递延所得税资产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M-027　2001 短期借款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-600万元（借方为正、贷方为负）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短期借款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M-028　2202C 应付账款—贷方供应商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-1050万元（借方为正、贷方为负）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应付账款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M-029　2203 合同负债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-480万元（借方为正、贷方为负）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M-030　2211 应付职工薪酬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-180万元（借方为正、贷方为负）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应付职工薪酬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M-031　2221 应交税费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应交税费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M-032　2241C 其他应付款—贷方明细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-350万元（借方为正、贷方为负）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其他应付款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M-033　2241D 其他应付款—借方明细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其他应付款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条件映射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M-034　2501 长期借款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-1000万元（借方为正、贷方为负）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长期借款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M-035　2502 租赁负债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-360万元（借方为正、贷方为负）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M-036　2801 预计负债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-140万元（借方为正、贷方为负）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预计负债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M-037　2401 递延收益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-200万元（借方为正、贷方为负）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M-038　2901 递延所得税负债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递延所得税负债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M-039　4001 实收资本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-3000万元（借方为正、贷方为负）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实收资本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M-040　4002 资本公积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-400万元（借方为正、贷方为负）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资本公积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M-041　4003 其他综合收益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其他综合收益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M-042　4101 盈余公积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盈余公积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M-043　4104 年初未分配利润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-650万元（借方为正、贷方为负）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未分配利润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M-044　6001 主营业务收入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-2600万元（借方为正、贷方为负）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营业收入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M-045　6051 其他业务收入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-80万元（借方为正、贷方为负）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营业收入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M-046　6401 主营业务成本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1650万元（借方为正、贷方为负）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营业成本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M-047　6402 其他业务成本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营业成本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M-048　6403 税金及附加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税金及附加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M-049　6601 销售费用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210万元（借方为正、贷方为负）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销售费用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M-050　6602 管理费用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M-051　6603 研发费用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230万元（借方为正、贷方为负）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研发费用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M-052　6604 财务费用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M-053　6117 其他收益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-30万元（借方为正、贷方为负）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M-054　6111 投资收益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-10万元（借方为正、贷方为负）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投资收益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M-055　6701 信用减值损失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信用减值损失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M-056　6702 资产减值损失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资产减值损失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M-057　6115 资产处置收益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资产处置收益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M-058　6301 营业外收入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-8万元（借方为正、贷方为负）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营业外收入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M-059　6711 营业外支出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12万元（借方为正、贷方为负）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营业外支出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M-060　6801 所得税费用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95万元（借方为正、贷方为负）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所得税费用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M-061　5101 制造费用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正常余额方向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调整前余额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30万元（借方为正、贷方为负）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基础报表项目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营业成本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映射类型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直接/汇总映射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是否可能重分类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异常方向、期限或业务实质变化时可能；不得仅凭正负号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常见错误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只按科目净额取数、遗漏辅助明细、新增科目未映射、备抵重复或漏抵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月结检查点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核对明细合计、方向、账龄/期限、对手方、模块和支持资料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财务主管复核点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确认AJ已过账、RJ有事实依据、最终项目与附注明细一致</w:t>
            </w:r>
          </w:p>
        </w:tc>
      </w:tr>
    </w:tbl>
    <w:p>
      <w:pPr>
        <w:spacing w:after="20"/>
      </w:pPr>
    </w:p>
    <w:p>
      <w:pPr>
        <w:pStyle w:val="Heading1"/>
      </w:pPr>
      <w:r>
        <w:t>第三篇　资产负债表与异常方向</w:t>
      </w:r>
    </w:p>
    <w:p>
      <w:pPr>
        <w:pStyle w:val="Heading2"/>
      </w:pPr>
      <w:r>
        <w:t>第4章　资产负债表取数逻辑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资产项目原则上按可收回金额或账面价值列示，负债按现实义务及清偿期限列示，权益包含当期损益滚动。最终取数层是“AJ后TB+RJ”，不是未经调整的科目余额表。</w:t>
      </w:r>
    </w:p>
    <w:p>
      <w:pPr>
        <w:pStyle w:val="Heading2"/>
      </w:pPr>
      <w:r>
        <w:t>第5章　负数余额与往来穿透</w:t>
      </w:r>
    </w:p>
    <w:p>
      <w:pPr>
        <w:pStyle w:val="Heading2"/>
        <w:pageBreakBefore/>
      </w:pPr>
      <w:r>
        <w:t>N-01　应收账款贷方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客户预付款、退款义务、重复收款、错客户或合同负债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先查合同履约、收款和核销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AJ或RJ均可能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N-02　应付账款借方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真实预付、退货待退款、重复付款、错供应商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查PO、收货、发票和付款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AJ或RJ均可能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N-03　预付账款贷方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超收退款、发票入账错科目或实质应付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查履约和结算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多见AJ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N-04　合同负债借方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退款、冲销过度、履约结转错误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查合同余额桥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多见AJ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N-05　其他应收款贷方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代收款、押金退回、错人或其他负债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查资金和权利义务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AJ或RJ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N-06　其他应付款借方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员工欠款、供应商退款、重复付款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查实际债权人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AJ或RJ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N-07　应付职工薪酬借方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工资预发、重复支付、计提不足或错账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工资五方核对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多见AJ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N-08　应交税费借方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留抵、预缴、多缴或错报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按税种核对申报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AJ或RJ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N-09　固定资产清理异常方向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处置未完成、清理净损益未结转或错账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查处置进度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多见AJ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N-10　财务费用贷方发生额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利息收入、汇兑收益、费用冲回或错账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看发生额性质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不机械RJ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N-11　收入借方发生额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退货折让、红冲、错期或冲回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查收入生命周期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N-12　成本贷方发生额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BF7200"/>
          <w:sz w:val="21"/>
        </w:rPr>
        <w:t>【【异常余额】】</w:t>
      </w:r>
      <w:r>
        <w:rPr>
          <w:rFonts w:ascii="微软雅黑" w:hAnsi="微软雅黑" w:eastAsia="微软雅黑"/>
          <w:b w:val="0"/>
          <w:color w:val="000000"/>
          <w:sz w:val="21"/>
        </w:rPr>
        <w:t>负数不等于错误，也不等于必然重分类。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可能实质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退货回库、暂估冲回、成本更正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第一步资料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查存货及销售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可能AJ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处理顺序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先核明细及合同履约，再判断错账、正常余额或列报位置；错账做AJ，账正确才讨论RJ。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损益/税务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由形成原因决定；单纯RJ通常不影响损益和税务，错账更正可能影响。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复核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保留客户/供应商、合同、订单、验收、发票、收付款与核销证据。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第6章　流动与非流动划分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总额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12个月内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最终列示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长期借款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1,003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300列一年内到期，703列长期借款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租赁负债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363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90列一年内到期，273列租赁负债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长期应收款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240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60列一年内到期非流动资产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预计负债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140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结合长期质量保证预计清偿期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递延收益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40按事实列其他流动负债</w:t>
            </w:r>
          </w:p>
        </w:tc>
      </w:tr>
    </w:tbl>
    <w:p>
      <w:pPr>
        <w:spacing w:after="20"/>
      </w:pPr>
    </w:p>
    <w:p>
      <w:pPr>
        <w:pStyle w:val="Heading2"/>
      </w:pPr>
      <w:r>
        <w:t>第7章　减值与备抵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应收账款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借方应收860－坏账准备50＝810；应收贷方100另经实质判断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合同资产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80－减值准备4＝76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存货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调整后余额2,118－跌价准备85＝2,033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固定资产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原值3,460－累计折旧895－减值20＝2,545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使用权资产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500－累计折旧100＝400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无形资产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420－累计摊销120＝300</w:t>
            </w:r>
          </w:p>
        </w:tc>
      </w:tr>
    </w:tbl>
    <w:p>
      <w:pPr>
        <w:spacing w:after="20"/>
      </w:pPr>
    </w:p>
    <w:p>
      <w:pPr>
        <w:pStyle w:val="Heading1"/>
      </w:pPr>
      <w:r>
        <w:t>第四篇　利润表与所有者权益</w:t>
      </w:r>
    </w:p>
    <w:p>
      <w:pPr>
        <w:pStyle w:val="Heading2"/>
      </w:pPr>
      <w:r>
        <w:t>第8章　利润表形成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调整后营业收入2,680万元。损益类科目按发生额映射，收入借方、成本贷方、财务费用贷方发生额均先查业务原因。案例净利润为119万元，不做利润率或经营分析。</w:t>
      </w:r>
    </w:p>
    <w:p>
      <w:pPr>
        <w:pStyle w:val="Heading2"/>
      </w:pPr>
      <w:r>
        <w:t>第9章　所有者权益与未分配利润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期初权益4,190万元，本期净利润119万元，无投入、分配和其他变动，期末权益4,279万元。未分配利润由650万元增至739万元。净利润与未分配利润变动只有在无前期差错、盈余公积提取、股利分配及其他转入转出时才简单相等。</w:t>
      </w:r>
    </w:p>
    <w:p>
      <w:pPr>
        <w:pStyle w:val="Heading1"/>
      </w:pPr>
      <w:r>
        <w:t>第五篇　现金流量表实操</w:t>
      </w:r>
    </w:p>
    <w:p>
      <w:pPr>
        <w:pStyle w:val="Heading2"/>
      </w:pPr>
      <w:r>
        <w:t>第10章　逐笔资金流水分类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2F75B5"/>
          <w:sz w:val="21"/>
        </w:rPr>
        <w:t>【【核心原理】】</w:t>
      </w:r>
      <w:r>
        <w:rPr>
          <w:rFonts w:ascii="微软雅黑" w:hAnsi="微软雅黑" w:eastAsia="微软雅黑"/>
          <w:b w:val="0"/>
          <w:color w:val="000000"/>
          <w:sz w:val="21"/>
        </w:rPr>
        <w:t>现金流量表从银行流水、库存现金和现金等价物明细出发，结合业务实质逐笔分类，不允许把无法解释的差额倒挤进“其他经营活动”。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流水</w:t>
            </w:r>
          </w:p>
        </w:tc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金额</w:t>
            </w:r>
          </w:p>
        </w:tc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现金流项目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客户支付设备货款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2380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销售商品、提供劳务收到的现金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收到政府经营补助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收到其他与经营活动有关的现金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支付材料和外协款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1250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购买商品、接受劳务支付的现金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支付工资社保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180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支付给职工以及为职工支付的现金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缴纳增值税所得税等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130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支付的各项税费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CF-006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支付差旅办公及票据保证金等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250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经营活动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支付其他与经营活动有关的现金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CF-007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处置旧设备收款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投资活动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处置固定资产、无形资产和其他长期资产收回的现金净额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购置生产设备付款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投资活动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购建固定资产、无形资产和其他长期资产支付的现金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CF-009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取得银行借款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流入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筹资活动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取得借款收到的现金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CF-010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偿还银行借款本金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150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筹资活动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偿还债务支付的现金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CF-011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支付借款利息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筹资活动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分配股利、利润或偿付利息支付的现金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CF-012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支付租赁负债本金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流出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筹资活动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支付其他与筹资活动有关的现金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经营活动净流量590万元，投资活动净流量－175万元，筹资活动净流量90万元，净增加505万元。期初现金及现金等价物900万元，期末1,405万元。资产负债表货币资金1,525万元，扣除受限保证金120万元后与现金流量表勾稽。</w:t>
      </w:r>
    </w:p>
    <w:p>
      <w:pPr>
        <w:pStyle w:val="Heading2"/>
      </w:pPr>
      <w:r>
        <w:t>第11章　30个现金流易错场景</w:t>
      </w:r>
    </w:p>
    <w:p>
      <w:pPr>
        <w:pStyle w:val="Heading2"/>
        <w:pageBreakBefore/>
      </w:pPr>
      <w:r>
        <w:t>CF-01　客户预付款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CF-02　供应商预付款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CF-03　增值税缴纳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CF-04　所得税缴纳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CF-05　政府经营补助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CF-06　留抵退税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CF-07　履约保证金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CF-08　票据保证金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CF-09　受限定期存款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CF-10　设备预付款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CF-11　在建工程人员工资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CF-12　研发设备付款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CF-13　处置固定资产收款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CF-14　处置资产相关税费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CF-15　借款利息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CF-16　资本化利息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CF-17　租赁本金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CF-18　租赁利息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CF-19　股东借款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CF-20　关联方经营往来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CF-21　关联方资金拆借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CF-22　内部银行账户互转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CF-23　银行承兑汇票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CF-24　应收票据贴现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CF-25　保理融资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CF-26　非现金取得设备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CF-27　债转股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CF-28　外币现金汇率变动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CF-29　代收代付款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CF-30　员工备用金及退款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实务处理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为什么容易错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仅看对方科目或票据名称，未穿透现金是否变化及交易目的。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分类步骤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确认现金及现金等价物范围→核对收付主体→识别业务目的→区分本金利息及代收代付→选择经营/投资/筹资项目。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不得采用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不得用资产负债表变动额直接代替现金流，不得把未解释差异统一倒入其他经营活动。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银行流水、合同、发票、验收、借款/租赁付款表及业务说明。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逐笔清单合计等于现金净变动，并与货币资金—受限资金桥一致。</w:t>
            </w:r>
          </w:p>
        </w:tc>
      </w:tr>
    </w:tbl>
    <w:p>
      <w:pPr>
        <w:spacing w:after="20"/>
      </w:pPr>
    </w:p>
    <w:p>
      <w:pPr>
        <w:pStyle w:val="Heading1"/>
      </w:pPr>
      <w:r>
        <w:t>第六篇　AJ、RJ与月结调整</w:t>
      </w:r>
    </w:p>
    <w:p>
      <w:pPr>
        <w:pStyle w:val="Heading2"/>
      </w:pPr>
      <w:r>
        <w:t>第12章　贯穿案例AJ账务调整</w:t>
      </w:r>
    </w:p>
    <w:p>
      <w:pPr>
        <w:pStyle w:val="Heading2"/>
        <w:pageBreakBefore/>
      </w:pPr>
      <w:r>
        <w:t>AJ-001　已投产自动线由在建工程转固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1601　260万元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1604　260万元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不影响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投产验收单、达到预定可使用状态判断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AJ-002　补提自动线8月折旧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6401　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1602　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减少5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税会折旧台账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资产卡片、投产日、折旧测算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AJ-003　计提已接受的年度审计服务费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6602　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2202C　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减少20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未取得合规凭证时跟踪所得税扣除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合同、服务进度、计提测算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AJ-004　客户已付款但错挂其他应付款，核销应收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2241C　100万元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1122D　100万元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不影响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银行回单、客户明细、核销记录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AJ-005　发票已入账但采购暂估未冲，冲重复成本负债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2202C　120万元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6401　120万元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增加120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同步检查存货成本及所得税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PO、入库、发票、暂估台账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AJ-006　补提应收账款坏账准备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6701　15万元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1231　15万元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减少15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准备金通常形成税会差异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账龄、信用风险模型、审批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AJ-007　补提存货跌价准备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6702　25万元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1471　25万元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减少25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准备金通常形成税会差异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库龄、可变现净值测算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AJ-008　结清制造费用：18计入存货、12计入当期成本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1400　18万元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5101　30万元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减少12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随存货结转确认扣除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工单、分配表、完工入库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AJ-008B　结清制造费用补足借方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6401　12万元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 xml:space="preserve">　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已含AJ-008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随存货结转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与AJ-008同一复合凭证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AJ-009　补提租赁负债利息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6604　3万元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2502　3万元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减少3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按税法口径另建差异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租赁合同、实际利率表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AJ-010　调整当期所得税费用及应交所得税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为什么调整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原账存在确认、计量、截止或结转错误，必须进入总账。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6801　7万元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贷方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2221　7万元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减少7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税务影响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所得税申报底稿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利润及纳税调整测算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报表影响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由调整后科目余额映射，禁止只改报表而不改账。</w:t>
            </w:r>
          </w:p>
        </w:tc>
      </w:tr>
    </w:tbl>
    <w:p>
      <w:pPr>
        <w:spacing w:after="20"/>
      </w:pPr>
    </w:p>
    <w:p>
      <w:pPr>
        <w:pStyle w:val="Heading2"/>
      </w:pPr>
      <w:r>
        <w:t>第13章　贯穿案例RJ报表重分类</w:t>
      </w:r>
    </w:p>
    <w:p>
      <w:pPr>
        <w:pStyle w:val="Heading2"/>
        <w:pageBreakBefore/>
      </w:pPr>
      <w:r>
        <w:t>RJ-001　应收贷方经穿透为尚未履约的客户预付款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不是所有应收贷方都转合同负债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应收账款 100万元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合同负债 100万元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合同、履约、收款明细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RJ-002　应付借方经穿透为设备采购预付款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若为重复付款或待退货款应另行判断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预付款项 50万元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应付账款 50万元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PO、付款、未收货记录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RJ-003　长期借款未来12个月偿还部分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仅列报重分类，不改变债务总额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一年内到期的非流动负债 300万元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长期借款 -300万元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还款计划、借款合同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RJ-004　租赁负债未来12个月偿还本金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利息不作为负债本金重分类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一年内到期的非流动负债 90万元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租赁负债 -90万元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租赁付款表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RJ-005　长期应收款未来12个月收回部分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按预计收回及权利条件判断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一年内到期的非流动资产 60万元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长期应收款 -60万元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合同、回款计划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RJ-006　长期质量保证预计一年内清偿部分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无法合理预计时按相关准则判断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一年内到期的非流动负债 45万元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预计负债 -45万元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历史维修、预计现金流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RJ-007　递延收益预计一年内转入损益部分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不等于当期已经确认收益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其他流动负债 40万元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递延收益 -40万元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补助文件、摊销表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RJ-008　其他应付款借方经核实为可收回员工款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事实结论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若为错账应做AJ而不是RJ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增加/列入项目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其他应收款 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减少/对应项目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其他应付款 20万元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是否做凭证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否；总账本身未错，仅改变报表列报。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支持资料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员工确认、催收记录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下期处理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重新根据报告日事实判断，不把上期RJ当成永久凭证。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第14章　调整前TB到四张报表</w:t>
      </w:r>
    </w:p>
    <w:p>
      <w:pPr>
        <w:spacing w:before="80" w:after="100"/>
      </w:pPr>
      <w:r>
        <w:rPr>
          <w:rFonts w:ascii="微软雅黑" w:hAnsi="微软雅黑" w:eastAsia="微软雅黑"/>
          <w:b/>
          <w:color w:val="548235"/>
          <w:sz w:val="21"/>
        </w:rPr>
        <w:t>【【完整练习】】</w:t>
      </w:r>
      <w:r>
        <w:rPr>
          <w:rFonts w:ascii="微软雅黑" w:hAnsi="微软雅黑" w:eastAsia="微软雅黑"/>
          <w:b w:val="0"/>
          <w:color w:val="000000"/>
          <w:sz w:val="21"/>
        </w:rPr>
        <w:t>调整前TB借贷各12,787万元→11条AJ→AJ后TB→8条RJ→最终报表TB→四张报表。每个数字可沿编号反向追溯。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资产负债表最终资产与负债权益均为8,552万元；利润表净利润89万元；现金流量表期末现金及现金等价物1,405万元；所有者权益变动表期末权益4,279万元。具体逐行金额和公式见配套Excel。</w:t>
      </w:r>
    </w:p>
    <w:p>
      <w:pPr>
        <w:pStyle w:val="Heading1"/>
      </w:pPr>
      <w:r>
        <w:t>第七篇　差错、审计调整与校验</w:t>
      </w:r>
    </w:p>
    <w:p>
      <w:pPr>
        <w:pStyle w:val="Heading2"/>
      </w:pPr>
      <w:r>
        <w:t>第15章　当期差错、前期差错与估计变更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当期发现当期错账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在锁账前直接做当期AJ；锁账后按授权开账或下期更正并评估报表影响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重要前期差错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原则上追溯重述比较数据，并调整最早期间期初权益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会计估计变更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基于新信息，采用未来适用法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会计政策变更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按准则要求追溯调整或按特定过渡规定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审计调整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企业接受后按实质决定AJ或RJ；不能每年只在审计报表层悬挂</w:t>
            </w:r>
          </w:p>
        </w:tc>
      </w:tr>
    </w:tbl>
    <w:p>
      <w:pPr>
        <w:spacing w:after="20"/>
      </w:pPr>
    </w:p>
    <w:p>
      <w:pPr>
        <w:pStyle w:val="Heading2"/>
      </w:pPr>
      <w:r>
        <w:t>第16章　50个报表错误案例</w:t>
      </w:r>
    </w:p>
    <w:p>
      <w:pPr>
        <w:pStyle w:val="Heading2"/>
        <w:pageBreakBefore/>
      </w:pPr>
      <w:r>
        <w:t>ERR-001　资产负债表借贷不平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资产负债表借贷不平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ERR-002　原始TB借贷不平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原始TB借贷不平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ERR-003　应收贷方机械转合同负债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应收贷方机械转合同负债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ERR-004　应付借方机械转预付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应付借方机械转预付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ERR-005　其他往来负数未穿透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其他往来负数未穿透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ERR-006　坏账准备未抵减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坏账准备未抵减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ERR-007　存货跌价准备漏抵减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存货跌价准备漏抵减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ERR-008　累计折旧未抵减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累计折旧未抵减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ERR-009　减值准备重复抵减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减值准备重复抵减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ERR-010　长期借款未划分一年内到期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长期借款未划分一年内到期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ERR-011　租赁负债流动部分遗漏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租赁负债流动部分遗漏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ERR-012　长期应收款流动部分遗漏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长期应收款流动部分遗漏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ERR-013　合同资产与应收账款混淆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合同资产与应收账款混淆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ERR-014　合同负债与预收款机械等同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合同负债与预收款机械等同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ERR-015　固定资产与在建工程混淆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固定资产与在建工程混淆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ERR-016　已使用资产未转固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已使用资产未转固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ERR-017　制造费用期末未清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制造费用期末未清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ERR-018　生产成本异常转损益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生产成本异常转损益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ERR-019　收入已确认成本未结转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收入已确认成本未结转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ERR-020　退货红字列报错误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退货红字列报错误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ERR-021　财务费用贷方机械列负数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财务费用贷方机械列负数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ERR-022　收入借方发生额未查原因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收入借方发生额未查原因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ERR-023　成本贷方发生额未查原因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成本贷方发生额未查原因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ERR-024　所得税费用倒挤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所得税费用倒挤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ERR-025　递延所得税方向错误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递延所得税方向错误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ERR-026　未分配利润滚动错误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未分配利润滚动错误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ERR-027　净利润未进入权益变动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净利润未进入权益变动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ERR-028　盈余公积提取重复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盈余公积提取重复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ERR-029　利润分配未减少未分配利润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利润分配未减少未分配利润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ERR-030　现金流量表用差额倒挤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现金流量表用差额倒挤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ERR-031　货币资金直接等于现金等价物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货币资金直接等于现金等价物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ERR-032　受限资金未剔除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受限资金未剔除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ERR-033　内部银行互转计入现金流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内部银行互转计入现金流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ERR-034　借款本金列经营现金流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借款本金列经营现金流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ERR-035　购建资产列购买商品现金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购建资产列购买商品现金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ERR-036　租赁本金和利息未分拆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租赁本金和利息未分拆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ERR-037　保证金未按业务实质分类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保证金未按业务实质分类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ERR-038　代收代付款列收入现金流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代收代付款列收入现金流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ERR-039　非现金交易计入现金流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非现金交易计入现金流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ERR-040　期初现金不等于上年期末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期初现金不等于上年期末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ERR-041　现金流净增加额计算错误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现金流净增加额计算错误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ERR-042　现金流与银行流水范围不一致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现金流与银行流水范围不一致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ERR-043　新增科目未建立映射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新增科目未建立映射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ERR-044　辅助核算方向未参与重分类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辅助核算方向未参与重分类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ERR-045　手工AJ未过账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手工AJ未过账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ERR-046　RJ误做总账凭证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RJ误做总账凭证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ERR-047　同一事项AJ和RJ重复调整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同一事项AJ和RJ重复调整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ERR-048　审计调整次年未衔接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审计调整次年未衔接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ERR-049　附注明细与主表不一致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附注明细与主表不一致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ERR-050　比较数据未按前期差错重述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现象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比较数据未按前期差错重述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可能原因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科目映射、截止、方向、辅助核算、公式版本、手工调整或业务判断错误。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定位路径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报表项目→最终报表TB→RJ→AJ后TB→AJ凭证→原始TB→明细账/模块→业务资料。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AJ/RJ判断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账错或确认计量错做AJ；账正确仅列报位置错做RJ；事实未清先列异常，不倒挤。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正确处理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修正源头并保留调整编号、支持资料、制表复核和期初衔接。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重新执行表内、表间、表账及账模块四层勾稽。</w:t>
            </w:r>
          </w:p>
        </w:tc>
      </w:tr>
    </w:tbl>
    <w:p>
      <w:pPr>
        <w:spacing w:after="20"/>
      </w:pPr>
    </w:p>
    <w:p>
      <w:pPr>
        <w:pStyle w:val="Heading2"/>
      </w:pPr>
      <w:r>
        <w:t>第17章　四层勾稽与SOP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37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报表内部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资产=负债+权益；利润层级；现金流加总；权益纵横向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报表之间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净利润与权益、现金桥、未分配利润、所得税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报表与总账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资产负债表与最终TB、利润表与发生额、现金流与流水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总账与模块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AR、AP、Inventory、FA、Tax、Bank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出具SOP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模块关账→计提结转→核对→异常方向→TB→AJ→RJ→四表→勾稽→复核→锁账</w:t>
            </w:r>
          </w:p>
        </w:tc>
      </w:tr>
    </w:tbl>
    <w:p>
      <w:pPr>
        <w:spacing w:after="20"/>
      </w:pPr>
    </w:p>
    <w:p>
      <w:pPr>
        <w:pStyle w:val="Heading1"/>
      </w:pPr>
      <w:r>
        <w:t>第八篇　法规、ERP与版本管理</w:t>
      </w:r>
    </w:p>
    <w:p>
      <w:pPr>
        <w:pStyle w:val="Heading2"/>
      </w:pPr>
      <w:r>
        <w:t>第18章　ERP报表逻辑</w:t>
      </w:r>
    </w:p>
    <w:p>
      <w:pPr>
        <w:spacing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业务模块生成会计凭证，过账至GL并汇总为TB；报表引擎依据科目、公司代码、辅助核算和报表项目映射取数。自动报表仍可能因新增科目、错误映射、接口截止、辅助维度缺失、RJ未加载或公式版本错误而错。现金流量表还需现金流辅助项目、对方科目规则和人工例外判断。</w:t>
      </w:r>
    </w:p>
    <w:p>
      <w:pPr>
        <w:pStyle w:val="Heading2"/>
      </w:pPr>
      <w:r>
        <w:t>第19章　主要官方依据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62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财会〔2014〕7号 企业会计准则第30号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案例公司2026年的列报基础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财会〔2019〕6号 一般企业财务报表格式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四张主表项目及格式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企业会计准则第31号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现金及现金等价物、现金流分类与披露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企业会计准则第28号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4F7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政策、估计、前期差错和追溯处理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财会〔2026〕11号 修订列报准则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已发布、分阶段未来生效；案例公司未提前执行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77777"/>
        <w:sz w:val="16"/>
      </w:rPr>
      <w:t xml:space="preserve">财务报表编制、调整、重分类与校验实操手册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