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Microsoft YaHei" w:hAnsi="Microsoft YaHei" w:eastAsia="微软雅黑"/>
          <w:b/>
          <w:color w:val="000000"/>
          <w:sz w:val="56"/>
        </w:rPr>
        <w:t>企业财务分析与经营分析实战手册</w:t>
      </w:r>
    </w:p>
    <w:p>
      <w:pPr>
        <w:jc w:val="center"/>
      </w:pPr>
      <w:r>
        <w:rPr>
          <w:rFonts w:ascii="Microsoft YaHei" w:hAnsi="Microsoft YaHei" w:eastAsia="微软雅黑"/>
          <w:sz w:val="30"/>
        </w:rPr>
        <w:t>从财务报表结果到业务驱动和管理行动</w:t>
      </w:r>
    </w:p>
    <w:p/>
    <w:p>
      <w:pPr>
        <w:jc w:val="center"/>
      </w:pPr>
      <w:r>
        <w:rPr>
          <w:i/>
        </w:rPr>
        <w:t>案例公司  深圳拓维三维科技有限公司  模拟</w:t>
      </w:r>
    </w:p>
    <w:p>
      <w:pPr>
        <w:jc w:val="center"/>
      </w:pPr>
      <w:r>
        <w:t>版本日期  2026年9月10日</w:t>
      </w:r>
    </w:p>
    <w:p>
      <w:r>
        <w:br w:type="page"/>
      </w:r>
    </w:p>
    <w:p>
      <w:pPr>
        <w:pStyle w:val="Heading1"/>
        <w:keepNext/>
      </w:pPr>
      <w:r>
        <w:t>使用说明</w:t>
      </w:r>
    </w:p>
    <w:p>
      <w:pPr>
        <w:spacing w:after="100" w:line="300" w:lineRule="auto"/>
      </w:pPr>
      <w:r>
        <w:t>本手册面向具备审计和报表基础、准备进入企业总账、财务主管、FP&amp;A或财务BP岗位的学习者。重点不是重复计算财务比率，而是把财务结果拆到产品、客户、渠道、订单、产量、价格、材料、良率、产能和回款。</w:t>
      </w:r>
    </w:p>
    <w:p>
      <w:pPr>
        <w:spacing w:after="100" w:line="300" w:lineRule="auto"/>
      </w:pPr>
      <w:r>
        <w:t>任何分析结论都应经过三次校验：数字能否勾稽，业务信息能否证明原因，建议能否转化为责任人、期限和目标值。数据不足时，应明确列出待验证事项，不把推测写成事实。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标识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使用要求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事实数据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来自财务系统或经营系统的原始结果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注明期间、单位和口径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计算结果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由公式得到的差异、比率或Bridge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必须设置勾稽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业务信息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业务部门确认的事件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记录来源和确认人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分析判断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基于事实形成的专业判断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说明证据和限制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待验证推测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可能原因但证据不足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列明需要的数据和责任部门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管理建议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可以执行的改进措施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设置责任人、期限和目标值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目录</w:t>
      </w:r>
    </w:p>
    <w:p>
      <w:r/>
      <w:fldSimple w:instr="TOC \o &quot;1-3&quot; \h \z \u"/>
    </w:p>
    <w:p>
      <w:pPr>
        <w:spacing w:after="100" w:line="300" w:lineRule="auto"/>
      </w:pPr>
      <w:r>
        <w:t>在Word或WPS中打开后，如目录未显示页码，请右键目录并选择更新域。</w:t>
      </w:r>
    </w:p>
    <w:p>
      <w:r>
        <w:br w:type="page"/>
      </w:r>
    </w:p>
    <w:p>
      <w:pPr>
        <w:pStyle w:val="Heading1"/>
        <w:keepNext/>
      </w:pPr>
      <w:r>
        <w:t>第1章 财务分析在企业里的真实作用</w:t>
      </w:r>
    </w:p>
    <w:p>
      <w:pPr>
        <w:spacing w:after="100" w:line="300" w:lineRule="auto"/>
      </w:pPr>
      <w:r>
        <w:t>财务分析的价值在于改变未来经营，而不是复述已经发生的数字。财务需要把利润表、资产负债表和现金流量表连成同一条经营因果链。</w:t>
      </w:r>
    </w:p>
    <w:p>
      <w:pPr>
        <w:pStyle w:val="Heading2"/>
        <w:keepNext/>
      </w:pPr>
      <w:r>
        <w:t>四类工作的边界</w:t>
      </w:r>
    </w:p>
    <w:p>
      <w:pPr>
        <w:spacing w:after="100" w:line="300" w:lineRule="auto"/>
      </w:pPr>
      <w:r>
        <w:t>核算回答业务如何进入账簿；报表分析回答结果发生了什么；经营分析回答业务为何形成这些结果；财务BP推动业务采取行动。</w:t>
      </w:r>
    </w:p>
    <w:p>
      <w:pPr>
        <w:spacing w:after="100" w:line="300" w:lineRule="auto"/>
      </w:pPr>
      <w:r>
        <w:t>总账会计应保证基础数据完整并识别异常。财务主管要把异常分解到责任中心，并组织业务验证。</w:t>
      </w:r>
    </w:p>
    <w:p>
      <w:pPr>
        <w:pStyle w:val="Heading2"/>
        <w:keepNext/>
      </w:pPr>
      <w:r>
        <w:t>管理层真正关心的问题</w:t>
      </w:r>
    </w:p>
    <w:p>
      <w:pPr>
        <w:spacing w:after="100" w:line="300" w:lineRule="auto"/>
      </w:pPr>
      <w:r>
        <w:t>目标是否完成，未完成发生在哪里；利润是否能转化为现金；增长是否可持续；哪些风险会影响未来；公司现在可以采取什么行动。</w:t>
      </w:r>
    </w:p>
    <w:p>
      <w:pPr>
        <w:pStyle w:val="Heading2"/>
        <w:keepNext/>
      </w:pPr>
      <w:r>
        <w:t>分析交付标准</w:t>
      </w:r>
    </w:p>
    <w:p>
      <w:pPr>
        <w:spacing w:after="100" w:line="300" w:lineRule="auto"/>
      </w:pPr>
      <w:r>
        <w:t>结论必须对应数字；原因必须对应业务证据；建议必须对应责任人；下月必须复盘上月行动。</w:t>
      </w:r>
    </w:p>
    <w:p>
      <w:r>
        <w:br w:type="page"/>
      </w:r>
    </w:p>
    <w:p>
      <w:pPr>
        <w:pStyle w:val="Heading1"/>
        <w:keepNext/>
      </w:pPr>
      <w:r>
        <w:t>第2章 企业深度财务与经营分析全景</w:t>
      </w:r>
    </w:p>
    <w:p>
      <w:pPr>
        <w:spacing w:after="100" w:line="300" w:lineRule="auto"/>
      </w:pPr>
      <w:r>
        <w:t>完整分析遵循结果识别、差异定位、业务验证、原因量化和行动跟踪。跳过任何一步都可能产生错误结论。</w:t>
      </w:r>
    </w:p>
    <w:p>
      <w:pPr>
        <w:pStyle w:val="Heading2"/>
        <w:keepNext/>
      </w:pPr>
      <w:r>
        <w:t>九步分析法</w:t>
      </w:r>
    </w:p>
    <w:p>
      <w:pPr>
        <w:spacing w:after="100" w:line="300" w:lineRule="auto"/>
      </w:pPr>
      <w:r>
        <w:t>确定结果和比较基准。</w:t>
      </w:r>
    </w:p>
    <w:p>
      <w:pPr>
        <w:spacing w:after="100" w:line="300" w:lineRule="auto"/>
      </w:pPr>
      <w:r>
        <w:t>量化变化金额和比例。</w:t>
      </w:r>
    </w:p>
    <w:p>
      <w:pPr>
        <w:spacing w:after="100" w:line="300" w:lineRule="auto"/>
      </w:pPr>
      <w:r>
        <w:t>按产品、客户、渠道、地区、部门定位。</w:t>
      </w:r>
    </w:p>
    <w:p>
      <w:pPr>
        <w:spacing w:after="100" w:line="300" w:lineRule="auto"/>
      </w:pPr>
      <w:r>
        <w:t>拆解数量、价格、结构、效率和成本。</w:t>
      </w:r>
    </w:p>
    <w:p>
      <w:pPr>
        <w:spacing w:after="100" w:line="300" w:lineRule="auto"/>
      </w:pPr>
      <w:r>
        <w:t>向业务系统取得验证数据。</w:t>
      </w:r>
    </w:p>
    <w:p>
      <w:pPr>
        <w:spacing w:after="100" w:line="300" w:lineRule="auto"/>
      </w:pPr>
      <w:r>
        <w:t>量化每项原因。</w:t>
      </w:r>
    </w:p>
    <w:p>
      <w:pPr>
        <w:spacing w:after="100" w:line="300" w:lineRule="auto"/>
      </w:pPr>
      <w:r>
        <w:t>判断一次性、短期或结构性。</w:t>
      </w:r>
    </w:p>
    <w:p>
      <w:pPr>
        <w:spacing w:after="100" w:line="300" w:lineRule="auto"/>
      </w:pPr>
      <w:r>
        <w:t>评估利润、现金和未来影响。</w:t>
      </w:r>
    </w:p>
    <w:p>
      <w:pPr>
        <w:spacing w:after="100" w:line="300" w:lineRule="auto"/>
      </w:pPr>
      <w:r>
        <w:t>形成行动计划并持续跟踪。</w:t>
      </w:r>
    </w:p>
    <w:p>
      <w:pPr>
        <w:pStyle w:val="Heading2"/>
        <w:keepNext/>
      </w:pPr>
      <w:r>
        <w:t>证据链</w:t>
      </w:r>
    </w:p>
    <w:p>
      <w:pPr>
        <w:spacing w:after="100" w:line="300" w:lineRule="auto"/>
      </w:pPr>
      <w:r>
        <w:t>财务总账说明最终结果；ERP业务模块说明交易构成；CRM说明客户和订单；MES说明产量、良率和工时；WMS说明库存；银行和AR说明回款。</w:t>
      </w:r>
    </w:p>
    <w:p>
      <w:r>
        <w:br w:type="page"/>
      </w:r>
    </w:p>
    <w:p>
      <w:pPr>
        <w:pStyle w:val="Heading1"/>
        <w:keepNext/>
      </w:pPr>
      <w:r>
        <w:t>第3章 事实 判断 推测和建议</w:t>
      </w:r>
    </w:p>
    <w:p>
      <w:pPr>
        <w:spacing w:after="100" w:line="300" w:lineRule="auto"/>
      </w:pPr>
      <w:r>
        <w:t>财务分析最常见的质量问题，是把时间上的同时发生写成因果关系。</w:t>
      </w:r>
    </w:p>
    <w:p>
      <w:pPr>
        <w:pStyle w:val="Heading2"/>
        <w:keepNext/>
      </w:pPr>
      <w:r>
        <w:t>规范表达</w:t>
      </w:r>
    </w:p>
    <w:p>
      <w:pPr>
        <w:spacing w:after="100" w:line="300" w:lineRule="auto"/>
      </w:pPr>
      <w:r>
        <w:t>事实：综合毛利率同比下降3.5个百分点。</w:t>
      </w:r>
    </w:p>
    <w:p>
      <w:pPr>
        <w:spacing w:after="100" w:line="300" w:lineRule="auto"/>
      </w:pPr>
      <w:r>
        <w:t>拆解：材料价格、产品结构和良率分别影响1.0、1.2和0.4个百分点。</w:t>
      </w:r>
    </w:p>
    <w:p>
      <w:pPr>
        <w:spacing w:after="100" w:line="300" w:lineRule="auto"/>
      </w:pPr>
      <w:r>
        <w:t>业务信息：采购确认核心控制板价格上涨；生产确认树脂线良率下降。</w:t>
      </w:r>
    </w:p>
    <w:p>
      <w:pPr>
        <w:spacing w:after="100" w:line="300" w:lineRule="auto"/>
      </w:pPr>
      <w:r>
        <w:t>判断：材料因素可能持续，良率因素具有改善空间。</w:t>
      </w:r>
    </w:p>
    <w:p>
      <w:pPr>
        <w:spacing w:after="100" w:line="300" w:lineRule="auto"/>
      </w:pPr>
      <w:r>
        <w:t>待验证：渠道促销是否真正形成终端销量。</w:t>
      </w:r>
    </w:p>
    <w:p>
      <w:pPr>
        <w:spacing w:after="100" w:line="300" w:lineRule="auto"/>
      </w:pPr>
      <w:r>
        <w:t>行动：销售取得Sell-out，质量部门完成缺陷Pareto。</w:t>
      </w:r>
    </w:p>
    <w:p>
      <w:pPr>
        <w:pStyle w:val="Heading2"/>
        <w:keepNext/>
      </w:pPr>
      <w:r>
        <w:t>证据不足时</w:t>
      </w:r>
    </w:p>
    <w:p>
      <w:pPr>
        <w:spacing w:after="100" w:line="300" w:lineRule="auto"/>
      </w:pPr>
      <w:r>
        <w:t>不要写“市场竞争导致收入下降”。应写“收入下降集中在A产品经销渠道；需要销售提供订单流失原因、竞品价格和终端库存验证”。</w:t>
      </w:r>
    </w:p>
    <w:p>
      <w:r>
        <w:br w:type="page"/>
      </w:r>
    </w:p>
    <w:p>
      <w:pPr>
        <w:pStyle w:val="Heading1"/>
        <w:keepNext/>
      </w:pPr>
      <w:r>
        <w:t>第4章 财务分析常用比较方法</w:t>
      </w:r>
    </w:p>
    <w:p>
      <w:pPr>
        <w:spacing w:after="100" w:line="300" w:lineRule="auto"/>
      </w:pPr>
      <w:r>
        <w:t>比较方法回答的问题不同。同比用于识别季节性后的变化，环比用于识别近期拐点，预算差异用于检验经营承诺。</w:t>
      </w:r>
    </w:p>
    <w:p>
      <w:pPr>
        <w:pStyle w:val="Heading2"/>
        <w:keepNext/>
      </w:pPr>
      <w:r>
        <w:t>比较矩阵</w:t>
      </w:r>
    </w:p>
    <w:p>
      <w:pPr>
        <w:spacing w:after="100" w:line="300" w:lineRule="auto"/>
      </w:pPr>
      <w:r>
        <w:t>同比：适合季节性业务，但注意基数。</w:t>
      </w:r>
    </w:p>
    <w:p>
      <w:pPr>
        <w:spacing w:after="100" w:line="300" w:lineRule="auto"/>
      </w:pPr>
      <w:r>
        <w:t>环比：适合观察最近变化，但易受季节性干扰。</w:t>
      </w:r>
    </w:p>
    <w:p>
      <w:pPr>
        <w:spacing w:after="100" w:line="300" w:lineRule="auto"/>
      </w:pPr>
      <w:r>
        <w:t>预算与实际：适合责任评价，但必须先评估预算是否合理。</w:t>
      </w:r>
    </w:p>
    <w:p>
      <w:pPr>
        <w:spacing w:after="100" w:line="300" w:lineRule="auto"/>
      </w:pPr>
      <w:r>
        <w:t>Forecast与实际：适合检验预测能力和最新信息。</w:t>
      </w:r>
    </w:p>
    <w:p>
      <w:pPr>
        <w:spacing w:after="100" w:line="300" w:lineRule="auto"/>
      </w:pPr>
      <w:r>
        <w:t>滚动12个月：降低单月波动。</w:t>
      </w:r>
    </w:p>
    <w:p>
      <w:pPr>
        <w:spacing w:after="100" w:line="300" w:lineRule="auto"/>
      </w:pPr>
      <w:r>
        <w:t>同业比较：用于提出问题，不能直接下结论。</w:t>
      </w:r>
    </w:p>
    <w:p>
      <w:pPr>
        <w:pStyle w:val="Heading2"/>
        <w:keepNext/>
      </w:pPr>
      <w:r>
        <w:t>组合解释</w:t>
      </w:r>
    </w:p>
    <w:p>
      <w:pPr>
        <w:spacing w:after="100" w:line="300" w:lineRule="auto"/>
      </w:pPr>
      <w:r>
        <w:t>收入同比增长20%但环比下降15%，可能同时说明公司仍高于去年低基数，但近期订单、交付或季节性正在转弱。必须进一步比较历史季节曲线和订单数据。</w:t>
      </w:r>
    </w:p>
    <w:p>
      <w:pPr>
        <w:spacing w:after="100" w:line="300" w:lineRule="auto"/>
      </w:pPr>
      <w:r>
        <w:t>预算完成105%不一定经营良好。如果预算过低、收入来自低毛利产品、应收和库存同步增加，完成率会掩盖质量问题。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比较方法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适合回答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主要限制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同比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相对去年同期是否改善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基数和业务口径变化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环比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近期是否出现拐点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季节性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预算vs实际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是否完成经营承诺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预算质量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Forecast vs实际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预测是否准确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信息更新时间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滚动12个月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持续趋势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掩盖近期变化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同业比较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提出差异问题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可比性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第5章 差异分析方法</w:t>
      </w:r>
    </w:p>
    <w:p>
      <w:pPr>
        <w:spacing w:after="100" w:line="300" w:lineRule="auto"/>
      </w:pPr>
      <w:r>
        <w:t>深度差异分析要求所有影响因素能够勾稽到总差异，并为无法解释部分设置残差。</w:t>
      </w:r>
    </w:p>
    <w:p>
      <w:pPr>
        <w:pStyle w:val="Heading2"/>
        <w:keepNext/>
      </w:pPr>
      <w:r>
        <w:t>方法选择</w:t>
      </w:r>
    </w:p>
    <w:p>
      <w:pPr>
        <w:spacing w:after="100" w:line="300" w:lineRule="auto"/>
      </w:pPr>
      <w:r>
        <w:t>金额Bridge用于解释利润额变化；毛利率Bridge用于解释盈利结构；PVM用于解释收入；材料价格和用量差异用于解释生产成本；人数和人均成本用于解释人员费用。</w:t>
      </w:r>
    </w:p>
    <w:p>
      <w:pPr>
        <w:pStyle w:val="Heading2"/>
        <w:keepNext/>
      </w:pPr>
      <w:r>
        <w:t>残差</w:t>
      </w:r>
    </w:p>
    <w:p>
      <w:pPr>
        <w:spacing w:after="100" w:line="300" w:lineRule="auto"/>
      </w:pPr>
      <w:r>
        <w:t>残差不是可以随意使用的“其他”。残差非零通常意味着分类不互斥、基期口径变化、新产品未处理或公式顺序不一致。</w:t>
      </w:r>
    </w:p>
    <w:p>
      <w:r>
        <w:br w:type="page"/>
      </w:r>
    </w:p>
    <w:p>
      <w:pPr>
        <w:pStyle w:val="Heading1"/>
        <w:keepNext/>
      </w:pPr>
      <w:r>
        <w:t>第6章 收入分析</w:t>
      </w:r>
    </w:p>
    <w:p>
      <w:pPr>
        <w:spacing w:after="100" w:line="300" w:lineRule="auto"/>
      </w:pPr>
      <w:r>
        <w:t>收入变化应至少拆到数量、价格、产品结构、客户、渠道、地区、汇率和一次性事项。</w:t>
      </w:r>
    </w:p>
    <w:p>
      <w:pPr>
        <w:pStyle w:val="Heading2"/>
        <w:keepNext/>
      </w:pPr>
      <w:r>
        <w:t>PVM公式</w:t>
      </w:r>
    </w:p>
    <w:p>
      <w:pPr>
        <w:spacing w:after="100" w:line="300" w:lineRule="auto"/>
      </w:pPr>
      <w:r>
        <w:t>收入等于总销量×产品结构×产品价格。销量影响使用总销量变化和基期结构；结构影响使用本期总销量和结构变化；价格影响使用本期销量和价格变化。三项必须与实际收入变化一致。</w:t>
      </w:r>
    </w:p>
    <w:p>
      <w:pPr>
        <w:pStyle w:val="Heading2"/>
        <w:keepNext/>
      </w:pPr>
      <w:r>
        <w:t>连续案例</w:t>
      </w:r>
    </w:p>
    <w:p>
      <w:pPr>
        <w:spacing w:after="100" w:line="300" w:lineRule="auto"/>
      </w:pPr>
      <w:r>
        <w:t>E1桌面机销量增长但价格下降；P1专业机销量增长；耗材随装机量扩大。模型计算基期收入10,802.29万元、本期12,766.48万元，变化1,964.19万元，PVM残差为0。</w:t>
      </w:r>
    </w:p>
    <w:p>
      <w:pPr>
        <w:pStyle w:val="Heading2"/>
        <w:keepNext/>
      </w:pPr>
      <w:r>
        <w:t>新客户和新产品</w:t>
      </w:r>
    </w:p>
    <w:p>
      <w:pPr>
        <w:spacing w:after="100" w:line="300" w:lineRule="auto"/>
      </w:pPr>
      <w:r>
        <w:t>新增客户不是天然独立因素。如果新增客户销量已经包含在销量影响中，再单列会重复。只有先把客户分组设计成互斥维度，才能建立客户Bridge。</w:t>
      </w:r>
    </w:p>
    <w:p>
      <w:pPr>
        <w:pStyle w:val="Heading2"/>
        <w:keepNext/>
      </w:pPr>
      <w:r>
        <w:t>取数与沟通</w:t>
      </w:r>
    </w:p>
    <w:p>
      <w:pPr>
        <w:spacing w:after="100" w:line="300" w:lineRule="auto"/>
      </w:pPr>
      <w:r>
        <w:t>销售运营提供订单、出货、价格、折扣、客户和渠道；财务将不含税收入与总账勾稽；物流或交付团队验证截止。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产品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基期销量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基期价格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本期销量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本期价格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变化含义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E1桌面机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8,726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4,200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9,862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3,990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销量增长但降价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P1专业机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2,994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9,800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3,714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9,604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销量贡献为主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I1工业机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435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65,000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472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65,650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小批量高单价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耗材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149,538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92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227,993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95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装机和复购共同增长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第7章 毛利与毛利率分析</w:t>
      </w:r>
    </w:p>
    <w:p>
      <w:pPr>
        <w:spacing w:after="100" w:line="300" w:lineRule="auto"/>
      </w:pPr>
      <w:r>
        <w:t>综合毛利率是各产品毛利率按收入结构加权的结果。毛利率下降不能只归因于成本增长。</w:t>
      </w:r>
    </w:p>
    <w:p>
      <w:pPr>
        <w:pStyle w:val="Heading2"/>
        <w:keepNext/>
      </w:pPr>
      <w:r>
        <w:t>原因树</w:t>
      </w:r>
    </w:p>
    <w:p>
      <w:pPr>
        <w:spacing w:after="100" w:line="300" w:lineRule="auto"/>
      </w:pPr>
      <w:r>
        <w:t>收入端：价格、产品、客户、渠道、地区、返利、汇率。</w:t>
      </w:r>
    </w:p>
    <w:p>
      <w:pPr>
        <w:spacing w:after="100" w:line="300" w:lineRule="auto"/>
      </w:pPr>
      <w:r>
        <w:t>材料端：采购价格、供应商、BOM、替代料、单耗、报废。</w:t>
      </w:r>
    </w:p>
    <w:p>
      <w:pPr>
        <w:spacing w:after="100" w:line="300" w:lineRule="auto"/>
      </w:pPr>
      <w:r>
        <w:t>生产端：良率、人工效率、利用率、固定费用吸收、外协、新品爬坡。</w:t>
      </w:r>
    </w:p>
    <w:p>
      <w:pPr>
        <w:pStyle w:val="Heading2"/>
        <w:keepNext/>
      </w:pPr>
      <w:r>
        <w:t>毛利率Bridge</w:t>
      </w:r>
    </w:p>
    <w:p>
      <w:pPr>
        <w:spacing w:after="100" w:line="300" w:lineRule="auto"/>
      </w:pPr>
      <w:r>
        <w:t>深圳拓维的38.0%下降至34.5%，分解为价格-0.8个百分点、结构-1.2、材料-1.0、良率-0.4、产能利用率-0.6、新品和其他+0.5，合计-3.5个百分点。正式报告必须检查期初加各因素等于期末。</w:t>
      </w:r>
    </w:p>
    <w:p>
      <w:pPr>
        <w:pStyle w:val="Heading2"/>
        <w:keepNext/>
      </w:pPr>
      <w:r>
        <w:t>产能影响</w:t>
      </w:r>
    </w:p>
    <w:p>
      <w:pPr>
        <w:spacing w:after="100" w:line="300" w:lineRule="auto"/>
      </w:pPr>
      <w:r>
        <w:t>产能利用率下降不会改变固定制造费用总额，却会提高单位合格产品吸收的固定成本。应结合标准工时、有效产能、停机和实际产量分析。</w:t>
      </w:r>
    </w:p>
    <w:p>
      <w:pPr>
        <w:pStyle w:val="Heading2"/>
        <w:keepNext/>
      </w:pPr>
      <w:r>
        <w:t>良率影响</w:t>
      </w:r>
    </w:p>
    <w:p>
      <w:pPr>
        <w:spacing w:after="100" w:line="300" w:lineRule="auto"/>
      </w:pPr>
      <w:r>
        <w:t>良率下降会增加合格品单位材料投入、报废、返工人工和设备工时。财务应取得MES投产量、合格量、报废原因和标准单耗。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毛利率因素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影响百分点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管理责任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基期毛利率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38.0%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2025产品毛利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财务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价格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-0.8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折扣和成交价格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销售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产品渠道结构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-1.2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产品和渠道收入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销售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材料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-1.0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采购价和BOM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采购/研发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良率报废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-0.4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MES和报废单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生产/质量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产能利用率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-0.6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有效产能和工时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生产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新品及其他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+0.5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试产工单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研发/生产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预测毛利率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34.5%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Bridge勾稽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财务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第8章 期间费用深度分析</w:t>
      </w:r>
    </w:p>
    <w:p>
      <w:pPr>
        <w:spacing w:after="100" w:line="300" w:lineRule="auto"/>
      </w:pPr>
      <w:r>
        <w:t>费用分析需要同时评价金额、费用率、固定变动属性、责任部门和投入产出。</w:t>
      </w:r>
    </w:p>
    <w:p>
      <w:pPr>
        <w:pStyle w:val="Heading2"/>
        <w:keepNext/>
      </w:pPr>
      <w:r>
        <w:t>销售费用</w:t>
      </w:r>
    </w:p>
    <w:p>
      <w:pPr>
        <w:spacing w:after="100" w:line="300" w:lineRule="auto"/>
      </w:pPr>
      <w:r>
        <w:t>销售费用增长30%、收入增长50%时，费用率可能改善，但仍需判断新增费用是否对应可持续收入、健康毛利和现金回收。</w:t>
      </w:r>
    </w:p>
    <w:p>
      <w:pPr>
        <w:pStyle w:val="Heading2"/>
        <w:keepNext/>
      </w:pPr>
      <w:r>
        <w:t>人员费用</w:t>
      </w:r>
    </w:p>
    <w:p>
      <w:pPr>
        <w:spacing w:after="100" w:line="300" w:lineRule="auto"/>
      </w:pPr>
      <w:r>
        <w:t>拆解为平均人数×平均薪酬×在岗月份，再分析职级、奖金、社保、股份支付和招聘时间。</w:t>
      </w:r>
    </w:p>
    <w:p>
      <w:pPr>
        <w:pStyle w:val="Heading2"/>
        <w:keepNext/>
      </w:pPr>
      <w:r>
        <w:t>研发费用</w:t>
      </w:r>
    </w:p>
    <w:p>
      <w:pPr>
        <w:spacing w:after="100" w:line="300" w:lineRule="auto"/>
      </w:pPr>
      <w:r>
        <w:t>按项目、阶段、人员和外包拆解，同时跟踪技术里程碑。投入增长而里程碑持续延期，说明费用增加尚未形成相应经营产出。</w:t>
      </w:r>
    </w:p>
    <w:p>
      <w:pPr>
        <w:pStyle w:val="Heading2"/>
        <w:keepNext/>
      </w:pPr>
      <w:r>
        <w:t>财务费用</w:t>
      </w:r>
    </w:p>
    <w:p>
      <w:pPr>
        <w:spacing w:after="100" w:line="300" w:lineRule="auto"/>
      </w:pPr>
      <w:r>
        <w:t>拆解借款余额、利率、票据贴现、汇兑和资金占用。营运资金恶化往往通过借款和利息再次影响利润。</w:t>
      </w:r>
    </w:p>
    <w:p>
      <w:r>
        <w:br w:type="page"/>
      </w:r>
    </w:p>
    <w:p>
      <w:pPr>
        <w:pStyle w:val="Heading1"/>
        <w:keepNext/>
      </w:pPr>
      <w:r>
        <w:t>第9章 从营业利润到净利润</w:t>
      </w:r>
    </w:p>
    <w:p>
      <w:pPr>
        <w:spacing w:after="100" w:line="300" w:lineRule="auto"/>
      </w:pPr>
      <w:r>
        <w:t>营业利润之外的项目需要区分经营性、一次性和会计估计因素。</w:t>
      </w:r>
    </w:p>
    <w:p>
      <w:pPr>
        <w:pStyle w:val="Heading2"/>
        <w:keepNext/>
      </w:pPr>
      <w:r>
        <w:t>减值</w:t>
      </w:r>
    </w:p>
    <w:p>
      <w:pPr>
        <w:spacing w:after="100" w:line="300" w:lineRule="auto"/>
      </w:pPr>
      <w:r>
        <w:t>信用减值应与客户信用、逾期和期后回款联系；存货跌价应与售价、库龄、订单和预计处置费用联系。</w:t>
      </w:r>
    </w:p>
    <w:p>
      <w:pPr>
        <w:pStyle w:val="Heading2"/>
        <w:keepNext/>
      </w:pPr>
      <w:r>
        <w:t>政府补助和投资收益</w:t>
      </w:r>
    </w:p>
    <w:p>
      <w:pPr>
        <w:spacing w:after="100" w:line="300" w:lineRule="auto"/>
      </w:pPr>
      <w:r>
        <w:t>分析时说明是否重复发生、是否依赖特定项目、是否影响现金，以及剔除后主营业务盈利水平。</w:t>
      </w:r>
    </w:p>
    <w:p>
      <w:pPr>
        <w:pStyle w:val="Heading2"/>
        <w:keepNext/>
      </w:pPr>
      <w:r>
        <w:t>有效税率</w:t>
      </w:r>
    </w:p>
    <w:p>
      <w:pPr>
        <w:spacing w:after="100" w:line="300" w:lineRule="auto"/>
      </w:pPr>
      <w:r>
        <w:t>从法定税率出发，解释优惠税率、研发加计扣除、永久性差异、以前年度调整和递延所得税。</w:t>
      </w:r>
    </w:p>
    <w:p>
      <w:r>
        <w:br w:type="page"/>
      </w:r>
    </w:p>
    <w:p>
      <w:pPr>
        <w:pStyle w:val="Heading1"/>
        <w:keepNext/>
      </w:pPr>
      <w:r>
        <w:t>第10章 资产负债表深度分析</w:t>
      </w:r>
    </w:p>
    <w:p>
      <w:pPr>
        <w:spacing w:after="100" w:line="300" w:lineRule="auto"/>
      </w:pPr>
      <w:r>
        <w:t>资产负债表反映企业过去经营决策积累形成的资源和义务。余额增加本身不是好坏结论。</w:t>
      </w:r>
    </w:p>
    <w:p>
      <w:pPr>
        <w:pStyle w:val="Heading2"/>
        <w:keepNext/>
      </w:pPr>
      <w:r>
        <w:t>应收</w:t>
      </w:r>
    </w:p>
    <w:p>
      <w:pPr>
        <w:spacing w:after="100" w:line="300" w:lineRule="auto"/>
      </w:pPr>
      <w:r>
        <w:t>拆销售增长、客户结构、账期、逾期、争议和收入确认。应收增长快于收入时，优先分析DSO和大客户。</w:t>
      </w:r>
    </w:p>
    <w:p>
      <w:pPr>
        <w:pStyle w:val="Heading2"/>
        <w:keepNext/>
      </w:pPr>
      <w:r>
        <w:t>存货</w:t>
      </w:r>
    </w:p>
    <w:p>
      <w:pPr>
        <w:spacing w:after="100" w:line="300" w:lineRule="auto"/>
      </w:pPr>
      <w:r>
        <w:t>先拆原材料、在产品、产成品、耗材和发出商品，再结合订单、备货、S&amp;OP、工单和库龄判断。</w:t>
      </w:r>
    </w:p>
    <w:p>
      <w:pPr>
        <w:pStyle w:val="Heading2"/>
        <w:keepNext/>
      </w:pPr>
      <w:r>
        <w:t>固定资产和在建工程</w:t>
      </w:r>
    </w:p>
    <w:p>
      <w:pPr>
        <w:spacing w:after="100" w:line="300" w:lineRule="auto"/>
      </w:pPr>
      <w:r>
        <w:t>分析资本开支是否形成产能、实际利用率、投产节奏和投资回报。扩产早于需求会同时增加折旧和现金压力。</w:t>
      </w:r>
    </w:p>
    <w:p>
      <w:pPr>
        <w:pStyle w:val="Heading2"/>
        <w:keepNext/>
      </w:pPr>
      <w:r>
        <w:t>负债</w:t>
      </w:r>
    </w:p>
    <w:p>
      <w:pPr>
        <w:spacing w:after="100" w:line="300" w:lineRule="auto"/>
      </w:pPr>
      <w:r>
        <w:t>应付增加可能来自采购增长、账期改善或延迟付款。必须区分经营改善和供应商关系恶化。</w:t>
      </w:r>
    </w:p>
    <w:p>
      <w:r>
        <w:br w:type="page"/>
      </w:r>
    </w:p>
    <w:p>
      <w:pPr>
        <w:pStyle w:val="Heading1"/>
        <w:keepNext/>
      </w:pPr>
      <w:r>
        <w:t>第11章 营运资金与现金转换周期</w:t>
      </w:r>
    </w:p>
    <w:p>
      <w:pPr>
        <w:spacing w:after="100" w:line="300" w:lineRule="auto"/>
      </w:pPr>
      <w:r>
        <w:t>CCC等于DSO加DIO减DPO，反映从付出采购现金到收回销售现金的时间。</w:t>
      </w:r>
    </w:p>
    <w:p>
      <w:pPr>
        <w:pStyle w:val="Heading2"/>
        <w:keepNext/>
      </w:pPr>
      <w:r>
        <w:t>三项联动</w:t>
      </w:r>
    </w:p>
    <w:p>
      <w:pPr>
        <w:spacing w:after="100" w:line="300" w:lineRule="auto"/>
      </w:pPr>
      <w:r>
        <w:t>DSO上升可能来自账期延长或逾期；DIO上升可能来自备货、销量下降或生产停滞；DPO下降可能来自供应商收紧信用。</w:t>
      </w:r>
    </w:p>
    <w:p>
      <w:pPr>
        <w:pStyle w:val="Heading2"/>
        <w:keepNext/>
      </w:pPr>
      <w:r>
        <w:t>改善原则</w:t>
      </w:r>
    </w:p>
    <w:p>
      <w:pPr>
        <w:spacing w:after="100" w:line="300" w:lineRule="auto"/>
      </w:pPr>
      <w:r>
        <w:t>销售负责信用条款和回款；供应链负责预测和库存；采购负责供应商账期；财务统一口径、量化现金影响并推动行动。</w:t>
      </w:r>
    </w:p>
    <w:p>
      <w:pPr>
        <w:pStyle w:val="Heading2"/>
        <w:keepNext/>
      </w:pPr>
      <w:r>
        <w:t>避免错误</w:t>
      </w:r>
    </w:p>
    <w:p>
      <w:pPr>
        <w:spacing w:after="100" w:line="300" w:lineRule="auto"/>
      </w:pPr>
      <w:r>
        <w:t>不能单纯延迟供应商付款来改善现金，这可能损害交付、折扣和信用。应评估整体经济影响。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2025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2026预测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变化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主要原因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DSO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65天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83天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+18天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经销商账期及逾期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DIO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82天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121天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+39天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备货、销量和慢动库存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DPO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55天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63天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+8天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采购增长和部分延付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CCC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92天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141天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+49天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应收和库存共同占用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第12章 现金流与自由现金流</w:t>
      </w:r>
    </w:p>
    <w:p>
      <w:pPr>
        <w:spacing w:after="100" w:line="300" w:lineRule="auto"/>
      </w:pPr>
      <w:r>
        <w:t>净利润不等于现金流，因为收入确认、成本结转和现金收付的时间不同。</w:t>
      </w:r>
    </w:p>
    <w:p>
      <w:pPr>
        <w:pStyle w:val="Heading2"/>
        <w:keepNext/>
      </w:pPr>
      <w:r>
        <w:t>净利润到现金</w:t>
      </w:r>
    </w:p>
    <w:p>
      <w:pPr>
        <w:spacing w:after="100" w:line="300" w:lineRule="auto"/>
      </w:pPr>
      <w:r>
        <w:t>深圳拓维净利润1,500万元，加回折旧1,300万元；应收增加占用3,700万元，存货增加占用4,600万元，应付增加释放1,300万元，其他经营项目净增加4,700万元，经营现金流为500万元。</w:t>
      </w:r>
    </w:p>
    <w:p>
      <w:pPr>
        <w:pStyle w:val="Heading2"/>
        <w:keepNext/>
      </w:pPr>
      <w:r>
        <w:t>自由现金流</w:t>
      </w:r>
    </w:p>
    <w:p>
      <w:pPr>
        <w:spacing w:after="100" w:line="300" w:lineRule="auto"/>
      </w:pPr>
      <w:r>
        <w:t>经营现金流减维持和扩张性资本开支形成自由现金流。分析时应区分维持现有经营和扩张产能的资本开支。</w:t>
      </w:r>
    </w:p>
    <w:p>
      <w:pPr>
        <w:pStyle w:val="Heading2"/>
        <w:keepNext/>
      </w:pPr>
      <w:r>
        <w:t>核查路径</w:t>
      </w:r>
    </w:p>
    <w:p>
      <w:pPr>
        <w:spacing w:after="100" w:line="300" w:lineRule="auto"/>
      </w:pPr>
      <w:r>
        <w:t>从间接法Bridge定位到具体资产负债科目，再下钻客户、SKU、供应商和项目。</w:t>
      </w:r>
    </w:p>
    <w:p>
      <w:r>
        <w:br w:type="page"/>
      </w:r>
    </w:p>
    <w:p>
      <w:pPr>
        <w:pStyle w:val="Heading1"/>
        <w:keepNext/>
      </w:pPr>
      <w:r>
        <w:t>第13章 制造企业经营指标体系</w:t>
      </w:r>
    </w:p>
    <w:p>
      <w:pPr>
        <w:spacing w:after="100" w:line="300" w:lineRule="auto"/>
      </w:pPr>
      <w:r>
        <w:t>经营指标是因，财务指标往往是果。指标定义必须由业务和财务共同确认。</w:t>
      </w:r>
    </w:p>
    <w:p>
      <w:pPr>
        <w:pStyle w:val="Heading2"/>
        <w:keepNext/>
      </w:pPr>
      <w:r>
        <w:t>销售与订单</w:t>
      </w:r>
    </w:p>
    <w:p>
      <w:pPr>
        <w:spacing w:after="100" w:line="300" w:lineRule="auto"/>
      </w:pPr>
      <w:r>
        <w:t>订单额、订单转收入率、Backlog、销量、ASP、终端销量、退货率。</w:t>
      </w:r>
    </w:p>
    <w:p>
      <w:pPr>
        <w:pStyle w:val="Heading2"/>
        <w:keepNext/>
      </w:pPr>
      <w:r>
        <w:t>生产</w:t>
      </w:r>
    </w:p>
    <w:p>
      <w:pPr>
        <w:spacing w:after="100" w:line="300" w:lineRule="auto"/>
      </w:pPr>
      <w:r>
        <w:t>产量、理论产能、有效产能、标准工时、实际工时、良率、报废、返工、停机。</w:t>
      </w:r>
    </w:p>
    <w:p>
      <w:pPr>
        <w:pStyle w:val="Heading2"/>
        <w:keepNext/>
      </w:pPr>
      <w:r>
        <w:t>供应链</w:t>
      </w:r>
    </w:p>
    <w:p>
      <w:pPr>
        <w:spacing w:after="100" w:line="300" w:lineRule="auto"/>
      </w:pPr>
      <w:r>
        <w:t>采购价格、交付周期、供应商集中度、安全库存、预测准确率、库龄。</w:t>
      </w:r>
    </w:p>
    <w:p>
      <w:pPr>
        <w:pStyle w:val="Heading2"/>
        <w:keepNext/>
      </w:pPr>
      <w:r>
        <w:t>售后</w:t>
      </w:r>
    </w:p>
    <w:p>
      <w:pPr>
        <w:spacing w:after="100" w:line="300" w:lineRule="auto"/>
      </w:pPr>
      <w:r>
        <w:t>活跃设备、维修率、质保成本、耗材复购和用户留存。</w:t>
      </w:r>
    </w:p>
    <w:p>
      <w:r>
        <w:br w:type="page"/>
      </w:r>
    </w:p>
    <w:p>
      <w:pPr>
        <w:pStyle w:val="Heading1"/>
        <w:keepNext/>
      </w:pPr>
      <w:r>
        <w:t>第14章 业务指标到财务结果的映射</w:t>
      </w:r>
    </w:p>
    <w:p>
      <w:pPr>
        <w:spacing w:after="100" w:line="300" w:lineRule="auto"/>
      </w:pPr>
      <w:r>
        <w:t>经营指标只有与财务结果建立稳定映射，才能成为领先指标。</w:t>
      </w:r>
    </w:p>
    <w:p>
      <w:pPr>
        <w:pStyle w:val="Heading2"/>
        <w:keepNext/>
      </w:pPr>
      <w:r>
        <w:t>映射示例</w:t>
      </w:r>
    </w:p>
    <w:p>
      <w:pPr>
        <w:spacing w:after="100" w:line="300" w:lineRule="auto"/>
      </w:pPr>
      <w:r>
        <w:t>良率下降→单位材料上升→单位成本上升→毛利率下降。</w:t>
      </w:r>
    </w:p>
    <w:p>
      <w:pPr>
        <w:spacing w:after="100" w:line="300" w:lineRule="auto"/>
      </w:pPr>
      <w:r>
        <w:t>客户账期延长→应收增加→DSO上升→现金流下降→利息增加。</w:t>
      </w:r>
    </w:p>
    <w:p>
      <w:pPr>
        <w:spacing w:after="100" w:line="300" w:lineRule="auto"/>
      </w:pPr>
      <w:r>
        <w:t>产能利用率下降→单位固定制造费用上升→存货和销售成本上升。</w:t>
      </w:r>
    </w:p>
    <w:p>
      <w:pPr>
        <w:spacing w:after="100" w:line="300" w:lineRule="auto"/>
      </w:pPr>
      <w:r>
        <w:t>退货率上升→收入冲减、退款负债和质保成本增加。</w:t>
      </w:r>
    </w:p>
    <w:p>
      <w:pPr>
        <w:pStyle w:val="Heading2"/>
        <w:keepNext/>
      </w:pPr>
      <w:r>
        <w:t>责任</w:t>
      </w:r>
    </w:p>
    <w:p>
      <w:pPr>
        <w:spacing w:after="100" w:line="300" w:lineRule="auto"/>
      </w:pPr>
      <w:r>
        <w:t>业务部门拥有经营指标，财务拥有口径、勾稽、影响量化和跨部门闭环。</w:t>
      </w:r>
    </w:p>
    <w:p>
      <w:r>
        <w:br w:type="page"/>
      </w:r>
    </w:p>
    <w:p>
      <w:pPr>
        <w:pStyle w:val="Heading1"/>
        <w:keepNext/>
      </w:pPr>
      <w:r>
        <w:t>第15章 硬件加耗材商业模式</w:t>
      </w:r>
    </w:p>
    <w:p>
      <w:pPr>
        <w:spacing w:after="100" w:line="300" w:lineRule="auto"/>
      </w:pPr>
      <w:r>
        <w:t>硬件加耗材模式需要同时分析单次设备毛利和客户生命周期价值。</w:t>
      </w:r>
    </w:p>
    <w:p>
      <w:pPr>
        <w:pStyle w:val="Heading2"/>
        <w:keepNext/>
      </w:pPr>
      <w:r>
        <w:t>核心指标</w:t>
      </w:r>
    </w:p>
    <w:p>
      <w:pPr>
        <w:spacing w:after="100" w:line="300" w:lineRule="auto"/>
      </w:pPr>
      <w:r>
        <w:t>装机量、活跃设备、激活率、耗材月均用量、复购率、流失率、兼容耗材渗透率、设备和耗材毛利。</w:t>
      </w:r>
    </w:p>
    <w:p>
      <w:pPr>
        <w:pStyle w:val="Heading2"/>
        <w:keepNext/>
      </w:pPr>
      <w:r>
        <w:t>低硬件毛利逻辑</w:t>
      </w:r>
    </w:p>
    <w:p>
      <w:pPr>
        <w:spacing w:after="100" w:line="300" w:lineRule="auto"/>
      </w:pPr>
      <w:r>
        <w:t>只有新增设备能够形成高概率、高毛利、持续的耗材复购，降低硬件毛利才可能合理。分析应比较硬件补贴与未来贡献毛利的现值。</w:t>
      </w:r>
    </w:p>
    <w:p>
      <w:pPr>
        <w:pStyle w:val="Heading2"/>
        <w:keepNext/>
      </w:pPr>
      <w:r>
        <w:t>风险</w:t>
      </w:r>
    </w:p>
    <w:p>
      <w:pPr>
        <w:spacing w:after="100" w:line="300" w:lineRule="auto"/>
      </w:pPr>
      <w:r>
        <w:t>渠道压货不等于有效装机；设备销量增长但激活率和耗材复购下降时，长期利润逻辑可能失效。</w:t>
      </w:r>
    </w:p>
    <w:p>
      <w:r>
        <w:br w:type="page"/>
      </w:r>
    </w:p>
    <w:p>
      <w:pPr>
        <w:pStyle w:val="Heading1"/>
        <w:keepNext/>
      </w:pPr>
      <w:r>
        <w:t>第16章 不同行业的核心分析指标</w:t>
      </w:r>
    </w:p>
    <w:p>
      <w:pPr>
        <w:spacing w:after="100" w:line="300" w:lineRule="auto"/>
      </w:pPr>
      <w:r>
        <w:t>同一指标不能机械用于所有商业模式。</w:t>
      </w:r>
    </w:p>
    <w:p>
      <w:pPr>
        <w:pStyle w:val="Heading2"/>
        <w:keepNext/>
      </w:pPr>
      <w:r>
        <w:t>行业差异</w:t>
      </w:r>
    </w:p>
    <w:p>
      <w:pPr>
        <w:spacing w:after="100" w:line="300" w:lineRule="auto"/>
      </w:pPr>
      <w:r>
        <w:t>SaaS关注ARR、续费率、净收入留存和获客回收期；零售关注同店增长、坪效、库存周转和损耗；工程施工关注订单、履约进度、合同资产和现金回款；半导体制造关注利用率、良率和折旧。</w:t>
      </w:r>
    </w:p>
    <w:p>
      <w:pPr>
        <w:pStyle w:val="Heading2"/>
        <w:keepNext/>
      </w:pPr>
      <w:r>
        <w:t>金融行业</w:t>
      </w:r>
    </w:p>
    <w:p>
      <w:pPr>
        <w:spacing w:after="100" w:line="300" w:lineRule="auto"/>
      </w:pPr>
      <w:r>
        <w:t>银行、保险和证券不建议使用普通毛利率比较。银行关注净息差和成本收入比，保险关注综合成本率和新业务价值，证券关注收入结构、杠杆和ROE。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商业模式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收入驱动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成本驱动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核心指标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制造业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销量、ASP、Mix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材料、人工、制造费用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良率、利用率、单位成本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SaaS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客户、席位、续费、提价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云资源、实施、支持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ARR、NRR、CAC回收期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零售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门店、客流、客单、同店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采购、损耗、租金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同店、坪效、周转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半导体制造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晶圆量、制程、价格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折旧、材料、良率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利用率、良率、ASP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工程施工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订单、履约进度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分包、材料、人工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Backlog、合同资产、现金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银行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贷款、存款、息差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资金和信用成本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净息差、不良率、成本收入比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第17章 行业毛利率与可比公司</w:t>
      </w:r>
    </w:p>
    <w:p>
      <w:pPr>
        <w:spacing w:after="100" w:line="300" w:lineRule="auto"/>
      </w:pPr>
      <w:r>
        <w:t>行业基准用于提出问题，不直接证明公司经营好坏。</w:t>
      </w:r>
    </w:p>
    <w:p>
      <w:pPr>
        <w:pStyle w:val="Heading2"/>
        <w:keepNext/>
      </w:pPr>
      <w:r>
        <w:t>数据库口径</w:t>
      </w:r>
    </w:p>
    <w:p>
      <w:pPr>
        <w:spacing w:after="100" w:line="300" w:lineRule="auto"/>
      </w:pPr>
      <w:r>
        <w:t>官方工业行业毛利率由营业收入和营业成本计算；上市公司样本应按同一期间和同一合并口径提取。</w:t>
      </w:r>
    </w:p>
    <w:p>
      <w:pPr>
        <w:pStyle w:val="Heading2"/>
        <w:keepNext/>
      </w:pPr>
      <w:r>
        <w:t>Peer筛选</w:t>
      </w:r>
    </w:p>
    <w:p>
      <w:pPr>
        <w:spacing w:after="100" w:line="300" w:lineRule="auto"/>
      </w:pPr>
      <w:r>
        <w:t>控制产业链位置、产品结构、客户、渠道、地区、规模、自制外包和会计政策。</w:t>
      </w:r>
    </w:p>
    <w:p>
      <w:pPr>
        <w:pStyle w:val="Heading2"/>
        <w:keepNext/>
      </w:pPr>
      <w:r>
        <w:t>统计方法</w:t>
      </w:r>
    </w:p>
    <w:p>
      <w:pPr>
        <w:spacing w:after="100" w:line="300" w:lineRule="auto"/>
      </w:pPr>
      <w:r>
        <w:t>同时展示样本数、低位、中位数和高位。样本不足时不输出区间。异常值保留但单独标记。</w:t>
      </w:r>
    </w:p>
    <w:p>
      <w:r>
        <w:br w:type="page"/>
      </w:r>
    </w:p>
    <w:p>
      <w:pPr>
        <w:pStyle w:val="Heading1"/>
        <w:keepNext/>
      </w:pPr>
      <w:r>
        <w:t>第18章 财务异常问题诊断树</w:t>
      </w:r>
    </w:p>
    <w:p>
      <w:pPr>
        <w:spacing w:after="100" w:line="300" w:lineRule="auto"/>
      </w:pPr>
      <w:r>
        <w:t>诊断树用于指导取数，不用于提前认定原因。</w:t>
      </w:r>
    </w:p>
    <w:p>
      <w:pPr>
        <w:pStyle w:val="Heading2"/>
        <w:keepNext/>
      </w:pPr>
      <w:r>
        <w:t>收入下降</w:t>
      </w:r>
    </w:p>
    <w:p>
      <w:pPr>
        <w:spacing w:after="100" w:line="300" w:lineRule="auto"/>
      </w:pPr>
      <w:r>
        <w:t>先拆销量、价格和结构，再看产品、客户、渠道、地区；随后核查订单、交付、退货和竞争信息。</w:t>
      </w:r>
    </w:p>
    <w:p>
      <w:pPr>
        <w:pStyle w:val="Heading2"/>
        <w:keepNext/>
      </w:pPr>
      <w:r>
        <w:t>毛利下降</w:t>
      </w:r>
    </w:p>
    <w:p>
      <w:pPr>
        <w:spacing w:after="100" w:line="300" w:lineRule="auto"/>
      </w:pPr>
      <w:r>
        <w:t>先区分价格与成本，再拆材料、人工、制造费用、良率、产能和新品。</w:t>
      </w:r>
    </w:p>
    <w:p>
      <w:pPr>
        <w:pStyle w:val="Heading2"/>
        <w:keepNext/>
      </w:pPr>
      <w:r>
        <w:t>现金流下降</w:t>
      </w:r>
    </w:p>
    <w:p>
      <w:pPr>
        <w:spacing w:after="100" w:line="300" w:lineRule="auto"/>
      </w:pPr>
      <w:r>
        <w:t>从利润到现金Bridge定位应收、库存、预付、应付和税费，再下钻业务对象。</w:t>
      </w:r>
    </w:p>
    <w:p>
      <w:r>
        <w:br w:type="page"/>
      </w:r>
    </w:p>
    <w:p>
      <w:pPr>
        <w:pStyle w:val="Heading1"/>
        <w:keepNext/>
      </w:pPr>
      <w:r>
        <w:t>第19章 月度财务与经营分析报告</w:t>
      </w:r>
    </w:p>
    <w:p>
      <w:pPr>
        <w:spacing w:after="100" w:line="300" w:lineRule="auto"/>
      </w:pPr>
      <w:r>
        <w:t>月度报告应让管理层迅速知道发生了什么、为什么、未来影响及下一步行动。</w:t>
      </w:r>
    </w:p>
    <w:p>
      <w:pPr>
        <w:pStyle w:val="Heading2"/>
        <w:keepNext/>
      </w:pPr>
      <w:r>
        <w:t>报告结构</w:t>
      </w:r>
    </w:p>
    <w:p>
      <w:pPr>
        <w:spacing w:after="100" w:line="300" w:lineRule="auto"/>
      </w:pPr>
      <w:r>
        <w:t>核心结论、收入、毛利、费用、营运资金、现金流、资产负债重大变化、经营KPI、风险、未来影响、行动计划和上月复盘。</w:t>
      </w:r>
    </w:p>
    <w:p>
      <w:pPr>
        <w:pStyle w:val="Heading2"/>
        <w:keepNext/>
      </w:pPr>
      <w:r>
        <w:t>写作要求</w:t>
      </w:r>
    </w:p>
    <w:p>
      <w:pPr>
        <w:spacing w:after="100" w:line="300" w:lineRule="auto"/>
      </w:pPr>
      <w:r>
        <w:t>每段采用事实、拆解、业务原因、判断、风险和行动顺序。图表标题直接说明问题。</w:t>
      </w:r>
    </w:p>
    <w:p>
      <w:pPr>
        <w:pStyle w:val="Heading2"/>
        <w:keepNext/>
      </w:pPr>
      <w:r>
        <w:t>优秀示例</w:t>
      </w:r>
    </w:p>
    <w:p>
      <w:pPr>
        <w:spacing w:after="100" w:line="300" w:lineRule="auto"/>
      </w:pPr>
      <w:r>
        <w:t>销售费用增加600万元但费用率下降。新增费用主要用于渠道扩张；渠道收入增长50%，但DSO和退货率上升。建议把渠道奖励从发货额调整为终端销量与回款。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推荐图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必须回答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核心结论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收入利润现金风险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KPI卡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最重要的三到五件事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收入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PVM及结构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瀑布/堆积柱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增长来自哪里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毛利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价格结构成本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瀑布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下降因素各多少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营运资金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DSO DIO DPO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趋势/分层柱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资金在哪里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现金流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净利润到现金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瀑布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利润为何未变现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行动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责任人期限目标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跟踪表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下月如何复盘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第20章 分析图表选择</w:t>
      </w:r>
    </w:p>
    <w:p>
      <w:pPr>
        <w:spacing w:after="100" w:line="300" w:lineRule="auto"/>
      </w:pPr>
      <w:r>
        <w:t>图表服务于管理问题，而不是装饰。</w:t>
      </w:r>
    </w:p>
    <w:p>
      <w:pPr>
        <w:pStyle w:val="Heading2"/>
        <w:keepNext/>
      </w:pPr>
      <w:r>
        <w:t>选择规则</w:t>
      </w:r>
    </w:p>
    <w:p>
      <w:pPr>
        <w:spacing w:after="100" w:line="300" w:lineRule="auto"/>
      </w:pPr>
      <w:r>
        <w:t>趋势用折线；预算实际用柱状；结构用堆积柱；因素贡献用瀑布；产品增长和毛利用散点；账龄库龄用分层柱。</w:t>
      </w:r>
    </w:p>
    <w:p>
      <w:pPr>
        <w:pStyle w:val="Heading2"/>
        <w:keepNext/>
      </w:pPr>
      <w:r>
        <w:t>图表控制</w:t>
      </w:r>
    </w:p>
    <w:p>
      <w:pPr>
        <w:spacing w:after="100" w:line="300" w:lineRule="auto"/>
      </w:pPr>
      <w:r>
        <w:t>一张图回答一个问题；类别过多时只展示重要项目；坐标、期间、单位和口径必须明确。</w:t>
      </w:r>
    </w:p>
    <w:p>
      <w:r>
        <w:br w:type="page"/>
      </w:r>
    </w:p>
    <w:p>
      <w:pPr>
        <w:pStyle w:val="Heading1"/>
        <w:keepNext/>
      </w:pPr>
      <w:r>
        <w:t>第21章 财务分析常见错误</w:t>
      </w:r>
    </w:p>
    <w:p>
      <w:pPr>
        <w:spacing w:after="100" w:line="300" w:lineRule="auto"/>
      </w:pPr>
      <w:r>
        <w:t>浅层分析通常来自口径不清、没有下钻或没有验证。</w:t>
      </w:r>
    </w:p>
    <w:p>
      <w:pPr>
        <w:pStyle w:val="Heading2"/>
        <w:keepNext/>
      </w:pPr>
      <w:r>
        <w:t>高频错误</w:t>
      </w:r>
    </w:p>
    <w:p>
      <w:pPr>
        <w:spacing w:after="100" w:line="300" w:lineRule="auto"/>
      </w:pPr>
      <w:r>
        <w:t>只同比不拆原因；只看金额不看结构；只看利润不看现金；把相关性当因果；忽略基数、季节、汇率和政策变化；预算本身不合理却机械分析；用期末余额计算周转率；Bridge没有残差；建议没有责任人。</w:t>
      </w:r>
    </w:p>
    <w:p>
      <w:pPr>
        <w:pStyle w:val="Heading2"/>
        <w:keepNext/>
      </w:pPr>
      <w:r>
        <w:t>纠正方法</w:t>
      </w:r>
    </w:p>
    <w:p>
      <w:pPr>
        <w:spacing w:after="100" w:line="300" w:lineRule="auto"/>
      </w:pPr>
      <w:r>
        <w:t>在分析底稿中强制设置口径栏、来源栏、待验证栏和行动闭环栏。</w:t>
      </w:r>
    </w:p>
    <w:p>
      <w:r>
        <w:br w:type="page"/>
      </w:r>
    </w:p>
    <w:p>
      <w:pPr>
        <w:pStyle w:val="Heading1"/>
        <w:keepNext/>
      </w:pPr>
      <w:r>
        <w:t>第22章 贯穿案例经营会议报告</w:t>
      </w:r>
    </w:p>
    <w:p>
      <w:pPr>
        <w:spacing w:after="100" w:line="300" w:lineRule="auto"/>
      </w:pPr>
      <w:r>
        <w:t>深圳拓维2026年表现为收入增长、毛利下降、库存和应收增加、现金流恶化，同时耗材占比和研发投入提高。</w:t>
      </w:r>
    </w:p>
    <w:p>
      <w:pPr>
        <w:pStyle w:val="Heading2"/>
        <w:keepNext/>
      </w:pPr>
      <w:r>
        <w:t>核心判断</w:t>
      </w:r>
    </w:p>
    <w:p>
      <w:pPr>
        <w:spacing w:after="100" w:line="300" w:lineRule="auto"/>
      </w:pPr>
      <w:r>
        <w:t>收入增长质量弱于表面增速。耗材增长有长期价值，但硬件降价、树脂良率和产能吸收压低当期毛利。库存与应收共同造成现金缺口。</w:t>
      </w:r>
    </w:p>
    <w:p>
      <w:pPr>
        <w:pStyle w:val="Heading2"/>
        <w:keepNext/>
      </w:pPr>
      <w:r>
        <w:t>短期因素</w:t>
      </w:r>
    </w:p>
    <w:p>
      <w:pPr>
        <w:spacing w:after="100" w:line="300" w:lineRule="auto"/>
      </w:pPr>
      <w:r>
        <w:t>新品爬坡、树脂良率、部分战略备货，可通过生产改善和库存消化缓解。</w:t>
      </w:r>
    </w:p>
    <w:p>
      <w:pPr>
        <w:pStyle w:val="Heading2"/>
        <w:keepNext/>
      </w:pPr>
      <w:r>
        <w:t>结构性因素</w:t>
      </w:r>
    </w:p>
    <w:p>
      <w:pPr>
        <w:spacing w:after="100" w:line="300" w:lineRule="auto"/>
      </w:pPr>
      <w:r>
        <w:t>渠道账期延长、桌面机价格压力、扩产节奏快于需求，需要调整商业政策和产能计划。</w:t>
      </w:r>
    </w:p>
    <w:p>
      <w:pPr>
        <w:pStyle w:val="Heading2"/>
        <w:keepNext/>
      </w:pPr>
      <w:r>
        <w:t>行动计划</w:t>
      </w:r>
    </w:p>
    <w:p>
      <w:pPr>
        <w:spacing w:after="100" w:line="300" w:lineRule="auto"/>
      </w:pPr>
      <w:r>
        <w:t>销售按终端销量和回款重设渠道奖励；生产改善前三大缺陷；供应链冻结无订单慢动SKU采购；研发按里程碑分级项目；财务每月复盘毛利Bridge和CCC。</w:t>
      </w:r>
    </w:p>
    <w:p>
      <w:r>
        <w:br w:type="page"/>
      </w:r>
    </w:p>
    <w:p>
      <w:pPr>
        <w:pStyle w:val="Heading1"/>
        <w:keepNext/>
      </w:pPr>
      <w:r>
        <w:t>附录A 月度分析取数责任矩阵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系统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责任部门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财务核对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更新频率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收入与成本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ERP/GL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财务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与总账和产品明细勾稽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订单和客户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CRM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销售运营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订单转收入及客户口径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周/月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产量良率工时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MES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生产/质量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与完工入库和成本核对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日/月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库存和库龄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WMS/ERP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供应链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与总账存货及盘点核对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周/月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采购价格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采购系统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采购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与发票和标准成本核对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回款和逾期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AR/银行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销售/财务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与银行及客户核销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周/月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附录B 数据与公式检查清单</w:t>
      </w:r>
    </w:p>
    <w:p>
      <w:pPr>
        <w:pStyle w:val="ListBullet"/>
        <w:spacing w:after="40"/>
      </w:pPr>
      <w:r>
        <w:t>所有金额使用同一币种和含税/不含税口径。</w:t>
      </w:r>
    </w:p>
    <w:p>
      <w:pPr>
        <w:pStyle w:val="ListBullet"/>
        <w:spacing w:after="40"/>
      </w:pPr>
      <w:r>
        <w:t>销量、价格和收入能够相乘勾稽。</w:t>
      </w:r>
    </w:p>
    <w:p>
      <w:pPr>
        <w:pStyle w:val="ListBullet"/>
        <w:spacing w:after="40"/>
      </w:pPr>
      <w:r>
        <w:t>PVM、毛利Bridge和现金流Bridge残差为零。</w:t>
      </w:r>
    </w:p>
    <w:p>
      <w:pPr>
        <w:pStyle w:val="ListBullet"/>
        <w:spacing w:after="40"/>
      </w:pPr>
      <w:r>
        <w:t>周转率优先使用平均余额和匹配的收入、成本或采购额。</w:t>
      </w:r>
    </w:p>
    <w:p>
      <w:pPr>
        <w:pStyle w:val="ListBullet"/>
        <w:spacing w:after="40"/>
      </w:pPr>
      <w:r>
        <w:t>新产品、退出产品和并购范围变化单独处理。</w:t>
      </w:r>
    </w:p>
    <w:p>
      <w:pPr>
        <w:pStyle w:val="ListBullet"/>
        <w:spacing w:after="40"/>
      </w:pPr>
      <w:r>
        <w:t>事实、业务信息、判断和待验证事项分开记录。</w:t>
      </w:r>
    </w:p>
    <w:p>
      <w:pPr>
        <w:pStyle w:val="ListBullet"/>
        <w:spacing w:after="40"/>
      </w:pPr>
      <w:r>
        <w:t>每项建议设置责任人、截止日期、目标值和复盘证据。</w:t>
      </w:r>
    </w:p>
    <w:p>
      <w:pPr>
        <w:pStyle w:val="Heading1"/>
        <w:keepNext/>
      </w:pPr>
      <w:r>
        <w:t>附录C 主要资料来源</w:t>
      </w:r>
    </w:p>
    <w:p>
      <w:pPr>
        <w:spacing w:after="100" w:line="300" w:lineRule="auto"/>
      </w:pPr>
      <w:r>
        <w:t>国家统计局：《2025年全国规模以上工业企业利润增长0.6%》，用于工业行业营业收入、营业成本和宏观周转指标。https://www.stats.gov.cn/zwfwck/sjfb/202601/t20260127_1962382.html</w:t>
      </w:r>
    </w:p>
    <w:p>
      <w:pPr>
        <w:spacing w:after="100" w:line="300" w:lineRule="auto"/>
      </w:pPr>
      <w:r>
        <w:t>上海证券交易所和深圳证券交易所上市公司定期报告，用于后续维护可比公司样本。https://www.sse.com.cn/disclosure/listedinfo/periodic/ ；https://www.szse.cn/disclosure/listed/fixed/index.html</w:t>
      </w:r>
    </w:p>
    <w:p>
      <w:pPr>
        <w:spacing w:after="100" w:line="300" w:lineRule="auto"/>
      </w:pPr>
      <w:r>
        <w:t>证监会上市公司行业分类及年度报告披露规则，用于行业分类和披露口径。https://www.csrc.gov.cn/csrc/c100028/c7520295/content.shtml</w:t>
      </w:r>
    </w:p>
    <w:p>
      <w:r>
        <w:br w:type="page"/>
      </w:r>
    </w:p>
    <w:p>
      <w:pPr>
        <w:pStyle w:val="Heading1"/>
        <w:keepNext/>
      </w:pPr>
      <w:r>
        <w:t>附录D 财务异常诊断实战卡</w:t>
      </w:r>
    </w:p>
    <w:p>
      <w:pPr>
        <w:spacing w:after="100" w:line="300" w:lineRule="auto"/>
      </w:pPr>
      <w:r>
        <w:t>实战卡用于决定下一步查什么，不直接替代业务访谈和数据验证。每个问题先核对财务口径，再按责任对象下钻。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异常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分析路径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验证数据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沟通部门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完成标准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收入同比下降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产品/客户/渠道/地区/PVM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订单、取消、出货、签收、终端库存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销售运营、物流、CRM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区分需求下降、交付延迟和收入截止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收入增长但毛利下降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价格、Mix、材料、良率、产能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成交价、BOM、采购价、良率、工时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销售、采购、生产、质量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量化每项对毛利率的百分点影响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毛利额增长但毛利率下降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销量贡献与单位盈利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产品贡献毛利和结构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销售、成本会计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判断规模增长能否弥补单位盈利下降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销售费用率下降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费用增长与收入质量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新增渠道收入、回款、退货、费用归属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销售、财务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费用率改善不代表投入产出健康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研发费用快速增长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人员、项目、外包、设备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工时、里程碑、版本、项目预算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研发PMO、人力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区分战略投入、低效项目和进度延误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应收增长快于收入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账期、逾期、客户结构、截止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合同信用期、逐户账龄、期后回款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销售、AR、法务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量化DSO和逾期客户贡献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异常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分析路径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验证数据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沟通部门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完成标准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存货增长快于销售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原料、在品、成品、发出商品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S&amp;OP、订单、工单、库龄、BOM需求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供应链、生产、销售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区分战略库存和需求预测失误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经营现金流低于净利润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应收、存货、预付、应付、税费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现金流Bridge和科目明细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财务及各业务部门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查清其他经营项目，禁止大额黑箱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产能利用率下降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有效产能、实际产量、停机、换线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标准工时、排产、设备日志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生产、设备、计划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理论产能不能直接作为分母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良率下降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产品、产线、工序、缺陷类型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MES、报废单、返工、材料批次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质量、生产、采购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量化材料、人工和产能三类影响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DPO上升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采购增长、账期、延迟付款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供应商账龄、合同、逾期清单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采购、AP、资金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避免把违约付款当作管理改善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耗材收入占比提高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装机、激活、复购、价格、渠道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设备序列号、活跃设备、耗材订单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客户成功、销售、售后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识别真实复购和渠道压货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附录E 月度经营会议报告样稿</w:t>
      </w:r>
    </w:p>
    <w:p>
      <w:pPr>
        <w:pStyle w:val="Heading2"/>
        <w:keepNext/>
      </w:pPr>
      <w:r>
        <w:t>一 核心结论</w:t>
      </w:r>
    </w:p>
    <w:p>
      <w:pPr>
        <w:spacing w:after="100" w:line="300" w:lineRule="auto"/>
      </w:pPr>
      <w:r>
        <w:t>【事实】2026年预测收入4.50亿元，低于预算3,000万元；综合毛利率34.5%，低于预算4.5个百分点；期末存货1.18亿元、应收1.02亿元，经营现金流仅500万元。</w:t>
      </w:r>
    </w:p>
    <w:p>
      <w:pPr>
        <w:spacing w:after="100" w:line="300" w:lineRule="auto"/>
      </w:pPr>
      <w:r>
        <w:t>【判断】收入缺口并非所有业务同时转弱，主要集中在桌面机和部分经销商。耗材和专业机仍增长。利润压力来自降价、结构、材料、良率和产能利用率。现金压力同时来自库存和应收。</w:t>
      </w:r>
    </w:p>
    <w:p>
      <w:pPr>
        <w:spacing w:after="100" w:line="300" w:lineRule="auto"/>
      </w:pPr>
      <w:r>
        <w:t>【风险】若渠道去库存和新品低良率延续两个季度，公司将同时面临毛利下降、存货减值和短期融资增加。</w:t>
      </w:r>
    </w:p>
    <w:p>
      <w:pPr>
        <w:spacing w:after="100" w:line="300" w:lineRule="auto"/>
      </w:pPr>
      <w:r>
        <w:t>【行动】销售按终端销量调整促销，质量改善树脂线前三大缺陷，供应链冻结无订单慢动SKU采购，财务按周跟踪TOP10逾期客户。</w:t>
      </w:r>
    </w:p>
    <w:p>
      <w:pPr>
        <w:pStyle w:val="Heading2"/>
        <w:keepNext/>
      </w:pPr>
      <w:r>
        <w:t>二 收入与毛利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事实及计算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业务解释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待验证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收入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预测4.50亿元，低于预算6.3%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桌面机低于预算，耗材高于预算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渠道库存和终端销量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按Sell-out调整发货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毛利率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38.0%降至34.5%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价格-0.8、结构-1.2、材料-1.0、良率-0.4、利用率-0.6、新品其他+0.5个百分点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材料合同与树脂缺陷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采购谈判和良率改善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耗材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收入占比22%升至29%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装机和复购增长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活跃设备与兼容耗材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建立设备队列分析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三 营运资金与现金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2025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2026预测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变化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管理含义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DSO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65天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83天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+18天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客户信用和逾期共同占用现金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DIO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82天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121天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+39天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战略备货中混有需求不足和慢动库存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DPO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55天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63天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+8天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部分来自采购增长，部分来自延迟付款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CCC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92天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141天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+49天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增长所需资金明显上升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经营现金流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4,500万元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500万元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-4,000万元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利润没有形成现金，融资需求增加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四 行动跟踪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行动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责任人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期限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目标值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复盘证据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TOP10客户回款计划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销售总监/财务经理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2026-09-30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逾期余额下降20%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银行到账及应收核销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树脂线缺陷改善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质量总监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2026-10-10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良率达到95%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MES良率及报废原因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慢动库存采购冻结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供应链总监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2026-09-18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180天以上库存下降15%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库龄和采购订单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促销经济性复盘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销售运营/财务BP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2026-09-20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促销增量贡献毛利为正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价格销量和退货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附录F 财务分析岗位面试题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面试官为什么问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合格答案应体现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收入增长但经营现金流下降，你怎么分析？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考察三张报表联动和业务下钻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从净利润到现金Bridge定位应收、库存、预付、应付，再拆客户和SKU，并区分增长占用与异常占用。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毛利率下降如何定位原因？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考察成本和经营理解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先做价格与结构，再做材料、人工、制造费用、良率、利用率和新品；所有影响勾稽到总变化。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预算完成率105%是否说明经营良好？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考察批判性判断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先评估预算质量，再看收入结构、毛利、现金、一次性订单和未来透支。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存货增加40%是否一定不好？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考察供应链分析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拆原料、在品、成品和库龄，结合订单、战略备货、产能爬坡和滞销判断。</w:t>
            </w:r>
          </w:p>
        </w:tc>
      </w:tr>
      <w:t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如何证明你的分析原因不是猜测？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考察证据意识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6"/>
              </w:rPr>
              <w:t>明确事实、业务信息和判断；列取数来源、业务确认人、量化贡献和待验证事项。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企业财务分析与经营分析实战手册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企业财务分析与经营分析实战手册</dc:title>
  <dc:subject>财务报表分析 经营分析 财务BP</dc:subject>
  <dc:creator>企业财务实操知识库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