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00"/>
      </w:pPr>
    </w:p>
    <w:p>
      <w:pPr>
        <w:pStyle w:val="Title"/>
        <w:jc w:val="center"/>
      </w:pPr>
      <w:r>
        <w:t>入职30、60、90天实战手册</w:t>
      </w:r>
    </w:p>
    <w:p>
      <w:pPr>
        <w:jc w:val="center"/>
      </w:pPr>
      <w:r>
        <w:rPr>
          <w:b/>
          <w:sz w:val="34"/>
        </w:rPr>
        <w:t>从第一天到独立月结和小范围改善</w:t>
      </w:r>
    </w:p>
    <w:p>
      <w:pPr>
        <w:spacing w:after="1300"/>
      </w:pPr>
    </w:p>
    <w:p>
      <w:pPr>
        <w:jc w:val="center"/>
      </w:pPr>
      <w:r>
        <w:t>适用岗位：总账会计、财务主管</w:t>
      </w:r>
    </w:p>
    <w:p>
      <w:pPr>
        <w:jc w:val="center"/>
      </w:pPr>
      <w:r>
        <w:t>版本日期：2026年9月10日</w:t>
      </w:r>
    </w:p>
    <w:p>
      <w:pPr>
        <w:jc w:val="center"/>
      </w:pPr>
      <w:r>
        <w:t>原则：真实表达审计经历，不虚构企业执行经验</w:t>
      </w:r>
    </w:p>
    <w:p>
      <w:r>
        <w:br w:type="page"/>
      </w:r>
    </w:p>
    <w:p>
      <w:pPr>
        <w:pStyle w:val="Title"/>
      </w:pPr>
      <w:r>
        <w:t>使用说明</w:t>
      </w:r>
    </w:p>
    <w:p>
      <w:r>
        <w:t>前30天重点是看懂公司，不急于证明自己或全面改革。历史问题按资金、税务、报表、月结和法律风险排序。</w:t>
      </w:r>
    </w:p>
    <w:p>
      <w:pPr>
        <w:pStyle w:val="Title"/>
      </w:pPr>
      <w:r>
        <w:t>目录</w:t>
      </w:r>
    </w:p>
    <w:p>
      <w:fldSimple w:instr="TOC \o &quot;1-3&quot; \h \z \u"/>
    </w:p>
    <w:p>
      <w:r>
        <w:br w:type="page"/>
      </w:r>
    </w:p>
    <w:p>
      <w:pPr>
        <w:pStyle w:val="Title"/>
      </w:pPr>
      <w:r>
        <w:t>第1章 Day 1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事项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具体动作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当天成果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汇报线和团队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确认直接上级、模块Owner和备岗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联系人清单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账号权限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申请ERP、OA、邮箱和共享盘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可登录但不索要他人密码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主体业务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了解法人、产品、收入采购生产模式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一页业务图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月结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取得Close Calendar和本月状态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最近截止和紧急事项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风险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询问当前最需要新员工解决的问题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Top 3问题</w:t>
            </w:r>
          </w:p>
        </w:tc>
      </w:tr>
    </w:tbl>
    <w:p>
      <w:pPr>
        <w:spacing w:after="0"/>
      </w:pPr>
    </w:p>
    <w:p>
      <w:pPr>
        <w:pStyle w:val="Title"/>
      </w:pPr>
      <w:r>
        <w:t>第2章 Week 1资料和验证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资料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验证动作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必须马上看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最近TB、报表、月结清单、资金和紧急Issue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从TB追一项到明细和原始单据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第一周看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科目表、账龄、暂估、预提、税务、存货、成本、固定资产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完成一项模块与GL核对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第一个月逐步看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借款、关联方、审计报告、审计调整、制度和历史问题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形成风险排序</w:t>
            </w:r>
          </w:p>
        </w:tc>
      </w:tr>
    </w:tbl>
    <w:p>
      <w:pPr>
        <w:spacing w:after="0"/>
      </w:pPr>
    </w:p>
    <w:p>
      <w:pPr>
        <w:pStyle w:val="Title"/>
      </w:pPr>
      <w:r>
        <w:t>第3章 完整30/60/90天计划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124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阶段</w:t>
            </w:r>
          </w:p>
        </w:tc>
        <w:tc>
          <w:tcPr>
            <w:tcW w:type="dxa" w:w="124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目标</w:t>
            </w:r>
          </w:p>
        </w:tc>
        <w:tc>
          <w:tcPr>
            <w:tcW w:type="dxa" w:w="124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任务</w:t>
            </w:r>
          </w:p>
        </w:tc>
        <w:tc>
          <w:tcPr>
            <w:tcW w:type="dxa" w:w="124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交付</w:t>
            </w:r>
          </w:p>
        </w:tc>
        <w:tc>
          <w:tcPr>
            <w:tcW w:type="dxa" w:w="124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认识谁</w:t>
            </w:r>
          </w:p>
        </w:tc>
        <w:tc>
          <w:tcPr>
            <w:tcW w:type="dxa" w:w="124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取得数据</w:t>
            </w:r>
          </w:p>
        </w:tc>
        <w:tc>
          <w:tcPr>
            <w:tcW w:type="dxa" w:w="124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风险</w:t>
            </w:r>
          </w:p>
        </w:tc>
        <w:tc>
          <w:tcPr>
            <w:tcW w:type="dxa" w:w="1246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成功标准</w:t>
            </w:r>
          </w:p>
        </w:tc>
      </w:tr>
      <w:tr>
        <w:tc>
          <w:tcPr>
            <w:tcW w:type="dxa" w:w="1246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1-30天</w:t>
            </w:r>
          </w:p>
        </w:tc>
        <w:tc>
          <w:tcPr>
            <w:tcW w:type="dxa" w:w="1246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看懂公司</w:t>
            </w:r>
          </w:p>
        </w:tc>
        <w:tc>
          <w:tcPr>
            <w:tcW w:type="dxa" w:w="1246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业务、产品、系统、团队、月结、税务、报表和主要风险</w:t>
            </w:r>
          </w:p>
        </w:tc>
        <w:tc>
          <w:tcPr>
            <w:tcW w:type="dxa" w:w="1246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业务财务全景、月结地图、Top10风险</w:t>
            </w:r>
          </w:p>
        </w:tc>
        <w:tc>
          <w:tcPr>
            <w:tcW w:type="dxa" w:w="1246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业务负责人、各财务模块、IT</w:t>
            </w:r>
          </w:p>
        </w:tc>
        <w:tc>
          <w:tcPr>
            <w:tcW w:type="dxa" w:w="1246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最近12个月TB和报表、关键台账</w:t>
            </w:r>
          </w:p>
        </w:tc>
        <w:tc>
          <w:tcPr>
            <w:tcW w:type="dxa" w:w="1246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急于改革、误解历史处理</w:t>
            </w:r>
          </w:p>
        </w:tc>
        <w:tc>
          <w:tcPr>
            <w:tcW w:type="dxa" w:w="1246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能解释账如何形成</w:t>
            </w:r>
          </w:p>
        </w:tc>
      </w:tr>
      <w:tr>
        <w:tc>
          <w:tcPr>
            <w:tcW w:type="dxa" w:w="124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31-60天</w:t>
            </w:r>
          </w:p>
        </w:tc>
        <w:tc>
          <w:tcPr>
            <w:tcW w:type="dxa" w:w="124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开始独立</w:t>
            </w:r>
          </w:p>
        </w:tc>
        <w:tc>
          <w:tcPr>
            <w:tcW w:type="dxa" w:w="124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独立完成一次月结、主要科目核对、理解申报和报表</w:t>
            </w:r>
          </w:p>
        </w:tc>
        <w:tc>
          <w:tcPr>
            <w:tcW w:type="dxa" w:w="124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月结包、对账底稿、Issue Log</w:t>
            </w:r>
          </w:p>
        </w:tc>
        <w:tc>
          <w:tcPr>
            <w:tcW w:type="dxa" w:w="124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税务、成本、仓库、销售采购</w:t>
            </w:r>
          </w:p>
        </w:tc>
        <w:tc>
          <w:tcPr>
            <w:tcW w:type="dxa" w:w="124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模块报表、申报和期后数据</w:t>
            </w:r>
          </w:p>
        </w:tc>
        <w:tc>
          <w:tcPr>
            <w:tcW w:type="dxa" w:w="124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关键路径延误</w:t>
            </w:r>
          </w:p>
        </w:tc>
        <w:tc>
          <w:tcPr>
            <w:tcW w:type="dxa" w:w="1246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3"/>
              </w:rPr>
              <w:t>在复核下稳定完成月结</w:t>
            </w:r>
          </w:p>
        </w:tc>
      </w:tr>
      <w:tr>
        <w:tc>
          <w:tcPr>
            <w:tcW w:type="dxa" w:w="1246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61-90天</w:t>
            </w:r>
          </w:p>
        </w:tc>
        <w:tc>
          <w:tcPr>
            <w:tcW w:type="dxa" w:w="1246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小范围改善</w:t>
            </w:r>
          </w:p>
        </w:tc>
        <w:tc>
          <w:tcPr>
            <w:tcW w:type="dxa" w:w="1246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清理高风险历史问题，选择2-3项流程优化</w:t>
            </w:r>
          </w:p>
        </w:tc>
        <w:tc>
          <w:tcPr>
            <w:tcW w:type="dxa" w:w="1246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Action Plan和效果指标</w:t>
            </w:r>
          </w:p>
        </w:tc>
        <w:tc>
          <w:tcPr>
            <w:tcW w:type="dxa" w:w="1246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流程Owner和IT</w:t>
            </w:r>
          </w:p>
        </w:tc>
        <w:tc>
          <w:tcPr>
            <w:tcW w:type="dxa" w:w="1246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逾期、返工和异常数据</w:t>
            </w:r>
          </w:p>
        </w:tc>
        <w:tc>
          <w:tcPr>
            <w:tcW w:type="dxa" w:w="1246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改革范围过大</w:t>
            </w:r>
          </w:p>
        </w:tc>
        <w:tc>
          <w:tcPr>
            <w:tcW w:type="dxa" w:w="1246"/>
            <w:vAlign w:val="center"/>
          </w:tcPr>
          <w:p>
            <w:pPr>
              <w:spacing w:after="0" w:line="245" w:lineRule="auto"/>
            </w:pPr>
            <w:r>
              <w:rPr>
                <w:sz w:val="13"/>
              </w:rPr>
              <w:t>改进可实施且不破坏现有控制</w:t>
            </w:r>
          </w:p>
        </w:tc>
      </w:tr>
    </w:tbl>
    <w:p>
      <w:pPr>
        <w:spacing w:after="0"/>
      </w:pPr>
    </w:p>
    <w:p>
      <w:pPr>
        <w:pStyle w:val="Title"/>
      </w:pPr>
      <w:r>
        <w:t>第4章 第一次月结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问题与动作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新人原则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T-5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取得日历、确认Owner和关键路径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不重新设计流程；先跟随历史机制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T-3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暂估迟交、验收缺失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列缺口、找采购销售、确认金额和时限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T-1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负库存、工单未关、工资修改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判断阻断项；升级仓库生产HR负责人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T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业务截止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例外必须有原因、批准、期限和补救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T+1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回款未认领、资产未转固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AR/资金认领；资产与使用部门确认状态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T+2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税务差异、应付借方、长期未达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查业务实质、账票税和银行证据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T+3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报表和锁账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复核重大调整、重分类、勾稽和未决事项</w:t>
            </w:r>
          </w:p>
        </w:tc>
      </w:tr>
    </w:tbl>
    <w:p>
      <w:pPr>
        <w:spacing w:after="0"/>
      </w:pPr>
    </w:p>
    <w:p>
      <w:pPr>
        <w:pStyle w:val="Title"/>
      </w:pPr>
      <w:r>
        <w:t>第5章 接手历史烂账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先做</w:t>
            </w:r>
          </w:p>
        </w:tc>
        <w:tc>
          <w:tcPr>
            <w:tcW w:type="dxa" w:w="332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不要做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第一天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保护数据和权限；了解资金、申报、月结和重大风险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批量冲销、改科目、删除资料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第一周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银行、税务、TB、审计调整、权限和重大往来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承诺短期清完所有问题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第一个月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按资金/税务/报表/法律/持续扩大排序</w:t>
            </w:r>
          </w:p>
        </w:tc>
        <w:tc>
          <w:tcPr>
            <w:tcW w:type="dxa" w:w="3324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平均用力处理所有小差异</w:t>
            </w:r>
          </w:p>
        </w:tc>
      </w:tr>
      <w:tr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后续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逐项Owner、期限、方案、复核和Closure</w:t>
            </w:r>
          </w:p>
        </w:tc>
        <w:tc>
          <w:tcPr>
            <w:tcW w:type="dxa" w:w="3324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问题解决后不做根因分析</w:t>
            </w:r>
          </w:p>
        </w:tc>
      </w:tr>
    </w:tbl>
    <w:p>
      <w:pPr>
        <w:spacing w:after="0"/>
      </w:pPr>
    </w:p>
    <w:p>
      <w:pPr>
        <w:pStyle w:val="Title"/>
      </w:pPr>
      <w:r>
        <w:t>第6章 成熟企业接岗</w:t>
      </w:r>
    </w:p>
    <w:p>
      <w:r>
        <w:t>ERP成熟、月结T+3和分工清晰的企业，更强调按流程快速执行、异常分析、系统控制、风险复核和流程优化。新人应先掌握SOP、接口、报表口径和服务水平，不要把成熟流程改成个人Excel。</w:t>
      </w:r>
    </w:p>
    <w:p>
      <w:pPr>
        <w:pStyle w:val="Title"/>
      </w:pPr>
      <w:r>
        <w:t>第7章 不会怎么办</w:t>
      </w:r>
    </w:p>
    <w:p>
      <w:pPr>
        <w:pStyle w:val="ListBullet"/>
      </w:pPr>
      <w:r>
        <w:t>确认事实和问题边界。</w:t>
      </w:r>
    </w:p>
    <w:p>
      <w:pPr>
        <w:pStyle w:val="ListBullet"/>
      </w:pPr>
      <w:r>
        <w:t>查公司制度、会计政策和系统流程。</w:t>
      </w:r>
    </w:p>
    <w:p>
      <w:pPr>
        <w:pStyle w:val="ListBullet"/>
      </w:pPr>
      <w:r>
        <w:t>查适用准则或税法及执行日期。</w:t>
      </w:r>
    </w:p>
    <w:p>
      <w:pPr>
        <w:pStyle w:val="ListBullet"/>
      </w:pPr>
      <w:r>
        <w:t>查看历史处理但不盲从。</w:t>
      </w:r>
    </w:p>
    <w:p>
      <w:pPr>
        <w:pStyle w:val="ListBullet"/>
      </w:pPr>
      <w:r>
        <w:t>咨询业务、内部专业人员、IT、税务顾问、审计师或律师。</w:t>
      </w:r>
    </w:p>
    <w:p>
      <w:pPr>
        <w:pStyle w:val="ListBullet"/>
      </w:pPr>
      <w:r>
        <w:t>形成书面判断并经适当人员复核后处理。</w:t>
      </w:r>
    </w:p>
    <w:p>
      <w:pPr>
        <w:pStyle w:val="Title"/>
      </w:pPr>
      <w:r>
        <w:t>第8章 个人补缺清单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能力</w:t>
            </w:r>
          </w:p>
        </w:tc>
        <w:tc>
          <w:tcPr>
            <w:tcW w:type="dxa" w:w="2493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当前基础</w:t>
            </w:r>
          </w:p>
        </w:tc>
        <w:tc>
          <w:tcPr>
            <w:tcW w:type="dxa" w:w="2493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补强方式</w:t>
            </w:r>
          </w:p>
        </w:tc>
        <w:tc>
          <w:tcPr>
            <w:tcW w:type="dxa" w:w="2493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真正熟练的条件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报表、科目、审计风险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较好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转换为企业处理和Closure表达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参与真实月结</w:t>
            </w:r>
          </w:p>
        </w:tc>
      </w:tr>
      <w:tr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ERP操作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不足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视频/沙盘/模拟单据链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在真实权限环境反复操作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税务申报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不足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练账票税桥和官方申报资料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至少参与一轮申报</w:t>
            </w:r>
          </w:p>
        </w:tc>
      </w:tr>
      <w:tr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制造成本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不足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工单/BOM/在制/分配案例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参与成本月结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资金银行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一般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银行调节和支付控制案例</w:t>
            </w:r>
          </w:p>
        </w:tc>
        <w:tc>
          <w:tcPr>
            <w:tcW w:type="dxa" w:w="2493"/>
            <w:vAlign w:val="center"/>
          </w:tcPr>
          <w:p>
            <w:pPr>
              <w:spacing w:after="0" w:line="245" w:lineRule="auto"/>
            </w:pPr>
            <w:r>
              <w:rPr>
                <w:sz w:val="14"/>
              </w:rPr>
              <w:t>接触真实银企流程</w:t>
            </w:r>
          </w:p>
        </w:tc>
      </w:tr>
      <w:tr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跨部门推进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较好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把审计沟通转为Owner/期限/关闭</w:t>
            </w:r>
          </w:p>
        </w:tc>
        <w:tc>
          <w:tcPr>
            <w:tcW w:type="dxa" w:w="2493"/>
            <w:vAlign w:val="center"/>
            <w:shd w:fill="F3F6F9"/>
          </w:tcPr>
          <w:p>
            <w:pPr>
              <w:spacing w:after="0" w:line="245" w:lineRule="auto"/>
            </w:pPr>
            <w:r>
              <w:rPr>
                <w:sz w:val="14"/>
              </w:rPr>
              <w:t>承担企业Issue</w:t>
            </w:r>
          </w:p>
        </w:tc>
      </w:tr>
    </w:tbl>
    <w:p>
      <w:pPr>
        <w:spacing w:after="0"/>
      </w:pPr>
    </w:p>
    <w:p>
      <w:pPr>
        <w:pStyle w:val="Title"/>
      </w:pPr>
      <w:r>
        <w:t>附录 90天复盘问题</w:t>
      </w:r>
    </w:p>
    <w:p>
      <w:pPr>
        <w:pStyle w:val="ListBullet"/>
      </w:pPr>
      <w:r>
        <w:t>我能否解释主要业务如何进入GL？</w:t>
      </w:r>
    </w:p>
    <w:p>
      <w:pPr>
        <w:pStyle w:val="ListBullet"/>
      </w:pPr>
      <w:r>
        <w:t>是否独立完成过一次月结并保留证据？</w:t>
      </w:r>
    </w:p>
    <w:p>
      <w:pPr>
        <w:pStyle w:val="ListBullet"/>
      </w:pPr>
      <w:r>
        <w:t>哪些能力仍需复核或帮助？</w:t>
      </w:r>
    </w:p>
    <w:p>
      <w:pPr>
        <w:pStyle w:val="ListBullet"/>
      </w:pPr>
      <w:r>
        <w:t>Top10风险是否有Owner和期限？</w:t>
      </w:r>
    </w:p>
    <w:p>
      <w:pPr>
        <w:pStyle w:val="ListBullet"/>
      </w:pPr>
      <w:r>
        <w:t>提出的改进是否少量、明确、可实施？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入职30、60、90天实战手册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