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企业存货管理实战手册</w:t>
      </w:r>
    </w:p>
    <w:p>
      <w:pPr>
        <w:pStyle w:val="Subtitle"/>
        <w:jc w:val="center"/>
      </w:pPr>
      <w:r>
        <w:t>财务主管 / 财务经理视角</w:t>
      </w:r>
    </w:p>
    <w:p/>
    <w:p>
      <w:pPr>
        <w:jc w:val="center"/>
      </w:pPr>
      <w:r>
        <w:rPr>
          <w:b/>
        </w:rPr>
        <w:t>版本日期：2026年9月12日</w:t>
      </w:r>
    </w:p>
    <w:p>
      <w:pPr>
        <w:spacing w:after="80" w:line="278" w:lineRule="auto"/>
      </w:pPr>
      <w:r>
        <w:t>贯穿案例：华辰智造科技有限公司。增值税一般纳税人，生产智能控制器和工业网关；深圳总部、东莞工厂，设原料库、线边库、成品库、不良品库、外协仓和第三方仓。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</w:rPr>
              <w:t>【核心结论】</w:t>
            </w:r>
            <w:r>
              <w:t>存货不是财务单独负责的实物，但财务主管必须确保权属、数量、成本、期间、减值和披露可靠，并把业务责任、数据例外、升级和关闭机制真正运行起来。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fldSimple w:instr="TOC \o &quot;1-3&quot; \h \z \u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4706"/>
            <w:shd w:fill="17365D"/>
          </w:tcPr>
          <w:p>
            <w:r>
              <w:rPr>
                <w:b/>
                <w:color w:val="FFFFFF"/>
                <w:sz w:val="16"/>
              </w:rPr>
              <w:t>章节1—10</w:t>
            </w:r>
          </w:p>
        </w:tc>
        <w:tc>
          <w:tcPr>
            <w:tcW w:type="dxa" w:w="4706"/>
            <w:shd w:fill="17365D"/>
          </w:tcPr>
          <w:p>
            <w:r>
              <w:rPr>
                <w:b/>
                <w:color w:val="FFFFFF"/>
                <w:sz w:val="16"/>
              </w:rPr>
              <w:t>章节11—20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1. 存货管理全景与生命周期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11. 周转、余额增长、现金流和管理分析</w:t>
            </w:r>
          </w:p>
        </w:tc>
      </w:tr>
      <w:tr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2. 职责边界、RACI与管理节奏</w:t>
            </w:r>
          </w:p>
        </w:tc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12. 成本流转、单位成本与毛利异常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3. 存货分类、权属与主数据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13. 存货跌价与可变现净值实操</w:t>
            </w:r>
          </w:p>
        </w:tc>
      </w:tr>
      <w:tr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4. 采购入库与三单匹配</w:t>
            </w:r>
          </w:p>
        </w:tc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14. 报废、废料与税务证据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5. 仓库、调拨与ERP权限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15. 舞弊红旗与控制</w:t>
            </w:r>
          </w:p>
        </w:tc>
      </w:tr>
      <w:tr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6. 生产领料、在产品与完工</w:t>
            </w:r>
          </w:p>
        </w:tc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16. 新财务主管接手计划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7. 销售出库、调拨和特殊地点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17. 月末存货结账SOP与Checklist</w:t>
            </w:r>
          </w:p>
        </w:tc>
      </w:tr>
      <w:tr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8. 账、卡、物一致与负库存</w:t>
            </w:r>
          </w:p>
        </w:tc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18. 管理指标与一页汇报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9. 盘点计划、执行与差异关闭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19. 高频实战案例库</w:t>
            </w:r>
          </w:p>
        </w:tc>
      </w:tr>
      <w:tr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10. 库龄、呆滞、安全库存和采购计划</w:t>
            </w:r>
          </w:p>
        </w:tc>
        <w:tc>
          <w:tcPr>
            <w:tcW w:type="dxa" w:w="4706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20. 20%核心知识与工具包使用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第一章 存货管理全景与生命周期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需求预测与采购计划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采购订单和合同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到货、质检和收货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入库、上架和批次管理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领料、退料和生产报工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在产品与完工入库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产成品、发货和客户签收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调拨、外仓和寄售管理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账账、账实核对和盘点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库龄、呆滞和跌价测试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报废、废料出售和终止确认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责任复盘与流程优化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企业类型</w:t>
            </w:r>
          </w:p>
        </w:tc>
        <w:tc>
          <w:tcPr>
            <w:tcW w:type="dxa" w:w="3515"/>
            <w:shd w:fill="17365D"/>
          </w:tcPr>
          <w:p>
            <w:r>
              <w:rPr>
                <w:b/>
                <w:color w:val="FFFFFF"/>
                <w:sz w:val="16"/>
              </w:rPr>
              <w:t>主线</w:t>
            </w:r>
          </w:p>
        </w:tc>
        <w:tc>
          <w:tcPr>
            <w:tcW w:type="dxa" w:w="4195"/>
            <w:shd w:fill="17365D"/>
          </w:tcPr>
          <w:p>
            <w:r>
              <w:rPr>
                <w:b/>
                <w:color w:val="FFFFFF"/>
                <w:sz w:val="16"/>
              </w:rPr>
              <w:t>财务主管重点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制造业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原材料→在产品→半成品→产成品→营业成本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BOM、工单、领退料、WIP、完工、成本分摊和良率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贸易型企业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采购→入库→仓储→销售出库→营业成本</w:t>
            </w:r>
          </w:p>
        </w:tc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SKU、采购价、在途、外仓、截止、库龄和毛利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共同底层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权属+地点+数量+单位成本+状态+期间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总账↔存货模块↔WMS/台账↔实物，例外必须有人关闭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E2F0D9"/>
          </w:tcPr>
          <w:p>
            <w:r>
              <w:rPr>
                <w:b/>
              </w:rPr>
              <w:t>【会计与管理】</w:t>
            </w:r>
            <w:r>
              <w:t>会计人员把凭证、数量、成本和列报做对；财务主管还要解释为什么库存增加、谁造成呆滞、如何释放现金、如何防止再发生。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第二章 职责边界、RACI与管理节奏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4"/>
              </w:rPr>
              <w:t>R（执行/牵头）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4"/>
              </w:rPr>
              <w:t>财务角色</w:t>
            </w:r>
          </w:p>
        </w:tc>
        <w:tc>
          <w:tcPr>
            <w:tcW w:type="dxa" w:w="1417"/>
            <w:shd w:fill="17365D"/>
          </w:tcPr>
          <w:p>
            <w:r>
              <w:rPr>
                <w:b/>
                <w:color w:val="FFFFFF"/>
                <w:sz w:val="14"/>
              </w:rPr>
              <w:t>A（最终负责）</w:t>
            </w:r>
          </w:p>
        </w:tc>
        <w:tc>
          <w:tcPr>
            <w:tcW w:type="dxa" w:w="2608"/>
            <w:shd w:fill="17365D"/>
          </w:tcPr>
          <w:p>
            <w:r>
              <w:rPr>
                <w:b/>
                <w:color w:val="FFFFFF"/>
                <w:sz w:val="14"/>
              </w:rPr>
              <w:t>主要风险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需求预测与销售计划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销售/计划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预测误差、冲量备货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采购计划与订单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计划/采购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超量采购、MOQ失控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到货、质检、入库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仓库/质量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实物已到未入账、虚假入库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库位、保管、收发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仓库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C/I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无单收发、串料、盗损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BOM与工艺用量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研发/工艺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BOM失真、超耗常态化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领料、退料、完工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生产/仓库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先领后补、在产品失真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订单、发货、签收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销售/物流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A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截止错误、发出商品失控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成本计价与账账核对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成本会计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单位成本、接口、分摊错误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盘点组织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仓储负责人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R/C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自盘自认、差异不关闭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呆滞认定与处置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计划/销售/采购/生产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R/C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无人负责、拖延处置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跌价测试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业务提供证据、财务测算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主观操纵、证据不足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报废与废料处置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业务申请、仓库执行</w:t>
            </w:r>
          </w:p>
        </w:tc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R/C</w:t>
            </w:r>
          </w:p>
        </w:tc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假报废、收入截留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主数据与权限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IT/主数据委员会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R/C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I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一物多码、越权删单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现实责任问题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实务答案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存货是不是财务负责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业务部门对预测、采购、使用和处置负责；仓库对保管和收发负责；财务对核算、监督、对账、盘点复核、跌价和风险升级负责。</w:t>
            </w:r>
          </w:p>
        </w:tc>
      </w:tr>
      <w:tr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实物少了是否都是财务责任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直接责任通常在保管和使用链条；财务若长期不对账、不盘点、不升级，也可能承担监督失职。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库存太高是谁的问题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不能归到一个部门。先拆需求预测、采购MOQ、生产计划、销售滞销、产品变更和价格上涨，再指定责任。</w:t>
            </w:r>
          </w:p>
        </w:tc>
      </w:tr>
      <w:tr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盘点由谁盘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仓库/资产管理组织初盘，业务识别状态，财务制定规则、监盘和抽盘，不能由保管人独立完成并自行批准。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业务拒绝盘点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书面列明范围、时点和影响；未盘部分列重大例外并限制调整/处置，逐级升级。财务不代签。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日、周、月、季、年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4535"/>
            <w:shd w:fill="17365D"/>
          </w:tcPr>
          <w:p>
            <w:r>
              <w:rPr>
                <w:b/>
                <w:color w:val="FFFFFF"/>
                <w:sz w:val="16"/>
              </w:rPr>
              <w:t>财务主管看什么</w:t>
            </w:r>
          </w:p>
        </w:tc>
        <w:tc>
          <w:tcPr>
            <w:tcW w:type="dxa" w:w="3742"/>
            <w:shd w:fill="17365D"/>
          </w:tcPr>
          <w:p>
            <w:r>
              <w:rPr>
                <w:b/>
                <w:color w:val="FFFFFF"/>
                <w:sz w:val="16"/>
              </w:rPr>
              <w:t>输出/动作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每日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大额收发、负库存、无单移动、重大退货/报废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当日异常清单，冻结高风险权限或库位</w:t>
            </w:r>
          </w:p>
        </w:tc>
      </w:tr>
      <w:tr>
        <w:tc>
          <w:tcPr>
            <w:tcW w:type="dxa" w:w="113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每周</w:t>
            </w:r>
          </w:p>
        </w:tc>
        <w:tc>
          <w:tcPr>
            <w:tcW w:type="dxa" w:w="45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缺料、BOM超耗、WIP滞留、外仓和新增呆滞</w:t>
            </w:r>
          </w:p>
        </w:tc>
        <w:tc>
          <w:tcPr>
            <w:tcW w:type="dxa" w:w="374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跨部门例会，Owner+日期+临时控制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每月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余额桥、周转、库龄、负库存、成本、截止、跌价、账账核对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月结包和管理层一页报告</w:t>
            </w:r>
          </w:p>
        </w:tc>
      </w:tr>
      <w:tr>
        <w:tc>
          <w:tcPr>
            <w:tcW w:type="dxa" w:w="113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每季</w:t>
            </w:r>
          </w:p>
        </w:tc>
        <w:tc>
          <w:tcPr>
            <w:tcW w:type="dxa" w:w="45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循环盘点、预测准确率、供应链和产品组合</w:t>
            </w:r>
          </w:p>
        </w:tc>
        <w:tc>
          <w:tcPr>
            <w:tcW w:type="dxa" w:w="374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改善项目和责任复盘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年度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全面盘点、跌价、会计政策、税务损失资料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年结结论、制度和权限年度复审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第三章 存货分类、权属与主数据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如何形成/存放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月末核对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高频问题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原材料/辅料/包装物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采购入库，原料/包材库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收发存、GRNI、盘点、库龄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未入库、错单位、长期未用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低值易耗品/周转材料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采购后领用或分次摊销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在库数量和在用台账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一次领用后失去管理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在产品/半成品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工单投入但未完工，车间/线边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工单数量桥、工序、成本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现场多、系统无；假完工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产成品/库存商品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完工或购入，成品/商品库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出库、签收、收入和成本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收入成本错期、滞销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在途/发出商品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已控制但不在本地或未满足收入条件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物流、签收、所有权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错把在途当费用或提前结转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委托加工/外仓/寄售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供应商、3PL或客户场地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对账、函证、盘点/视频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实物不可见、权属不清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备品备件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设备维护用途，备件库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设备清单、领用和战略属性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库龄长但可能必要，不能机械全额跌价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6"/>
              </w:rPr>
              <w:t>主数据字段</w:t>
            </w:r>
          </w:p>
        </w:tc>
        <w:tc>
          <w:tcPr>
            <w:tcW w:type="dxa" w:w="3515"/>
            <w:shd w:fill="17365D"/>
          </w:tcPr>
          <w:p>
            <w:r>
              <w:rPr>
                <w:b/>
                <w:color w:val="FFFFFF"/>
                <w:sz w:val="16"/>
              </w:rPr>
              <w:t>控制目的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主管检查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物料编码/SKU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一物一码并保留历史映射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重复名称、相同规格多码、停用码仍交易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规格型号/版本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区分替代和淘汰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BOM版本与现物一致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基本/采购/库存单位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避免箱、件、公斤换算错误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转换系数、异常单价和小数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仓库/库位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定位实物和责任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虚拟库、负库存、跨仓未达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批次/序列号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追溯质量、保质期和责任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跳号、重复、过期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估价类/成本对象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正确计价和科目映射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手工修改、映射错科目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安全库存/MOQ/责任部门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触发计划并归责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参数多年不更新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CE4D6"/>
          </w:tcPr>
          <w:p>
            <w:r>
              <w:rPr>
                <w:b/>
              </w:rPr>
              <w:t>【主数据底线】</w:t>
            </w:r>
            <w:r>
              <w:t>新增、修改、停用应由申请、专业审核、财务影响审核和系统实施分开完成。仓库操作员不应自行新增料号或修改成本。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第四章 采购入库与三单匹配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采购申请及预算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询价/订单/合同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供应商送货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质量验收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仓库清点并创建GR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系统入库上架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发票进入AP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PO-GR-Invoice三单匹配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差异审批或退货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付款和核销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2551"/>
            <w:shd w:fill="17365D"/>
          </w:tcPr>
          <w:p>
            <w:r>
              <w:rPr>
                <w:b/>
                <w:color w:val="FFFFFF"/>
                <w:sz w:val="15"/>
              </w:rPr>
              <w:t>仓库/采购动作</w:t>
            </w:r>
          </w:p>
        </w:tc>
        <w:tc>
          <w:tcPr>
            <w:tcW w:type="dxa" w:w="3515"/>
            <w:shd w:fill="17365D"/>
          </w:tcPr>
          <w:p>
            <w:r>
              <w:rPr>
                <w:b/>
                <w:color w:val="FFFFFF"/>
                <w:sz w:val="15"/>
              </w:rPr>
              <w:t>财务与ERP处理</w:t>
            </w:r>
          </w:p>
        </w:tc>
        <w:tc>
          <w:tcPr>
            <w:tcW w:type="dxa" w:w="1984"/>
            <w:shd w:fill="17365D"/>
          </w:tcPr>
          <w:p>
            <w:r>
              <w:rPr>
                <w:b/>
                <w:color w:val="FFFFFF"/>
                <w:sz w:val="15"/>
              </w:rPr>
              <w:t>月末风险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货到未入库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隔离待检区；催验收/入库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核实控制权和截止，必要时暂估；不凭空建GR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少计存货/负债、跨期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入库未到票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保留GR和订单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按可靠不含税价暂估，发票到后匹配冲暂估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漏负债、重复暂估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票到货未到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确认在途和控制权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通常先挂预付/待认证或AP流程阻断；不自动形成实物库存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虚增库存、提前抵扣风险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数量/价格不一致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收货按实物；采购处理补货/折让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容差内按政策，超容差阻断并调查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成本错、舞弊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部分到货/分批开票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逐批GR并标订单未清数量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按GR和发票逐行匹配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误关闭订单、漏暂估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退货/不合格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不良区隔离，退货出库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冲销相应库存/AP/暂估，红字票按税务流程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库存仍挂、票货不符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赠品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全部点收入库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按合同实质分摊采购成本或按批准政策管理数量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账外库存、被私用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跨月到货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锁定到货/验收/控制权日期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以事实判断截止，不机械看录单日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跨期和毛利失真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三单匹配失败排查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锁定PO行、GR行和发票行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比较物料、单位、数量、单价、税率和时间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查收货短缺/超收/部分到货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查价格变更、运费和折扣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查发票重复或错主体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取得采购、质量和仓库确认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按授权补货、退货、改价、红冲或重新开票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重新匹配并验证库存/AP/总账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</w:rPr>
              <w:t>【为什么属于存货控制】</w:t>
            </w:r>
            <w:r>
              <w:t>三单匹配同时证明订单授权、实物已收和计价依据。只把它当付款控制，会遗漏虚假入库、单位错误和库存成本问题。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第五章 仓库、调拨与ERP权限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361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551"/>
            <w:shd w:fill="17365D"/>
          </w:tcPr>
          <w:p>
            <w:r>
              <w:rPr>
                <w:b/>
                <w:color w:val="FFFFFF"/>
                <w:sz w:val="16"/>
              </w:rPr>
              <w:t>必须单据/系统</w:t>
            </w:r>
          </w:p>
        </w:tc>
        <w:tc>
          <w:tcPr>
            <w:tcW w:type="dxa" w:w="2608"/>
            <w:shd w:fill="17365D"/>
          </w:tcPr>
          <w:p>
            <w:r>
              <w:rPr>
                <w:b/>
                <w:color w:val="FFFFFF"/>
                <w:sz w:val="16"/>
              </w:rPr>
              <w:t>禁止做法</w:t>
            </w:r>
          </w:p>
        </w:tc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财务监督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入库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PO/送货/质检/GR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实物上架后长期补单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收货时间戳和未过账收货</w:t>
            </w:r>
          </w:p>
        </w:tc>
      </w:tr>
      <w:tr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领料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工单/领料单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口头领料、先领后补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工单、BOM、超领原因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退料/换料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退料/替代料审批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退回实物不退系统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负领料和异常成本</w:t>
            </w:r>
          </w:p>
        </w:tc>
      </w:tr>
      <w:tr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销售出库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销售订单/拣货/交运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无订单出库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签收、收入和成本截止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调拨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调出+在途+调入单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只改Excel地点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未达调拨和跨法人实质</w:t>
            </w:r>
          </w:p>
        </w:tc>
      </w:tr>
      <w:tr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报废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鉴定/审批/报废出库</w:t>
            </w:r>
          </w:p>
        </w:tc>
        <w:tc>
          <w:tcPr>
            <w:tcW w:type="dxa" w:w="260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直接丢弃、先卖后批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实物见证、废料收入和税务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14"/>
            <w:shd w:fill="17365D"/>
          </w:tcPr>
          <w:p>
            <w:r>
              <w:rPr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执行人</w:t>
            </w:r>
          </w:p>
        </w:tc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6"/>
              </w:rPr>
              <w:t>不能同时拥有</w:t>
            </w:r>
          </w:p>
        </w:tc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补偿控制（小企业）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新增物料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主数据专员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采购下单+仓库收货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财务主管复核新增日报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入库/出库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</w:t>
            </w:r>
          </w:p>
        </w:tc>
        <w:tc>
          <w:tcPr>
            <w:tcW w:type="dxa" w:w="28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审批+删除+成本修改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只允许冲销并留日志，老板/主管复核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反过账/删除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系统管理员或受控角色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原单创建人独立批准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每日反过账日志+二人审批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库存调整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财务/仓储受控角色</w:t>
            </w:r>
          </w:p>
        </w:tc>
        <w:tc>
          <w:tcPr>
            <w:tcW w:type="dxa" w:w="28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盘点执行+批准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差异报告、证据、金额分级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成本修改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成本会计受控角色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仓库收发和销售定价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变更前后快照+财务经理批准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仓库/库位维护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IT/主数据</w:t>
            </w:r>
          </w:p>
        </w:tc>
        <w:tc>
          <w:tcPr>
            <w:tcW w:type="dxa" w:w="28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实物保管</w:t>
            </w:r>
          </w:p>
        </w:tc>
        <w:tc>
          <w:tcPr>
            <w:tcW w:type="dxa" w:w="294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定期停用空库位和权限审阅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第六章 生产领料、在产品与完工</w:t>
      </w:r>
    </w:p>
    <w:p>
      <w:pPr>
        <w:pStyle w:val="Heading2"/>
        <w:keepNext/>
      </w:pPr>
      <w:r>
        <w:t>6.1 BOM 100kg但实际领用130kg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3458"/>
            <w:shd w:fill="17365D"/>
          </w:tcPr>
          <w:p>
            <w:r>
              <w:rPr>
                <w:b/>
                <w:color w:val="FFFFFF"/>
                <w:sz w:val="16"/>
              </w:rPr>
              <w:t>财务追查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正常工艺损耗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标准损耗、产量、行业/历史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比较工单和班组趋势</w:t>
            </w:r>
          </w:p>
        </w:tc>
      </w:tr>
      <w:tr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来料/质量问题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检验、不良、退供</w:t>
            </w:r>
          </w:p>
        </w:tc>
        <w:tc>
          <w:tcPr>
            <w:tcW w:type="dxa" w:w="345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索赔和损耗归责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BOM/版本错误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工程变更、实际配方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检查生效日期和旧版工单</w:t>
            </w:r>
          </w:p>
        </w:tc>
      </w:tr>
      <w:tr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返工/补料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返工单、质量审批</w:t>
            </w:r>
          </w:p>
        </w:tc>
        <w:tc>
          <w:tcPr>
            <w:tcW w:type="dxa" w:w="345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区分正常/异常损失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错料/错单位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料号、单位转换、退料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盘点邻近物料和转换系数</w:t>
            </w:r>
          </w:p>
        </w:tc>
      </w:tr>
      <w:tr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浪费或舞弊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高价值料差异、夜班/个人集中</w:t>
            </w:r>
          </w:p>
        </w:tc>
        <w:tc>
          <w:tcPr>
            <w:tcW w:type="dxa" w:w="345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现场、领料人、废料和监控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在产品数量桥</w:t>
      </w:r>
    </w:p>
    <w:p>
      <w:pPr>
        <w:spacing w:after="80" w:line="278" w:lineRule="auto"/>
      </w:pPr>
      <w:r>
        <w:t>期初WIP数量 + 本期投入 - 本期完工 - 报废/损失 = 期末WIP。数量桥必须与工单、工序、现场区域和报工一致；金额再按材料、人工和制造费用归集。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现场问题</w:t>
            </w:r>
          </w:p>
        </w:tc>
        <w:tc>
          <w:tcPr>
            <w:tcW w:type="dxa" w:w="7087"/>
            <w:shd w:fill="17365D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车间说无法准确统计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按工单/工序划区、停线或截点、定义计量单位，选关键高价值物料验证；不能只接受总金额。</w:t>
            </w:r>
          </w:p>
        </w:tc>
      </w:tr>
      <w:tr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生产周期很长</w:t>
            </w:r>
          </w:p>
        </w:tc>
        <w:tc>
          <w:tcPr>
            <w:tcW w:type="dxa" w:w="70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按里程碑、工程量、工序完工率和材料投入建立可复核模型，月月滚动验证。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现场半成品多但系统无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隔离、清点、追溯工单和领料；判断漏报工、错码或账外生产。</w:t>
            </w:r>
          </w:p>
        </w:tc>
      </w:tr>
      <w:tr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账上WIP多但现场少</w:t>
            </w:r>
          </w:p>
        </w:tc>
        <w:tc>
          <w:tcPr>
            <w:tcW w:type="dxa" w:w="70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查假投入、未结工单、完工未入库、报废漏录、成本分摊和跨期。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完工1000件、仓库入950件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锁定工单和盘点线边区域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核对生产报工1000件的时间与操作人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查质检合格、不良、返工和报废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查仓库GR 950件和未过账收货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核对50件是否仍在线边或被转用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建立数量桥并确认真实状态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更正报工或补入库，不用库存调整代替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复核工单成本与产量奖金影响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第七章 销售出库、调拨和特殊地点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515"/>
            <w:shd w:fill="17365D"/>
          </w:tcPr>
          <w:p>
            <w:r>
              <w:rPr>
                <w:b/>
                <w:color w:val="FFFFFF"/>
                <w:sz w:val="16"/>
              </w:rPr>
              <w:t>是否仍为企业存货</w:t>
            </w:r>
          </w:p>
        </w:tc>
        <w:tc>
          <w:tcPr>
            <w:tcW w:type="dxa" w:w="3685"/>
            <w:shd w:fill="17365D"/>
          </w:tcPr>
          <w:p>
            <w:r>
              <w:rPr>
                <w:b/>
                <w:color w:val="FFFFFF"/>
                <w:sz w:val="16"/>
              </w:rPr>
              <w:t>检查点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已出库未签收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取决于控制权/合同；常见情形仍在发出商品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物流、风险报酬/控制、退货权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确认收入无出库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高风险异常</w:t>
            </w:r>
          </w:p>
        </w:tc>
        <w:tc>
          <w:tcPr>
            <w:tcW w:type="dxa" w:w="368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实物交付证据、接口、截止和成本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寄售客户仓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控制未转移前通常仍属企业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寄售清单、消耗报告、盘点和对账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同法人仓库调拨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仅地点变化，不形成对外收入</w:t>
            </w:r>
          </w:p>
        </w:tc>
        <w:tc>
          <w:tcPr>
            <w:tcW w:type="dxa" w:w="368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在途、双方收发和成本不变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集团不同法人转移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属于主体间交易，按合同实质处理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定价、开票、税务、收入成本和抵销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客户退货待检</w:t>
            </w:r>
          </w:p>
        </w:tc>
        <w:tc>
          <w:tcPr>
            <w:tcW w:type="dxa" w:w="351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权属确认后隔离管理</w:t>
            </w:r>
          </w:p>
        </w:tc>
        <w:tc>
          <w:tcPr>
            <w:tcW w:type="dxa" w:w="368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退货授权、质检、红字、收入成本</w:t>
            </w:r>
          </w:p>
        </w:tc>
      </w:tr>
    </w:tbl>
    <w:p>
      <w:pPr>
        <w:spacing w:after="20"/>
      </w:pPr>
    </w:p>
    <w:p>
      <w:pPr>
        <w:spacing w:after="80" w:line="278" w:lineRule="auto"/>
      </w:pPr>
      <w:r>
        <w:t>第三方仓、供应商处材料、委托加工物资和客户仓库存货，财务应按金额和风险组合使用月度对账、函证、视频随机抽码、期后收发核对、现场盘点和第三方监盘。回函并不能替代对实物状态、权属和可售性的判断。</w:t>
      </w:r>
    </w:p>
    <w:p>
      <w:pPr>
        <w:pStyle w:val="Heading1"/>
        <w:keepNext/>
      </w:pPr>
      <w:r>
        <w:t>第八章 账、卡、物一致与负库存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855"/>
            <w:shd w:fill="17365D"/>
          </w:tcPr>
          <w:p>
            <w:r>
              <w:rPr>
                <w:b/>
                <w:color w:val="FFFFFF"/>
                <w:sz w:val="16"/>
              </w:rPr>
              <w:t>核心数据</w:t>
            </w:r>
          </w:p>
        </w:tc>
        <w:tc>
          <w:tcPr>
            <w:tcW w:type="dxa" w:w="3742"/>
            <w:shd w:fill="17365D"/>
          </w:tcPr>
          <w:p>
            <w:r>
              <w:rPr>
                <w:b/>
                <w:color w:val="FFFFFF"/>
                <w:sz w:val="16"/>
              </w:rPr>
              <w:t>应与谁一致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总账GL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存货科目金额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存货模块按科目汇总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存货/成本模块</w:t>
            </w:r>
          </w:p>
        </w:tc>
        <w:tc>
          <w:tcPr>
            <w:tcW w:type="dxa" w:w="385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SKU数量、移动平均/标准成本、差异</w:t>
            </w:r>
          </w:p>
        </w:tc>
        <w:tc>
          <w:tcPr>
            <w:tcW w:type="dxa" w:w="374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WMS数量和成本凭证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WMS/库存台账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仓库、库位、批次、序列号、状态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实物及业务单据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</w:t>
            </w:r>
          </w:p>
        </w:tc>
        <w:tc>
          <w:tcPr>
            <w:tcW w:type="dxa" w:w="385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真实存在、质量和地点</w:t>
            </w:r>
          </w:p>
        </w:tc>
        <w:tc>
          <w:tcPr>
            <w:tcW w:type="dxa" w:w="374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盲盘表、标签、责任人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外部证据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供应商/3PL/客户清单、物流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企业台账和期后交易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494"/>
            <w:shd w:fill="17365D"/>
          </w:tcPr>
          <w:p>
            <w:r>
              <w:rPr>
                <w:b/>
                <w:color w:val="FFFFFF"/>
                <w:sz w:val="16"/>
              </w:rPr>
              <w:t>差异</w:t>
            </w:r>
          </w:p>
        </w:tc>
        <w:tc>
          <w:tcPr>
            <w:tcW w:type="dxa" w:w="6917"/>
            <w:shd w:fill="17365D"/>
          </w:tcPr>
          <w:p>
            <w:r>
              <w:rPr>
                <w:b/>
                <w:color w:val="FFFFFF"/>
                <w:sz w:val="16"/>
              </w:rPr>
              <w:t>排查顺序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数量一致、金额不一致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成本方法/标准价、采购价、制造费用、接口科目、负库存重算、手工凭证</w:t>
            </w:r>
          </w:p>
        </w:tc>
      </w:tr>
      <w:tr>
        <w:tc>
          <w:tcPr>
            <w:tcW w:type="dxa" w:w="24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总账与模块不一致</w:t>
            </w:r>
          </w:p>
        </w:tc>
        <w:tc>
          <w:tcPr>
            <w:tcW w:type="dxa" w:w="69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期末锁账时点、接口失败、模块外凭证、币种、舍入、科目映射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仓库有货系统无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未入库、退料漏录、寄存他人物资、一物多码、账外采购</w:t>
            </w:r>
          </w:p>
        </w:tc>
      </w:tr>
      <w:tr>
        <w:tc>
          <w:tcPr>
            <w:tcW w:type="dxa" w:w="24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系统有货现场无</w:t>
            </w:r>
          </w:p>
        </w:tc>
        <w:tc>
          <w:tcPr>
            <w:tcW w:type="dxa" w:w="69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错库位、出库漏录、在途/外借、串料、盗损、虚假入库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负库存为什么危险</w:t>
      </w:r>
    </w:p>
    <w:p>
      <w:pPr>
        <w:pStyle w:val="ListBullet"/>
        <w:spacing w:after="40"/>
      </w:pPr>
      <w:r>
        <w:t>数量层面：系统允许发出不存在的库存，账实关系失去可信度。</w:t>
      </w:r>
    </w:p>
    <w:p>
      <w:pPr>
        <w:pStyle w:val="ListBullet"/>
        <w:spacing w:after="40"/>
      </w:pPr>
      <w:r>
        <w:t>成本层面：移动平均或实际成本可能用未来采购价回写，导致当期成本和毛利波动。</w:t>
      </w:r>
    </w:p>
    <w:p>
      <w:pPr>
        <w:pStyle w:val="ListBullet"/>
        <w:spacing w:after="40"/>
      </w:pPr>
      <w:r>
        <w:t>期间层面：先出后入、跨月补单使截止失真。</w:t>
      </w:r>
    </w:p>
    <w:p>
      <w:pPr>
        <w:pStyle w:val="ListBullet"/>
        <w:spacing w:after="40"/>
      </w:pPr>
      <w:r>
        <w:t>控制层面：越权超发、错码或允许删除/反过账可能掩盖实物流失。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每日导出负库存SKU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按首次变负日期追交易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核对实物、料号、单位和库位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区分先出后入/错码/跨期/接口/盗损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纠正原始业务单据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重新成本计算并评估前期影响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关闭系统超发和反过账漏洞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保留变更前后快照和批准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第九章 盘点计划、执行与差异关闭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明确基准日、范围、重要性和盘点方式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清理负库存/未达/待检/寄存和库位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编号盘点表并培训分组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冻结收发或设置移动控制区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仓库初盘、跨组复盘、财务监盘抽盘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卡到物与物到账双向测试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差异二次复核并保全证据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分析盘盈盘亏、串料和截止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按授权调账、责任认定和报告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验证系统、总账、实物及整改均关闭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087"/>
            <w:shd w:fill="17365D"/>
          </w:tcPr>
          <w:p>
            <w:r>
              <w:rPr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盘点当天能否收发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优先冻结；无法冻结则设独立区域、连续编号和盘点前后截点，所有移动单独记录。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盘点表显示账面数吗</w:t>
            </w:r>
          </w:p>
        </w:tc>
        <w:tc>
          <w:tcPr>
            <w:tcW w:type="dxa" w:w="70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高风险区域宜盲盘；复盘阶段再显示账数分析差异。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财务抽盘多少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无固定通用比例。按金额、流动性、历史差异、易盗和外仓风险分层，确保覆盖重大和异常SKU。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仓库很大怎么盘</w:t>
            </w:r>
          </w:p>
        </w:tc>
        <w:tc>
          <w:tcPr>
            <w:tcW w:type="dxa" w:w="70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分区、路线、条码、预盘和循环盘点；保持区域边界和盘点表完整性。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异地仓怎么盘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现场、第三方监盘、视频随机抽码、函证和期后交易组合；重大高风险不宜只看照片。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差异类型</w:t>
            </w:r>
          </w:p>
        </w:tc>
        <w:tc>
          <w:tcPr>
            <w:tcW w:type="dxa" w:w="3288"/>
            <w:shd w:fill="17365D"/>
          </w:tcPr>
          <w:p>
            <w:r>
              <w:rPr>
                <w:b/>
                <w:color w:val="FFFFFF"/>
                <w:sz w:val="16"/>
              </w:rPr>
              <w:t>先查</w:t>
            </w:r>
          </w:p>
        </w:tc>
        <w:tc>
          <w:tcPr>
            <w:tcW w:type="dxa" w:w="4309"/>
            <w:shd w:fill="17365D"/>
          </w:tcPr>
          <w:p>
            <w:r>
              <w:rPr>
                <w:b/>
                <w:color w:val="FFFFFF"/>
                <w:sz w:val="16"/>
              </w:rPr>
              <w:t>处理和留痕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盘盈/盘亏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重盘、单位、邻近SKU、期后收发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按真实原因更正业务单据或损失程序，批准后调账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串料/错库位/错编码</w:t>
            </w:r>
          </w:p>
        </w:tc>
        <w:tc>
          <w:tcPr>
            <w:tcW w:type="dxa" w:w="328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规格、批次、标签、调拨</w:t>
            </w:r>
          </w:p>
        </w:tc>
        <w:tc>
          <w:tcPr>
            <w:tcW w:type="dxa" w:w="430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双向更正并修主数据/库位，不只看净额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漏/重复入出库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PO、GR、工单、交运和日志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冲销错误单据或补录真实业务，评估截止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系统错误</w:t>
            </w:r>
          </w:p>
        </w:tc>
        <w:tc>
          <w:tcPr>
            <w:tcW w:type="dxa" w:w="328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接口、批处理、权限日志</w:t>
            </w:r>
          </w:p>
        </w:tc>
        <w:tc>
          <w:tcPr>
            <w:tcW w:type="dxa" w:w="430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IT修复并由业务/财务验收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盗窃嫌疑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门禁、监控、出门、责任人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先保全证据和实物，升级法务/内审，不能先调平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第十章 库龄、呆滞、安全库存和采购计划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587"/>
            <w:shd w:fill="17365D"/>
          </w:tcPr>
          <w:p>
            <w:r>
              <w:rPr>
                <w:b/>
                <w:color w:val="FFFFFF"/>
                <w:sz w:val="17"/>
              </w:rPr>
              <w:t>库龄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7"/>
              </w:rPr>
              <w:t>通用观察</w:t>
            </w:r>
          </w:p>
        </w:tc>
        <w:tc>
          <w:tcPr>
            <w:tcW w:type="dxa" w:w="4309"/>
            <w:shd w:fill="17365D"/>
          </w:tcPr>
          <w:p>
            <w:r>
              <w:rPr>
                <w:b/>
                <w:color w:val="FFFFFF"/>
                <w:sz w:val="17"/>
              </w:rPr>
              <w:t>不能机械处理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0-30天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近期流动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新品备货也要看订单</w:t>
            </w:r>
          </w:p>
        </w:tc>
      </w:tr>
      <w:tr>
        <w:tc>
          <w:tcPr>
            <w:tcW w:type="dxa" w:w="15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31-90天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正常/关注边界</w:t>
            </w:r>
          </w:p>
        </w:tc>
        <w:tc>
          <w:tcPr>
            <w:tcW w:type="dxa" w:w="430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不同采购周期不同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91-180天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要求业务解释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机械件和长周期料可能正常</w:t>
            </w:r>
          </w:p>
        </w:tc>
      </w:tr>
      <w:tr>
        <w:tc>
          <w:tcPr>
            <w:tcW w:type="dxa" w:w="158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181-365天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重点行动清单</w:t>
            </w:r>
          </w:p>
        </w:tc>
        <w:tc>
          <w:tcPr>
            <w:tcW w:type="dxa" w:w="430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战略备件需设备计划支持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1年以上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重大跌价/处置评估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7"/>
              </w:rPr>
              <w:t>长库龄不等于全额计提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17365D"/>
          </w:tcPr>
          <w:p>
            <w:r>
              <w:rPr>
                <w:b/>
                <w:color w:val="FFFFFF"/>
                <w:sz w:val="16"/>
              </w:rPr>
              <w:t>形成原因</w:t>
            </w:r>
          </w:p>
        </w:tc>
        <w:tc>
          <w:tcPr>
            <w:tcW w:type="dxa" w:w="3572"/>
            <w:shd w:fill="17365D"/>
          </w:tcPr>
          <w:p>
            <w:r>
              <w:rPr>
                <w:b/>
                <w:color w:val="FFFFFF"/>
                <w:sz w:val="16"/>
              </w:rPr>
              <w:t>责任/数据特征</w:t>
            </w:r>
          </w:p>
        </w:tc>
        <w:tc>
          <w:tcPr>
            <w:tcW w:type="dxa" w:w="3969"/>
            <w:shd w:fill="17365D"/>
          </w:tcPr>
          <w:p>
            <w:r>
              <w:rPr>
                <w:b/>
                <w:color w:val="FFFFFF"/>
                <w:sz w:val="16"/>
              </w:rPr>
              <w:t>预防动作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采购过量/MOQ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采购数量远超滚动需求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订单分批、供应商寄售、审批超需求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预测错误/销售不畅</w:t>
            </w:r>
          </w:p>
        </w:tc>
        <w:tc>
          <w:tcPr>
            <w:tcW w:type="dxa" w:w="35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预测持续高于实际、成品增长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追踪预测偏差到销售/产品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客户取消订单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专用料无替代用途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定金、取消条款、客户承担机制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BOM/设计变更</w:t>
            </w:r>
          </w:p>
        </w:tc>
        <w:tc>
          <w:tcPr>
            <w:tcW w:type="dxa" w:w="35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旧版本料在变更后停止领用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工程变更前评估旧料并签核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产品停产/升级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旧款销量骤降仍采购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停产清单联动采购冻结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质量问题</w:t>
            </w:r>
          </w:p>
        </w:tc>
        <w:tc>
          <w:tcPr>
            <w:tcW w:type="dxa" w:w="35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不良库长期堆积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质量责任、退供/索赔、关闭日期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生产计划变化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WIP和特定料同步积压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滚动S&amp;OP和冻结期规则</w:t>
            </w:r>
          </w:p>
        </w:tc>
      </w:tr>
    </w:tbl>
    <w:p>
      <w:pPr>
        <w:spacing w:after="20"/>
      </w:pPr>
    </w:p>
    <w:p>
      <w:pPr>
        <w:spacing w:after="80" w:line="278" w:lineRule="auto"/>
      </w:pPr>
      <w:r>
        <w:t>安全库存和再订货点是服务水平、供应提前期、需求波动和资金成本的平衡。财务主管不替计划员下单，但要把库存金额、缺货损失、加急成本和现金约束放入参数复核。零库存可能造成停线和失单；过高库存会占用现金并增加跌价。</w:t>
      </w:r>
    </w:p>
    <w:p>
      <w:pPr>
        <w:pStyle w:val="Heading1"/>
        <w:keepNext/>
      </w:pPr>
      <w:r>
        <w:t>第十一章 周转、余额增长、现金流和管理分析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17365D"/>
          </w:tcPr>
          <w:p>
            <w:r>
              <w:rPr>
                <w:b/>
                <w:color w:val="FFFFFF"/>
                <w:sz w:val="16"/>
              </w:rPr>
              <w:t>分析问题</w:t>
            </w:r>
          </w:p>
        </w:tc>
        <w:tc>
          <w:tcPr>
            <w:tcW w:type="dxa" w:w="4195"/>
            <w:shd w:fill="17365D"/>
          </w:tcPr>
          <w:p>
            <w:r>
              <w:rPr>
                <w:b/>
                <w:color w:val="FFFFFF"/>
                <w:sz w:val="16"/>
              </w:rPr>
              <w:t>继续追问</w:t>
            </w:r>
          </w:p>
        </w:tc>
        <w:tc>
          <w:tcPr>
            <w:tcW w:type="dxa" w:w="3288"/>
            <w:shd w:fill="17365D"/>
          </w:tcPr>
          <w:p>
            <w:r>
              <w:rPr>
                <w:b/>
                <w:color w:val="FFFFFF"/>
                <w:sz w:val="16"/>
              </w:rPr>
              <w:t>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存货同比+50%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收入/产量增长多少？价格上涨多少？提前备货还是积压？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余额桥、采购量价、销售和产量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原料正常、WIP大增</w:t>
            </w:r>
          </w:p>
        </w:tc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瓶颈工序、停工待料、良率、假报工、工单未结？</w:t>
            </w:r>
          </w:p>
        </w:tc>
        <w:tc>
          <w:tcPr>
            <w:tcW w:type="dxa" w:w="328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工序WIP、工单天数、产能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成品大增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备货策略、滞销、渠道压货、客户取消？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订单、出库、退货、库龄</w:t>
            </w:r>
          </w:p>
        </w:tc>
      </w:tr>
      <w:tr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周转率提高</w:t>
            </w:r>
          </w:p>
        </w:tc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是效率提升还是库存过低导致缺货？</w:t>
            </w:r>
          </w:p>
        </w:tc>
        <w:tc>
          <w:tcPr>
            <w:tcW w:type="dxa" w:w="328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缺货率、OTIF、加急采购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利润好但现金差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库存和应收占用是否增长？供应商账期变化？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现金转换周期、营运资金桥</w:t>
            </w:r>
          </w:p>
        </w:tc>
      </w:tr>
    </w:tbl>
    <w:p>
      <w:pPr>
        <w:spacing w:after="20"/>
      </w:pPr>
    </w:p>
    <w:p>
      <w:pPr>
        <w:spacing w:after="80" w:line="278" w:lineRule="auto"/>
      </w:pPr>
      <w:r>
        <w:t>资金链：采购付款→原料→WIP→成品→销售→应收→回款。库存每多占用1元，在未出售回款前都需要现金或融资支持。管理层需要的是金额、天数、风险和可执行释放计划。</w:t>
      </w:r>
    </w:p>
    <w:p>
      <w:pPr>
        <w:pStyle w:val="Heading1"/>
        <w:keepNext/>
      </w:pPr>
      <w:r>
        <w:t>第十二章 成本流转、单位成本与毛利异常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采购成本进入原材料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领料进入生产成本/WIP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人工和制造费用归集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按产量/工时等合理基础分配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完工成本转产成品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销售时匹配结转营业成本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退货/报废/差异按事实处理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4195"/>
            <w:shd w:fill="17365D"/>
          </w:tcPr>
          <w:p>
            <w:r>
              <w:rPr>
                <w:b/>
                <w:color w:val="FFFFFF"/>
                <w:sz w:val="16"/>
              </w:rPr>
              <w:t>数量正确但金额错误原因</w:t>
            </w:r>
          </w:p>
        </w:tc>
        <w:tc>
          <w:tcPr>
            <w:tcW w:type="dxa" w:w="5272"/>
            <w:shd w:fill="17365D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采购价格/附加成本错误</w:t>
            </w:r>
          </w:p>
        </w:tc>
        <w:tc>
          <w:tcPr>
            <w:tcW w:type="dxa" w:w="52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发票、运费、关税、暂估差和单位转换</w:t>
            </w:r>
          </w:p>
        </w:tc>
      </w:tr>
      <w:tr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计价方法/标准成本错误</w:t>
            </w:r>
          </w:p>
        </w:tc>
        <w:tc>
          <w:tcPr>
            <w:tcW w:type="dxa" w:w="52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政策一致性、标准价更新和差异结转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人工/制造费用错分</w:t>
            </w:r>
          </w:p>
        </w:tc>
        <w:tc>
          <w:tcPr>
            <w:tcW w:type="dxa" w:w="52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成本中心、产能、分配率和闲置产能</w:t>
            </w:r>
          </w:p>
        </w:tc>
      </w:tr>
      <w:tr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WIP完工率错误</w:t>
            </w:r>
          </w:p>
        </w:tc>
        <w:tc>
          <w:tcPr>
            <w:tcW w:type="dxa" w:w="52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工序、投入、报工、期后完工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负库存重算</w:t>
            </w:r>
          </w:p>
        </w:tc>
        <w:tc>
          <w:tcPr>
            <w:tcW w:type="dxa" w:w="52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先出后入导致成本回写</w:t>
            </w:r>
          </w:p>
        </w:tc>
      </w:tr>
      <w:tr>
        <w:tc>
          <w:tcPr>
            <w:tcW w:type="dxa" w:w="419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手工凭证/接口错误</w:t>
            </w:r>
          </w:p>
        </w:tc>
        <w:tc>
          <w:tcPr>
            <w:tcW w:type="dxa" w:w="52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模块外凭证和科目映射</w:t>
            </w:r>
          </w:p>
        </w:tc>
      </w:tr>
    </w:tbl>
    <w:p>
      <w:pPr>
        <w:spacing w:after="20"/>
      </w:pPr>
    </w:p>
    <w:p>
      <w:pPr>
        <w:spacing w:after="80" w:line="278" w:lineRule="auto"/>
      </w:pPr>
      <w:r>
        <w:t>单位成本上涨20%应做六因素桥：材料价格、材料单耗、直接人工、制造费用、产量/产能利用率、产品结构。先确认数量和系统成本可靠，再将差异落到供应商、工单、班组、成本中心和产品。毛利异常还要检查少结/错结成本、虚假库存、暂估差、期末产量操纵和收入截止。</w:t>
      </w:r>
    </w:p>
    <w:p>
      <w:pPr>
        <w:pStyle w:val="Heading1"/>
        <w:keepNext/>
      </w:pPr>
      <w:r>
        <w:t>第十三章 存货跌价与可变现净值实操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从库龄、停产、售价、质量、订单取消等识别迹象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按SKU/合同用途确定测试层级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取得最近售价、订单、预算、处置/完工/销售成本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区分产成品、在产品和原材料NRV逻辑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测算成本与NRV差额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业务确认事实，财务挑战假设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财务经理复核一致性和敏感性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入账、披露、建立后续转回/处置跟踪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8"/>
            <w:shd w:fill="17365D"/>
          </w:tcPr>
          <w:p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025"/>
            <w:shd w:fill="17365D"/>
          </w:tcPr>
          <w:p>
            <w:r>
              <w:rPr>
                <w:b/>
                <w:color w:val="FFFFFF"/>
                <w:sz w:val="16"/>
              </w:rPr>
              <w:t>NRV思路</w:t>
            </w:r>
          </w:p>
        </w:tc>
        <w:tc>
          <w:tcPr>
            <w:tcW w:type="dxa" w:w="3572"/>
            <w:shd w:fill="17365D"/>
          </w:tcPr>
          <w:p>
            <w:r>
              <w:rPr>
                <w:b/>
                <w:color w:val="FFFFFF"/>
                <w:sz w:val="16"/>
              </w:rPr>
              <w:t>关键证据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产成品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估计售价-销售税费/佣金/物流等直接成本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近期订单、成交价、售后/折扣</w:t>
            </w:r>
          </w:p>
        </w:tc>
      </w:tr>
      <w:tr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在产品</w:t>
            </w:r>
          </w:p>
        </w:tc>
        <w:tc>
          <w:tcPr>
            <w:tcW w:type="dxa" w:w="402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完工产品估计售价-至完工成本-销售成本</w:t>
            </w:r>
          </w:p>
        </w:tc>
        <w:tc>
          <w:tcPr>
            <w:tcW w:type="dxa" w:w="35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完工率、剩余BOM/人工、售价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用于生产的原材料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看产成品NRV及材料替代/出售价值；成品未减值时材料通常不因市价下降机械计提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生产计划、BOM、成品毛利、替代用途</w:t>
            </w:r>
          </w:p>
        </w:tc>
      </w:tr>
      <w:tr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合同专用存货</w:t>
            </w:r>
          </w:p>
        </w:tc>
        <w:tc>
          <w:tcPr>
            <w:tcW w:type="dxa" w:w="402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合同数量内按合同价，超出部分按一般售价分别考虑</w:t>
            </w:r>
          </w:p>
        </w:tc>
        <w:tc>
          <w:tcPr>
            <w:tcW w:type="dxa" w:w="357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不可撤销订单、取消条款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</w:rPr>
              <w:t>【判断边界】</w:t>
            </w:r>
            <w:r>
              <w:t>呆滞是管理分类，跌价是会计计量。呆滞不必然全额跌价，长库龄也不必然无价值；但管理计划必须有可验证的订单、用途、价格和时间表。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第十四章 报废、废料与税务证据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业务提出报废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质量/技术鉴定可修复性和用途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仓库封存并核对数量成本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按金额权限审批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财务判断账务、税务和资产损失证据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双人监督拆解/销毁/称重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竞价或合规选择回收商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出门、开票、公司收款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系统报废出库和会计处理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归档证据并复盘根因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6"/>
              </w:rPr>
              <w:t>控制点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谁批准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业务、质量/技术、仓储、财务及按金额授权的管理层，不由保管人单独批准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实物去哪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销毁、退供、转废料或出售必须可追踪；照片不能替代数量和去向链条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废料款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只能进入公司受控账户并与称重、合同、开票、出门单核对</w:t>
            </w:r>
          </w:p>
        </w:tc>
      </w:tr>
      <w:tr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防假报废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报废区隔离、双人见证、序列/批次注销、门禁和买方对账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税务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结合损失原因判断增值税和企业所得税；资产损失资料按现行规则留存备查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第十五章 舞弊红旗与控制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5"/>
              </w:rPr>
              <w:t>舞弊/错误</w:t>
            </w:r>
          </w:p>
        </w:tc>
        <w:tc>
          <w:tcPr>
            <w:tcW w:type="dxa" w:w="2551"/>
            <w:shd w:fill="17365D"/>
          </w:tcPr>
          <w:p>
            <w:r>
              <w:rPr>
                <w:b/>
                <w:color w:val="FFFFFF"/>
                <w:sz w:val="15"/>
              </w:rPr>
              <w:t>红旗</w:t>
            </w:r>
          </w:p>
        </w:tc>
        <w:tc>
          <w:tcPr>
            <w:tcW w:type="dxa" w:w="2891"/>
            <w:shd w:fill="17365D"/>
          </w:tcPr>
          <w:p>
            <w:r>
              <w:rPr>
                <w:b/>
                <w:color w:val="FFFFFF"/>
                <w:sz w:val="15"/>
              </w:rPr>
              <w:t>财务检查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5"/>
              </w:rPr>
              <w:t>关键控制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虚假入库/虚构存货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期末集中GR、无质检/门禁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期后冲回、供应商和现场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三单匹配+独立盘点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少结转成本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收入增长但出库/成本不增长</w:t>
            </w:r>
          </w:p>
        </w:tc>
        <w:tc>
          <w:tcPr>
            <w:tcW w:type="dxa" w:w="289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订单-出库-收入-成本四表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自动接口+毛利异常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隐藏盘亏/虚假盘点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盘点前调平、整齐尾数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调整前快照、盲盘、反查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编号盘点表+独立复盘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账外库存/私售废料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实物无编码、出门单异常</w:t>
            </w:r>
          </w:p>
        </w:tc>
        <w:tc>
          <w:tcPr>
            <w:tcW w:type="dxa" w:w="289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物到账测试、称重和银行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废料隔离+竞价+公司收款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采购仓库串通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唯一供应商、超收、赠品消失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价格、GR、盘点和关联方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岗位分离+主数据控制</w:t>
            </w:r>
          </w:p>
        </w:tc>
      </w:tr>
      <w:tr>
        <w:tc>
          <w:tcPr>
            <w:tcW w:type="dxa" w:w="175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操纵跌价</w:t>
            </w:r>
          </w:p>
        </w:tc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年末比例突变、无SKU依据</w:t>
            </w:r>
          </w:p>
        </w:tc>
        <w:tc>
          <w:tcPr>
            <w:tcW w:type="dxa" w:w="289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逐项NRV、历史处置回测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业务事实+财务独立测算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年末突击调整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批量反过账/改成本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系统日志、次月反转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锁期、权限和审批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第十六章 新财务主管接手计划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304"/>
            <w:shd w:fill="17365D"/>
          </w:tcPr>
          <w:p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061"/>
            <w:shd w:fill="17365D"/>
          </w:tcPr>
          <w:p>
            <w:r>
              <w:rPr>
                <w:b/>
                <w:color w:val="FFFFFF"/>
                <w:sz w:val="15"/>
              </w:rPr>
              <w:t>取得资料/见人</w:t>
            </w:r>
          </w:p>
        </w:tc>
        <w:tc>
          <w:tcPr>
            <w:tcW w:type="dxa" w:w="3628"/>
            <w:shd w:fill="17365D"/>
          </w:tcPr>
          <w:p>
            <w:r>
              <w:rPr>
                <w:b/>
                <w:color w:val="FFFFFF"/>
                <w:sz w:val="15"/>
              </w:rPr>
              <w:t>明确动作</w:t>
            </w:r>
          </w:p>
        </w:tc>
        <w:tc>
          <w:tcPr>
            <w:tcW w:type="dxa" w:w="2098"/>
            <w:shd w:fill="17365D"/>
          </w:tcPr>
          <w:p>
            <w:r>
              <w:rPr>
                <w:b/>
                <w:color w:val="FFFFFF"/>
                <w:sz w:val="15"/>
              </w:rPr>
              <w:t>高风险信号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第一周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制度、仓库清单、科目余额、SKU、权限、最近盘点；见仓库/计划/生产/采购/销售/IT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做总账-模块对账，导负库存、前十大、库龄、外仓、手工调整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总账不等模块；仓库可删单；无库位/责任人</w:t>
            </w:r>
          </w:p>
        </w:tc>
      </w:tr>
      <w:tr>
        <w:tc>
          <w:tcPr>
            <w:tcW w:type="dxa" w:w="130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第一个月</w:t>
            </w:r>
          </w:p>
        </w:tc>
        <w:tc>
          <w:tcPr>
            <w:tcW w:type="dxa" w:w="30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12个月收发、BOM、工单、盘点差异、跌价、报废、3PL对账</w:t>
            </w:r>
          </w:p>
        </w:tc>
        <w:tc>
          <w:tcPr>
            <w:tcW w:type="dxa" w:w="36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抽盘、重做库存桥/周转/呆滞/成本异常；列Issue Log</w:t>
            </w:r>
          </w:p>
        </w:tc>
        <w:tc>
          <w:tcPr>
            <w:tcW w:type="dxa" w:w="209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长期负库存、WIP无法解释、盘点差异未调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前三个月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S&amp;OP、主数据流程、月结日历、盘点制度、报废和废料制度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建立台账、RACI、阈值、循环盘点、权限整改和管理报告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5"/>
              </w:rPr>
              <w:t>历史问题无人认领、老板口头调整库存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CE4D6"/>
          </w:tcPr>
          <w:p>
            <w:r>
              <w:rPr>
                <w:b/>
              </w:rPr>
              <w:t>【责任保护】</w:t>
            </w:r>
            <w:r>
              <w:t>保存接手日数据快照、已取得/缺失资料清单、历史问题清单、首次报告和管理层指示。对未验证余额明确标为“待核实”，不要倒签、补造或替他人确认。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第十七章 月末存货结账SOP与Checklist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567"/>
            <w:shd w:fill="17365D"/>
          </w:tcPr>
          <w:p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030"/>
            <w:shd w:fill="17365D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6"/>
              </w:rPr>
              <w:t>控制结果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锁定月结截止和模块期间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检查未过账收货/发货/调拨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完成采购暂估与到票差异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清理负库存和异常单位成本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核对工单领退料和BOM超耗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确认WIP、完工和成本分配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核对销售出库、收入、发出商品和退货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处理盘点差异、报废和外仓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更新库龄、呆滞和NRV测试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进入下一节点</w:t>
            </w:r>
          </w:p>
        </w:tc>
      </w:tr>
      <w:tr>
        <w:tc>
          <w:tcPr>
            <w:tcW w:type="dxa" w:w="56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703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总账-模块-WMS勾稽并出管理报告</w:t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关闭并复盘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3969"/>
            <w:shd w:fill="17365D"/>
          </w:tcPr>
          <w:p>
            <w:r>
              <w:rPr>
                <w:b/>
                <w:color w:val="FFFFFF"/>
                <w:sz w:val="14"/>
              </w:rPr>
              <w:t>明确动作</w:t>
            </w:r>
          </w:p>
        </w:tc>
        <w:tc>
          <w:tcPr>
            <w:tcW w:type="dxa" w:w="1361"/>
            <w:shd w:fill="17365D"/>
          </w:tcPr>
          <w:p>
            <w:r>
              <w:rPr>
                <w:b/>
                <w:color w:val="FFFFFF"/>
                <w:sz w:val="14"/>
              </w:rPr>
              <w:t>责任人</w:t>
            </w:r>
          </w:p>
        </w:tc>
        <w:tc>
          <w:tcPr>
            <w:tcW w:type="dxa" w:w="850"/>
            <w:shd w:fill="17365D"/>
          </w:tcPr>
          <w:p>
            <w:r>
              <w:rPr>
                <w:b/>
                <w:color w:val="FFFFFF"/>
                <w:sz w:val="14"/>
              </w:rPr>
              <w:t>截止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异常/处理</w:t>
            </w:r>
          </w:p>
        </w:tc>
        <w:tc>
          <w:tcPr>
            <w:tcW w:type="dxa" w:w="1871"/>
            <w:shd w:fill="17365D"/>
          </w:tcPr>
          <w:p>
            <w:r>
              <w:rPr>
                <w:b/>
                <w:color w:val="FFFFFF"/>
                <w:sz w:val="14"/>
              </w:rPr>
              <w:t>复核/关闭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锁定所有仓库月末收发截点并保存单据编号区间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检查月末前后5日大额入库、出库、退货和调拨的截止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导出已到货未入库、已入库未到票、已开票未收货清单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按GR/合同价完成未到票暂估并防止与正式发票重复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逐笔分析所有负库存SKU，纠正业务单据并评估成本影响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核对总账存货科目与存货/成本模块，解释全部差异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核对存货模块数量与WMS/仓库台账，跟进差异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复核本月所有手工库存调整、反过账和成本修改日志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检查工单领料、退料、补料、替代料和BOM超耗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建立期初WIP+投入-完工-报废=期末WIP数量桥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核对完工报工与质量合格、仓库完工入库和工单结算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核对销售订单、出库、签收、收入、发票和营业成本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检查发出商品、寄售、客户退货和跨月销售退回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检查同法人未达调拨及跨法人调拨的交易/税务处理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取得外协、3PL、客户仓和供应商保管库存对账证据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导出&gt;180天和&gt;365天库存并取得业务使用/处置计划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更新呆滞库存Owner、预计损失、截止日和状态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识别停产、质量、售价下降和订单取消，完成NRV测算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检查报废、不良品和废料的隔离、审批、出门和收款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复核盘点差异是否批准、入账、追责及完成整改</w:t>
            </w:r>
          </w:p>
        </w:tc>
        <w:tc>
          <w:tcPr>
            <w:tcW w:type="dxa" w:w="136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输出库存余额、周转、库龄、负库存、呆滞、跌价和重大Issue一页报告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850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D+3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第十八章 管理指标与一页汇报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417"/>
            <w:shd w:fill="17365D"/>
          </w:tcPr>
          <w:p>
            <w:r>
              <w:rPr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1814"/>
            <w:shd w:fill="17365D"/>
          </w:tcPr>
          <w:p>
            <w:r>
              <w:rPr>
                <w:b/>
                <w:color w:val="FFFFFF"/>
                <w:sz w:val="14"/>
              </w:rPr>
              <w:t>公式/定义</w:t>
            </w:r>
          </w:p>
        </w:tc>
        <w:tc>
          <w:tcPr>
            <w:tcW w:type="dxa" w:w="1928"/>
            <w:shd w:fill="17365D"/>
          </w:tcPr>
          <w:p>
            <w:r>
              <w:rPr>
                <w:b/>
                <w:color w:val="FFFFFF"/>
                <w:sz w:val="14"/>
              </w:rPr>
              <w:t>管理意义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4"/>
              </w:rPr>
              <w:t>异常后查什么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794"/>
            <w:shd w:fill="17365D"/>
          </w:tcPr>
          <w:p>
            <w:r>
              <w:rPr>
                <w:b/>
                <w:color w:val="FFFFFF"/>
                <w:sz w:val="14"/>
              </w:rPr>
              <w:t>频率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存货周转率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营业成本÷平均存货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库存转化为销售成本的速度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下降可能因备货、滞销、产能瓶颈、成本上涨或数据错误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分原料/WIP/成品、产品线、工厂、库龄下钻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存货周转天数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期间天数÷周转率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现金被库存占用的时间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上升压缩现金；过低也可能缺货停产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结合缺货率、交付率和销售预测偏差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库存准确率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1-差异绝对金额÷盘点账面金额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账卡物可靠程度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下降说明无单移动、主数据或权限失控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按仓库、保管人、差异原因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月/季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呆滞库存率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呆滞库存金额÷总库存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潜在损失与资金占用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产品停产、预测失败、MOQ或BOM变更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按形成原因、责任部门、处置期限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一年以上库存占比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库龄&gt;365天金额÷总库存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长期资金占用与跌价信号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可能是战略备件，也可能已失去用途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逐SKU取得使用/销售/处置证据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负库存物料数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期末数量&lt;0的SKU数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截止、成本和权限异常信号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先出后入、错码、跨期或允许超发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逐笔追溯出入库时间和单据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日/月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盘点差异率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盘点差异绝对金额÷盘点范围账面金额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实物控制质量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差异净额小不代表风险小，应看绝对额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按盈亏、串料、漏单、盗损分类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次/季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BOM超耗率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(实际领料-标准用量)÷标准用量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生产损耗和成本效率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工艺、质量、BOM、浪费或舞弊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按工单、物料、班组、损耗原因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周/月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在产品周转天数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平均WIP÷当期完工成本×期间天数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生产节拍和工序积压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瓶颈、停工待料、良率下降或假完工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按工序、工单、滞留天数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周/月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报废率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报废成本÷投入或产出成本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质量损失和处置风险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工艺不稳、来料差、保管不当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按原因、责任部门、废料去向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缺货率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缺货订单行÷总订单行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供货保障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过低库存、预测或供应异常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结合安全库存和加急采购</w:t>
            </w:r>
          </w:p>
        </w:tc>
        <w:tc>
          <w:tcPr>
            <w:tcW w:type="dxa" w:w="79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周/月</w:t>
            </w:r>
          </w:p>
        </w:tc>
      </w:tr>
      <w:tr>
        <w:tc>
          <w:tcPr>
            <w:tcW w:type="dxa" w:w="141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预测准确率</w:t>
            </w:r>
          </w:p>
        </w:tc>
        <w:tc>
          <w:tcPr>
            <w:tcW w:type="dxa" w:w="181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1-|预测-实际|÷实际（按政策汇总）</w:t>
            </w:r>
          </w:p>
        </w:tc>
        <w:tc>
          <w:tcPr>
            <w:tcW w:type="dxa" w:w="192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采购和产能计划质量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系统性高估造成积压，低估造成缺货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按销售、SKU、客户、滚动月份</w:t>
            </w:r>
          </w:p>
        </w:tc>
        <w:tc>
          <w:tcPr>
            <w:tcW w:type="dxa" w:w="79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4"/>
              </w:rPr>
              <w:t>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 一页管理报告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6"/>
              </w:rPr>
              <w:t>本月显示</w:t>
            </w:r>
          </w:p>
        </w:tc>
        <w:tc>
          <w:tcPr>
            <w:tcW w:type="dxa" w:w="4819"/>
            <w:shd w:fill="17365D"/>
          </w:tcPr>
          <w:p>
            <w:r>
              <w:rPr>
                <w:b/>
                <w:color w:val="FFFFFF"/>
                <w:sz w:val="16"/>
              </w:rPr>
              <w:t>管理结论写法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规模与现金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总库存2,327万元；周转天数约111天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本月增加主要来自HC-200成品和旧款库存，预计占用现金X万元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结构与风险</w:t>
            </w:r>
          </w:p>
        </w:tc>
        <w:tc>
          <w:tcPr>
            <w:tcW w:type="dxa" w:w="28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&gt;365天、呆滞、负库存、WIP</w:t>
            </w:r>
          </w:p>
        </w:tc>
        <w:tc>
          <w:tcPr>
            <w:tcW w:type="dxa" w:w="481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不要只报比例，列出前五SKU、原因、Owner和期限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效率与供货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原料/WIP/成品周转、缺货率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判断是供货保障还是积压，说明服务水平影响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会计风险</w:t>
            </w:r>
          </w:p>
        </w:tc>
        <w:tc>
          <w:tcPr>
            <w:tcW w:type="dxa" w:w="283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盘点差异、NRV、手工调整、截止</w:t>
            </w:r>
          </w:p>
        </w:tc>
        <w:tc>
          <w:tcPr>
            <w:tcW w:type="dxa" w:w="481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说明潜在损失区间和报表科目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管理动作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退供、消耗、促销、替代、报废、权限修复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写预计释放现金/减少损失、完成日和决策请求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第十九章 高频实战案例库</w:t>
      </w:r>
    </w:p>
    <w:p>
      <w:pPr>
        <w:spacing w:after="80" w:line="278" w:lineRule="auto"/>
      </w:pPr>
      <w:r>
        <w:t>以下案例统一要求先保全事实和系统快照，再判断会计、管理和责任。财务主管不能用一张调整凭证替代业务事实。</w:t>
      </w:r>
    </w:p>
    <w:p>
      <w:pPr>
        <w:pStyle w:val="Heading3"/>
        <w:keepNext/>
      </w:pPr>
      <w:r>
        <w:t>INV-C01 盘点发现少了100万元存货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立即冻结相关库位和调整权限，复盘并保全门禁、单据和监控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仓库、生产、安保、IT、内审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按SKU做账到物/物到账追溯；区分漏单、串料、损耗、盗损；未经批准不直接调平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疑似盗窃、管理层干预或重大错报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INV-C02 ERP长期存在负库存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导出最早负数日期及全部后续交易，临时禁止超发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仓库、生产、IT、成本会计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查先出后入、错码、跨期和接口；先纠正业务单据，再重算成本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负库存跨期影响毛利或有人绕过控制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INV-C03 原材料一年没有使用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确认是否战略备件、专用料或已失去用途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计划、采购、研发、生产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取得未来订单/BOM/维修计划；制定退供、替代、消耗、出售或跌价方案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业务拒绝承诺使用计划或金额重大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INV-C04 成品积压两年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锁定库存，核对是否仍可售、售价和质量状态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销售、产品、质量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按SKU取得报价、销售计划和处置成本，测算NRV并建立Closure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老板要求不计提且证据表明价值显著下降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INV-C05 生产领料比BOM高30%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按工单冻结异常原因码，核对退料、补料和产量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生产、工艺、质量、仓库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拆分价格/用量差异；现场验证损耗、返工、替代料、错领或舞弊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连续多期、集中班组或贵重料异常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INV-C06 系统有货但现场找不到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执行卡到物复盘并查最后移动单据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仓库、生产、物流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查错库位、未过账出库、外借、在途、盗损；按事实更正或履行损失程序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实物可能被转移或证据灭失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INV-C07 现场有货但系统没有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隔离实物并禁止使用，查来源和权属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仓库、采购、生产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查未入库、退料未录、客户/供应商寄存、账外采购；确认权属后入账或退回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来源不明、无合同或可能账外循环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INV-C08 同一物料有三个编码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暂停新增编码，建立旧码到主码映射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主数据、采购、研发、仓库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核对规格、单位、批次和历史交易；审批合并并重算库龄，不直接抹掉历史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影响成本、追溯或法规批次管理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INV-C09 在产品数量无法确认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按工单和工序划区，确定基准时点并现场点验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生产、计划、工艺、成本会计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建立投入-完工-报废-期末WIP数量桥；无法精确时采用可验证估计并改进报工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管理层仅给总金额、拒绝现场验证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INV-C10 产品停产但库存仍很多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取得停产决议、替代产品和售后义务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产品、销售、研发、采购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区分可用于售后/替代/退供和不可用部分；制定处置与跌价测试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停产后仍继续采购或隐瞒库存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INV-C11 销售下降但库存大幅增加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做库存增长桥并与收入、产量、采购价格比较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销售、计划、采购、生产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识别提前备货、预测偏差、滞销、产线瓶颈和成本上涨；按责任设减量计划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现金紧张仍持续无订单生产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INV-C12 大量报废品长期未处理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物理隔离、封存并核对系统状态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质量、生产、仓库、采购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完成技术鉴定、审批、报废出库、税务证据和废料处置，不与良品混放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存在二次流入或被私售风险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INV-C13 废料出售收入未入账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控制废料区、称重单和出门权限，核对银行/现金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生产、仓库、行政、资金、税务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查历史数量、售价、买方和收款；补会计税务处理并整改竞价、双人监督和公司收款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资金进入个人账户或采购仓库串通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INV-C14 客户退货一直放仓库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隔离退货，核对退货授权、质检和所有权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销售、质量、仓库、AR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决定可修、可售、报废或退回客户；及时完成红字/收入成本和库存处理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退货掩盖渠道压货或收入截止问题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INV-C15 老板不愿计提跌价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提交逐SKU成本、NRV证据和敏感性分析，书面记录判断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销售、产品、财务经理、审计委员会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依据准则按成本与NRV孰低；业务计划只能作为有证据假设，不能代替计量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要求做无依据零计提或隐瞒事实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INV-C16 月底突然出现大量入库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核对实物到货、质检、门禁、GR创建人和时间戳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采购、仓库、质量、AP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检查截止、虚假入库、次月冲回和供应商对账；必要时撤销无事实单据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集中同人操作、无实物或为满足业绩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INV-C17 年末盘点前集中调整库存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保留调整前快照和日志，独立复核每笔依据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仓库、IT、财务经理、内审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区分正常清账和无依据调平；重盘高风险SKU并检查反向分录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删除日志、倒签或管理层越权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INV-C18 仓库人员可自行删除出库单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立即收回删除/反过账权限并审阅日志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IT、仓库负责人、内审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改为冲销单+审批+完整日志；复查历史删除和相关盘点差异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日志缺失或发现资金/实物流失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INV-C19 外地仓库无法现场盘点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锁定基准日库存并取得第三方库存清单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3PL、物流、销售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远程视频随机抽码、回函、物流流水和期后收发；重大风险安排人员或第三方现场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第三方拒绝回函或库存长期不动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INV-C20 生产完工1000件但仓库只入950件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冻结工单结算，核对报工、入库、检验、不良和线边库存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生产、质量、仓库、成本会计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建立数量桥：投入、良品、不良、返工、在制、入库；按事实补单或更正报工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差异反复或涉及产量奖金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INV-C21 发货已确认收入但系统无出库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查物流、签收、订单、仓库和接口日志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销售、物流、仓库、AR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确认真实履约与所有权；补正确出库/成本或更正收入，检查截止和毛利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无物流实物仍确认收入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INV-C22 寄售客户仓库存货长期无回传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核对寄售协议、消耗报告和客户库存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销售、客户、法务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建立企业自有库存台账、定期对账盘点；以控制转移判断收入，不以开票代替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客户拒绝确认、库存丢失或权属不清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INV-C23 采购赠品未入账被仓库私用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查合同、送货单、供应商对账和现场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采购、仓库、内审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按商业实质分摊采购成本或按政策管理零成本数量；纳入正常收发与盘点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赠品被个人占有或转售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INV-C24 单位成本突然上涨20%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6"/>
              </w:rPr>
              <w:t>处理环节</w:t>
            </w:r>
          </w:p>
        </w:tc>
        <w:tc>
          <w:tcPr>
            <w:tcW w:type="dxa" w:w="7427"/>
            <w:shd w:fill="17365D"/>
          </w:tcPr>
          <w:p>
            <w:r>
              <w:rPr>
                <w:b/>
                <w:color w:val="FFFFFF"/>
                <w:sz w:val="16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发现后第一步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做材料价格、单耗、人工、制造费用、产量和结构桥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沟通对象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采购、生产、工艺、成本会计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调查与判断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先验证数量和计价完整，再定位采购涨价、超耗、低产能和分摊；形成Owner和期限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必须升级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成本被手工修改或用于操纵毛利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会计处理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先确定真实权属、数量、成本和期间。账错做凭证；业务单据错先按授权冲销/更正。不得用无依据库存调整把差异调平。</w:t>
            </w:r>
          </w:p>
        </w:tc>
      </w:tr>
      <w:tr>
        <w:tc>
          <w:tcPr>
            <w:tcW w:type="dxa" w:w="170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管理整改</w:t>
            </w:r>
          </w:p>
        </w:tc>
        <w:tc>
          <w:tcPr>
            <w:tcW w:type="dxa" w:w="7427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指定Owner、完成日和临时控制；关闭时检查实物、系统、总账及证据均已更新。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责任留痕</w:t>
            </w:r>
          </w:p>
        </w:tc>
        <w:tc>
          <w:tcPr>
            <w:tcW w:type="dxa" w:w="7427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保存原始快照、盘点/系统日志、沟通、审批、调整依据和Closure验证。历史问题注明发现日及接手边界。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第二十章 20%核心知识与工具包使用</w:t>
      </w:r>
    </w:p>
    <w:p>
      <w:pPr>
        <w:pStyle w:val="ListBullet"/>
        <w:spacing w:after="40"/>
      </w:pPr>
      <w:r>
        <w:t>先明确权属、地点、数量、单位成本、状态和期间六个维度。</w:t>
      </w:r>
    </w:p>
    <w:p>
      <w:pPr>
        <w:pStyle w:val="ListBullet"/>
        <w:spacing w:after="40"/>
      </w:pPr>
      <w:r>
        <w:t>总账、存货模块、WMS/台账和实物必须形成可解释闭环。</w:t>
      </w:r>
    </w:p>
    <w:p>
      <w:pPr>
        <w:pStyle w:val="ListBullet"/>
        <w:spacing w:after="40"/>
      </w:pPr>
      <w:r>
        <w:t>负库存、长期WIP、期末集中入库、手工成本修改是高优先级红旗。</w:t>
      </w:r>
    </w:p>
    <w:p>
      <w:pPr>
        <w:pStyle w:val="ListBullet"/>
        <w:spacing w:after="40"/>
      </w:pPr>
      <w:r>
        <w:t>盘点必须有范围、冻结/移动控制、盲盘、双向测试、差异复盘和Closure。</w:t>
      </w:r>
    </w:p>
    <w:p>
      <w:pPr>
        <w:pStyle w:val="ListBullet"/>
        <w:spacing w:after="40"/>
      </w:pPr>
      <w:r>
        <w:t>呆滞是管理判断，跌价是会计计量；逐SKU取得售价、用途、成本和处置证据。</w:t>
      </w:r>
    </w:p>
    <w:p>
      <w:pPr>
        <w:pStyle w:val="ListBullet"/>
        <w:spacing w:after="40"/>
      </w:pPr>
      <w:r>
        <w:t>库存增加必须拆解量、价、结构、预测、生产瓶颈和滞销，最终落到现金。</w:t>
      </w:r>
    </w:p>
    <w:p>
      <w:pPr>
        <w:pStyle w:val="ListBullet"/>
        <w:spacing w:after="40"/>
      </w:pPr>
      <w:r>
        <w:t>财务负责核算、监督、复核和升级，不代替仓库保管或业务预测。</w:t>
      </w:r>
    </w:p>
    <w:p>
      <w:pPr>
        <w:pStyle w:val="ListBullet"/>
        <w:spacing w:after="40"/>
      </w:pPr>
      <w:r>
        <w:t>所有异常要有Owner、截止、临时控制、升级条件和关闭验证。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shd w:fill="17365D"/>
          </w:tcPr>
          <w:p>
            <w:r>
              <w:rPr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969"/>
            <w:shd w:fill="17365D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984"/>
            <w:shd w:fill="17365D"/>
          </w:tcPr>
          <w:p>
            <w:r>
              <w:rPr>
                <w:b/>
                <w:color w:val="FFFFFF"/>
                <w:sz w:val="16"/>
              </w:rPr>
              <w:t>更新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库存明细/库龄/呆滞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识别金额、地点、长期未动和处理责任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月/周</w:t>
            </w:r>
          </w:p>
        </w:tc>
      </w:tr>
      <w:tr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负库存/异常收发/BOM超耗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控制日常异常和成本风险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日/周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WIP/完工差异/外仓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验证生产与外部存货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周/月</w:t>
            </w:r>
          </w:p>
        </w:tc>
      </w:tr>
      <w:tr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盘点计划/盲盘/差异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组织盘点和关闭差异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盘点时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跌价测算/报废/废料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会计计量、税务证据和实物退出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月/事项</w:t>
            </w:r>
          </w:p>
        </w:tc>
      </w:tr>
      <w:tr>
        <w:tc>
          <w:tcPr>
            <w:tcW w:type="dxa" w:w="255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Checklist/接手/Issue Log</w:t>
            </w:r>
          </w:p>
        </w:tc>
        <w:tc>
          <w:tcPr>
            <w:tcW w:type="dxa" w:w="3969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推动责任、期限、升级和Closure</w:t>
            </w:r>
          </w:p>
        </w:tc>
        <w:tc>
          <w:tcPr>
            <w:tcW w:type="dxa" w:w="1984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月/持续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管理看板/指标/案例库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管理层报告与学习演练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6"/>
              </w:rPr>
              <w:t>月/按需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附录A 主要政策和实务来源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65"/>
            <w:shd w:fill="17365D"/>
          </w:tcPr>
          <w:p>
            <w:r>
              <w:rPr>
                <w:b/>
                <w:color w:val="FFFFFF"/>
                <w:sz w:val="13"/>
              </w:rPr>
              <w:t>名称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3"/>
              </w:rPr>
              <w:t>文件号/机构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3"/>
              </w:rPr>
              <w:t>与本手册关系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3"/>
              </w:rPr>
              <w:t>官方链接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企业会计准则第1号——存货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财会〔2006〕3号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确认、计量、成本结转、成本与可变现净值孰低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https://kjs.mof.gov.cn/zt/kjzzss/kuaijizhunzeshishi/200806/t20080618_46216.htm</w:t>
            </w:r>
          </w:p>
        </w:tc>
      </w:tr>
      <w:tr>
        <w:tc>
          <w:tcPr>
            <w:tcW w:type="dxa" w:w="266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企业内部控制应用指引第8号——资产管理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财会〔2010〕11号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存货验收、保管、领用、盘点、处置等控制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https://kjs.mof.gov.cn/zhengcefabu/201005/P020230421440664863663.pdf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《企业内部控制应用指引第8号——资产管理》解读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财政部会计司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存货取得、验收、仓储、生产、盘点和处置实务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https://kjs.mof.gov.cn/zhengcejiedu/201006/t20100610_322244.htm</w:t>
            </w:r>
          </w:p>
        </w:tc>
      </w:tr>
      <w:tr>
        <w:tc>
          <w:tcPr>
            <w:tcW w:type="dxa" w:w="266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企业资产损失所得税税前扣除管理办法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国家税务总局公告2011年第25号（现行内容以税务法规库为准）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存货盘亏、报废、毁损等损失证据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https://fgk.chinatax.gov.cn/zcfgk/c100012/c5194226/content.html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企业所得税资产损失资料留存备查事项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国家税务总局公告2018年第15号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资产损失申报资料由企业留存备查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https://fgk.chinatax.gov.cn/zcfgk/c100012/c5194797/content.html</w:t>
            </w:r>
          </w:p>
        </w:tc>
      </w:tr>
      <w:tr>
        <w:tc>
          <w:tcPr>
            <w:tcW w:type="dxa" w:w="266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中华人民共和国增值税法实施条例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国务院令（2026年起施行）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存货损失、非正常损失等事项需结合现行增值税规则判断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https://fgk.chinatax.gov.cn/zcfgk/c100010/c5246349/content.html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企业资产损失税前扣除政策问答：存货损失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国家税务总局12366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盘亏、报废、毁损存货损失证据提示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https://12366.chinatax.gov.cn/bzds/062/062-5-3.html</w:t>
            </w:r>
          </w:p>
        </w:tc>
      </w:tr>
      <w:tr>
        <w:tc>
          <w:tcPr>
            <w:tcW w:type="dxa" w:w="2665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严格执行企业会计准则做好企业年报工作有关通知</w:t>
            </w:r>
          </w:p>
        </w:tc>
        <w:tc>
          <w:tcPr>
            <w:tcW w:type="dxa" w:w="2268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财政部</w:t>
            </w:r>
          </w:p>
        </w:tc>
        <w:tc>
          <w:tcPr>
            <w:tcW w:type="dxa" w:w="3402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强调可靠信息、存货可变现净值和及时计提跌价</w:t>
            </w:r>
          </w:p>
        </w:tc>
        <w:tc>
          <w:tcPr>
            <w:tcW w:type="dxa" w:w="2381"/>
            <w:vAlign w:val="center"/>
            <w:shd w:fill="EFF5F9"/>
          </w:tcPr>
          <w:p>
            <w:pPr>
              <w:spacing w:after="20" w:line="240" w:lineRule="auto"/>
            </w:pPr>
            <w:r>
              <w:rPr>
                <w:rFonts w:ascii="Microsoft YaHei" w:hAnsi="Microsoft YaHei"/>
                <w:sz w:val="13"/>
              </w:rPr>
              <w:t>https://m.mof.gov.cn/czxw/202501/t20250106_3951168.htm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</w:rPr>
              <w:t>【适用说明】</w:t>
            </w:r>
            <w:r>
              <w:t>会计准则和税法是外部规则；盘点频率、库龄阈值、容差、安全库存、审批金额和抽盘范围通常需要企业结合业务制定。税务处理应按损失原因、用途、地区和办理时点核对最新有效口径。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79" w:right="879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企业存货管理实战手册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