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 w:eastAsia="Microsoft YaHei"/>
          <w:b/>
          <w:color w:val="1C242E"/>
          <w:sz w:val="44"/>
        </w:rPr>
        <w:t>AIGC 视频项目服务合同模板</w:t>
      </w:r>
    </w:p>
    <w:p>
      <w:pPr>
        <w:spacing w:before="0" w:after="200" w:line="264" w:lineRule="auto"/>
      </w:pPr>
      <w:r>
        <w:rPr>
          <w:rFonts w:ascii="Calibri" w:hAnsi="Calibri" w:eastAsia="Microsoft YaHei"/>
          <w:b w:val="0"/>
          <w:color w:val="5C6571"/>
          <w:sz w:val="25"/>
        </w:rPr>
        <w:t>用于 SOP4：工作量估算、报价合同与交付清单</w:t>
      </w:r>
    </w:p>
    <w:p>
      <w:pPr>
        <w:spacing w:before="0" w:after="240" w:line="264" w:lineRule="auto"/>
        <w:pBdr>
          <w:bottom w:val="single" w:sz="8" w:space="8" w:color="C9D3DF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8" w:space="0" w:color="C9D3DF"/>
          <w:left w:val="single" w:sz="8" w:space="0" w:color="C9D3DF"/>
          <w:bottom w:val="single" w:sz="8" w:space="0" w:color="C9D3DF"/>
          <w:right w:val="single" w:sz="8" w:space="0" w:color="C9D3DF"/>
          <w:insideH w:val="single" w:sz="8" w:space="0" w:color="C9D3DF"/>
          <w:insideV w:val="single" w:sz="8" w:space="0" w:color="C9D3DF"/>
        </w:tblBorders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模板版本</w:t>
            </w:r>
          </w:p>
        </w:tc>
        <w:tc>
          <w:tcPr>
            <w:tcW w:type="dxa" w:w="756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1"/>
              </w:rPr>
              <w:t>SOP4-五板块商务模板 v1</w:t>
            </w:r>
          </w:p>
        </w:tc>
      </w:tr>
      <w:tr>
        <w:tc>
          <w:tcPr>
            <w:tcW w:type="dxa" w:w="1800"/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适用场景</w:t>
            </w:r>
          </w:p>
        </w:tc>
        <w:tc>
          <w:tcPr>
            <w:tcW w:type="dxa" w:w="756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1"/>
              </w:rPr>
              <w:t>AIGC 视频项目的工作量估算、报价确认、合同签署、交付清单锁定</w:t>
            </w:r>
          </w:p>
        </w:tc>
      </w:tr>
      <w:tr>
        <w:tc>
          <w:tcPr>
            <w:tcW w:type="dxa" w:w="1800"/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上传解析</w:t>
            </w:r>
          </w:p>
        </w:tc>
        <w:tc>
          <w:tcPr>
            <w:tcW w:type="dxa" w:w="756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1"/>
              </w:rPr>
              <w:t>拖拽到 SOP4 合同模板投放区后，系统按下方五个一级标题拆成填写区。</w:t>
            </w:r>
          </w:p>
        </w:tc>
      </w:tr>
      <w:tr>
        <w:tc>
          <w:tcPr>
            <w:tcW w:type="dxa" w:w="1800"/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解析锚点</w:t>
            </w:r>
          </w:p>
        </w:tc>
        <w:tc>
          <w:tcPr>
            <w:tcW w:type="dxa" w:w="756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1"/>
              </w:rPr>
              <w:t>一、工作量估算生成商务草稿；二、报价编辑与甲方确认；三、合同编辑和签署；四、确认交付清单；五、锁定</w:t>
            </w:r>
          </w:p>
        </w:tc>
      </w:tr>
    </w:tbl>
    <w:p>
      <w:pPr>
        <w:spacing w:before="0" w:after="80" w:line="26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8" w:space="0" w:color="C9D3DF"/>
          <w:left w:val="single" w:sz="8" w:space="0" w:color="C9D3DF"/>
          <w:bottom w:val="single" w:sz="8" w:space="0" w:color="C9D3DF"/>
          <w:right w:val="single" w:sz="8" w:space="0" w:color="C9D3DF"/>
          <w:insideH w:val="single" w:sz="8" w:space="0" w:color="C9D3DF"/>
          <w:insideV w:val="single" w:sz="8" w:space="0" w:color="C9D3DF"/>
        </w:tblBorders>
      </w:tblPr>
      <w:tblGrid>
        <w:gridCol w:w="1800"/>
        <w:gridCol w:w="7560"/>
      </w:tblGrid>
      <w:tr>
        <w:tc>
          <w:tcPr>
            <w:tcW w:type="dxa" w:w="1800"/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填写规则</w:t>
            </w:r>
          </w:p>
        </w:tc>
        <w:tc>
          <w:tcPr>
            <w:tcW w:type="dxa" w:w="756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1"/>
              </w:rPr>
              <w:t>保留五个一级标题不改名；双花括号字段为系统或人工填写占位，可替换为实际内容。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版本规则</w:t>
            </w:r>
          </w:p>
        </w:tc>
        <w:tc>
          <w:tcPr>
            <w:tcW w:type="dxa" w:w="756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1"/>
              </w:rPr>
              <w:t>合同正文、报价、签署状态和交付清单以系统保存的最新版本为准。</w:t>
            </w:r>
          </w:p>
        </w:tc>
      </w:tr>
    </w:tbl>
    <w:p>
      <w:pPr>
        <w:spacing w:before="0" w:after="80" w:line="264" w:lineRule="auto"/>
      </w:pPr>
    </w:p>
    <w:p>
      <w:pPr>
        <w:keepNext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合同基础信息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8" w:space="0" w:color="C9D3DF"/>
          <w:left w:val="single" w:sz="8" w:space="0" w:color="C9D3DF"/>
          <w:bottom w:val="single" w:sz="8" w:space="0" w:color="C9D3DF"/>
          <w:right w:val="single" w:sz="8" w:space="0" w:color="C9D3DF"/>
          <w:insideH w:val="single" w:sz="8" w:space="0" w:color="C9D3DF"/>
          <w:insideV w:val="single" w:sz="8" w:space="0" w:color="C9D3DF"/>
        </w:tblBorders>
      </w:tblPr>
      <w:tblGrid>
        <w:gridCol w:w="1900"/>
        <w:gridCol w:w="7460"/>
      </w:tblGrid>
      <w:tr>
        <w:tc>
          <w:tcPr>
            <w:tcW w:type="dxa" w:w="1900"/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合同标题</w:t>
            </w:r>
          </w:p>
        </w:tc>
        <w:tc>
          <w:tcPr>
            <w:tcW w:type="dxa" w:w="746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1"/>
              </w:rPr>
              <w:t>{{contract_title}}</w:t>
            </w:r>
          </w:p>
        </w:tc>
      </w:tr>
      <w:tr>
        <w:tc>
          <w:tcPr>
            <w:tcW w:type="dxa" w:w="1900"/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甲方</w:t>
            </w:r>
          </w:p>
        </w:tc>
        <w:tc>
          <w:tcPr>
            <w:tcW w:type="dxa" w:w="746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1"/>
              </w:rPr>
              <w:t>{{party_a_name}}</w:t>
            </w:r>
          </w:p>
        </w:tc>
      </w:tr>
      <w:tr>
        <w:tc>
          <w:tcPr>
            <w:tcW w:type="dxa" w:w="1900"/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乙方</w:t>
            </w:r>
          </w:p>
        </w:tc>
        <w:tc>
          <w:tcPr>
            <w:tcW w:type="dxa" w:w="746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1"/>
              </w:rPr>
              <w:t>{{party_b_name}}</w:t>
            </w:r>
          </w:p>
        </w:tc>
      </w:tr>
      <w:tr>
        <w:tc>
          <w:tcPr>
            <w:tcW w:type="dxa" w:w="1900"/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项目名称</w:t>
            </w:r>
          </w:p>
        </w:tc>
        <w:tc>
          <w:tcPr>
            <w:tcW w:type="dxa" w:w="746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1"/>
              </w:rPr>
              <w:t>{{project_name}}</w:t>
            </w:r>
          </w:p>
        </w:tc>
      </w:tr>
      <w:tr>
        <w:tc>
          <w:tcPr>
            <w:tcW w:type="dxa" w:w="1900"/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关联报价</w:t>
            </w:r>
          </w:p>
        </w:tc>
        <w:tc>
          <w:tcPr>
            <w:tcW w:type="dxa" w:w="746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1"/>
              </w:rPr>
              <w:t>{{quote_title}}</w:t>
            </w:r>
          </w:p>
        </w:tc>
      </w:tr>
      <w:tr>
        <w:tc>
          <w:tcPr>
            <w:tcW w:type="dxa" w:w="1900"/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报价金额</w:t>
            </w:r>
          </w:p>
        </w:tc>
        <w:tc>
          <w:tcPr>
            <w:tcW w:type="dxa" w:w="746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1"/>
              </w:rPr>
              <w:t>{{quote_currency}} {{quote_total_amount}}</w:t>
            </w:r>
          </w:p>
        </w:tc>
      </w:tr>
      <w:tr>
        <w:tc>
          <w:tcPr>
            <w:tcW w:type="dxa" w:w="1900"/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生效日期</w:t>
            </w:r>
          </w:p>
        </w:tc>
        <w:tc>
          <w:tcPr>
            <w:tcW w:type="dxa" w:w="746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1"/>
              </w:rPr>
              <w:t>{{effective_date}}</w:t>
            </w:r>
          </w:p>
        </w:tc>
      </w:tr>
      <w:tr>
        <w:tc>
          <w:tcPr>
            <w:tcW w:type="dxa" w:w="1900"/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签署状态</w:t>
            </w:r>
          </w:p>
        </w:tc>
        <w:tc>
          <w:tcPr>
            <w:tcW w:type="dxa" w:w="746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1"/>
              </w:rPr>
              <w:t>{{contract_status}}</w:t>
            </w:r>
          </w:p>
        </w:tc>
      </w:tr>
    </w:tbl>
    <w:p>
      <w:pPr>
        <w:spacing w:before="0" w:after="80" w:line="264" w:lineRule="auto"/>
      </w:pPr>
    </w:p>
    <w:p>
      <w:pPr>
        <w:keepNext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一、工作量估算生成商务草稿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C242E"/>
          <w:sz w:val="21"/>
        </w:rPr>
        <w:t>本板块用于把项目生产范围、复杂度和资源投入转成商务草稿。工作量估算是报价和交付清单的输入，不单独构成最终承诺。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8" w:space="0" w:color="C9D3DF"/>
          <w:left w:val="single" w:sz="8" w:space="0" w:color="C9D3DF"/>
          <w:bottom w:val="single" w:sz="8" w:space="0" w:color="C9D3DF"/>
          <w:right w:val="single" w:sz="8" w:space="0" w:color="C9D3DF"/>
          <w:insideH w:val="single" w:sz="8" w:space="0" w:color="C9D3DF"/>
          <w:insideV w:val="single" w:sz="8" w:space="0" w:color="C9D3DF"/>
        </w:tblBorders>
      </w:tblPr>
      <w:tblGrid>
        <w:gridCol w:w="1900"/>
        <w:gridCol w:w="7460"/>
      </w:tblGrid>
      <w:tr>
        <w:tc>
          <w:tcPr>
            <w:tcW w:type="dxa" w:w="1900"/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估算依据</w:t>
            </w:r>
          </w:p>
        </w:tc>
        <w:tc>
          <w:tcPr>
            <w:tcW w:type="dxa" w:w="746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1"/>
              </w:rPr>
              <w:t>{{workload_basis}}</w:t>
            </w:r>
          </w:p>
        </w:tc>
      </w:tr>
      <w:tr>
        <w:tc>
          <w:tcPr>
            <w:tcW w:type="dxa" w:w="1900"/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工作量范围</w:t>
            </w:r>
          </w:p>
        </w:tc>
        <w:tc>
          <w:tcPr>
            <w:tcW w:type="dxa" w:w="746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1"/>
              </w:rPr>
              <w:t>{{workload_scope}}</w:t>
            </w:r>
          </w:p>
        </w:tc>
      </w:tr>
      <w:tr>
        <w:tc>
          <w:tcPr>
            <w:tcW w:type="dxa" w:w="1900"/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复杂度判断</w:t>
            </w:r>
          </w:p>
        </w:tc>
        <w:tc>
          <w:tcPr>
            <w:tcW w:type="dxa" w:w="746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1"/>
              </w:rPr>
              <w:t>{{complexity_assessment}}</w:t>
            </w:r>
          </w:p>
        </w:tc>
      </w:tr>
      <w:tr>
        <w:tc>
          <w:tcPr>
            <w:tcW w:type="dxa" w:w="1900"/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商务草稿结论</w:t>
            </w:r>
          </w:p>
        </w:tc>
        <w:tc>
          <w:tcPr>
            <w:tcW w:type="dxa" w:w="746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1"/>
              </w:rPr>
              <w:t>{{business_draft_summary}}</w:t>
            </w:r>
          </w:p>
        </w:tc>
      </w:tr>
      <w:tr>
        <w:tc>
          <w:tcPr>
            <w:tcW w:type="dxa" w:w="1900"/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变更触发</w:t>
            </w:r>
          </w:p>
        </w:tc>
        <w:tc>
          <w:tcPr>
            <w:tcW w:type="dxa" w:w="746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1"/>
              </w:rPr>
              <w:t>{{workload_change_trigger}}</w:t>
            </w:r>
          </w:p>
        </w:tc>
      </w:tr>
    </w:tbl>
    <w:p>
      <w:pPr>
        <w:spacing w:before="0" w:after="80" w:line="264" w:lineRule="auto"/>
      </w:pP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 w:eastAsia="Microsoft YaHei"/>
          <w:color w:val="1C242E"/>
          <w:sz w:val="21"/>
        </w:rPr>
        <w:t>双方确认，估算范围包含角色、场景、镜头、图片、视频数量、修改轮次、交付版本和复杂度判断。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 w:eastAsia="Microsoft YaHei"/>
          <w:color w:val="1C242E"/>
          <w:sz w:val="21"/>
        </w:rPr>
        <w:t>工作量估算用于形成商务草稿与报价依据；最终承诺以本合同、已确认报价和交付清单为准。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 w:eastAsia="Microsoft YaHei"/>
          <w:color w:val="1C242E"/>
          <w:sz w:val="21"/>
        </w:rPr>
        <w:t>如估算依据发生变化，应登记需求变更，并重新确认交付范围、周期和费用。</w:t>
      </w:r>
    </w:p>
    <w:p>
      <w:pPr>
        <w:keepNext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二、报价编辑与甲方确认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C242E"/>
          <w:sz w:val="21"/>
        </w:rPr>
        <w:t>本板块用于锁定报价版本、报价金额和甲方确认结果。报价确认后，合同进入编辑和签署环节。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8" w:space="0" w:color="C9D3DF"/>
          <w:left w:val="single" w:sz="8" w:space="0" w:color="C9D3DF"/>
          <w:bottom w:val="single" w:sz="8" w:space="0" w:color="C9D3DF"/>
          <w:right w:val="single" w:sz="8" w:space="0" w:color="C9D3DF"/>
          <w:insideH w:val="single" w:sz="8" w:space="0" w:color="C9D3DF"/>
          <w:insideV w:val="single" w:sz="8" w:space="0" w:color="C9D3DF"/>
        </w:tblBorders>
      </w:tblPr>
      <w:tblGrid>
        <w:gridCol w:w="1900"/>
        <w:gridCol w:w="7460"/>
      </w:tblGrid>
      <w:tr>
        <w:tc>
          <w:tcPr>
            <w:tcW w:type="dxa" w:w="1900"/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报价版本</w:t>
            </w:r>
          </w:p>
        </w:tc>
        <w:tc>
          <w:tcPr>
            <w:tcW w:type="dxa" w:w="746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1"/>
              </w:rPr>
              <w:t>{{quote_version}}</w:t>
            </w:r>
          </w:p>
        </w:tc>
      </w:tr>
      <w:tr>
        <w:tc>
          <w:tcPr>
            <w:tcW w:type="dxa" w:w="1900"/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报价金额</w:t>
            </w:r>
          </w:p>
        </w:tc>
        <w:tc>
          <w:tcPr>
            <w:tcW w:type="dxa" w:w="746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1"/>
              </w:rPr>
              <w:t>{{quote_currency}} {{quote_total_amount}}</w:t>
            </w:r>
          </w:p>
        </w:tc>
      </w:tr>
      <w:tr>
        <w:tc>
          <w:tcPr>
            <w:tcW w:type="dxa" w:w="1900"/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报价包含范围</w:t>
            </w:r>
          </w:p>
        </w:tc>
        <w:tc>
          <w:tcPr>
            <w:tcW w:type="dxa" w:w="746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1"/>
              </w:rPr>
              <w:t>{{quote_included_scope}}</w:t>
            </w:r>
          </w:p>
        </w:tc>
      </w:tr>
      <w:tr>
        <w:tc>
          <w:tcPr>
            <w:tcW w:type="dxa" w:w="1900"/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费用排除项</w:t>
            </w:r>
          </w:p>
        </w:tc>
        <w:tc>
          <w:tcPr>
            <w:tcW w:type="dxa" w:w="746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1"/>
              </w:rPr>
              <w:t>{{quote_excluded_costs}}</w:t>
            </w:r>
          </w:p>
        </w:tc>
      </w:tr>
      <w:tr>
        <w:tc>
          <w:tcPr>
            <w:tcW w:type="dxa" w:w="1900"/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甲方确认结论</w:t>
            </w:r>
          </w:p>
        </w:tc>
        <w:tc>
          <w:tcPr>
            <w:tcW w:type="dxa" w:w="746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1"/>
              </w:rPr>
              <w:t>{{client_quote_confirmation}}</w:t>
            </w:r>
          </w:p>
        </w:tc>
      </w:tr>
      <w:tr>
        <w:tc>
          <w:tcPr>
            <w:tcW w:type="dxa" w:w="1900"/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确认时间</w:t>
            </w:r>
          </w:p>
        </w:tc>
        <w:tc>
          <w:tcPr>
            <w:tcW w:type="dxa" w:w="746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1"/>
              </w:rPr>
              <w:t>{{client_quote_confirmed_at}}</w:t>
            </w:r>
          </w:p>
        </w:tc>
      </w:tr>
    </w:tbl>
    <w:p>
      <w:pPr>
        <w:spacing w:before="0" w:after="80" w:line="264" w:lineRule="auto"/>
      </w:pPr>
    </w:p>
    <w:p>
      <w:pPr>
        <w:numPr>
          <w:ilvl w:val="0"/>
          <w:numId w:val="11"/>
        </w:numPr>
        <w:spacing w:after="80" w:line="264" w:lineRule="auto"/>
      </w:pPr>
      <w:r>
        <w:rPr>
          <w:rFonts w:ascii="Calibri" w:hAnsi="Calibri" w:eastAsia="Microsoft YaHei"/>
          <w:color w:val="1C242E"/>
          <w:sz w:val="21"/>
        </w:rPr>
        <w:t>本合同引用的报价为 {{quote_title}}。</w:t>
      </w:r>
    </w:p>
    <w:p>
      <w:pPr>
        <w:numPr>
          <w:ilvl w:val="0"/>
          <w:numId w:val="11"/>
        </w:numPr>
        <w:spacing w:after="80" w:line="264" w:lineRule="auto"/>
      </w:pPr>
      <w:r>
        <w:rPr>
          <w:rFonts w:ascii="Calibri" w:hAnsi="Calibri" w:eastAsia="Microsoft YaHei"/>
          <w:color w:val="1C242E"/>
          <w:sz w:val="21"/>
        </w:rPr>
        <w:t>报价包含的服务范围、修改轮次、第三方费用排除项和备注，以系统保存的报价版本为准。</w:t>
      </w:r>
    </w:p>
    <w:p>
      <w:pPr>
        <w:numPr>
          <w:ilvl w:val="0"/>
          <w:numId w:val="11"/>
        </w:numPr>
        <w:spacing w:after="80" w:line="264" w:lineRule="auto"/>
      </w:pPr>
      <w:r>
        <w:rPr>
          <w:rFonts w:ascii="Calibri" w:hAnsi="Calibri" w:eastAsia="Microsoft YaHei"/>
          <w:color w:val="1C242E"/>
          <w:sz w:val="21"/>
        </w:rPr>
        <w:t>甲方确认报价后，双方可继续完成合同正文核对、签署和交付清单锁定。</w:t>
      </w:r>
    </w:p>
    <w:p>
      <w:pPr>
        <w:keepNext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三、合同编辑和签署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C242E"/>
          <w:sz w:val="21"/>
        </w:rPr>
        <w:t>本板块用于确认合同主体、交付范围、付款条款和签署条件。未签署前，不得视为正式开工依据。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8" w:space="0" w:color="C9D3DF"/>
          <w:left w:val="single" w:sz="8" w:space="0" w:color="C9D3DF"/>
          <w:bottom w:val="single" w:sz="8" w:space="0" w:color="C9D3DF"/>
          <w:right w:val="single" w:sz="8" w:space="0" w:color="C9D3DF"/>
          <w:insideH w:val="single" w:sz="8" w:space="0" w:color="C9D3DF"/>
          <w:insideV w:val="single" w:sz="8" w:space="0" w:color="C9D3DF"/>
        </w:tblBorders>
      </w:tblPr>
      <w:tblGrid>
        <w:gridCol w:w="1900"/>
        <w:gridCol w:w="7460"/>
      </w:tblGrid>
      <w:tr>
        <w:tc>
          <w:tcPr>
            <w:tcW w:type="dxa" w:w="1900"/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合同主体</w:t>
            </w:r>
          </w:p>
        </w:tc>
        <w:tc>
          <w:tcPr>
            <w:tcW w:type="dxa" w:w="746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1"/>
              </w:rPr>
              <w:t>甲方：{{party_a_name}}；乙方：{{party_b_name}}</w:t>
            </w:r>
          </w:p>
        </w:tc>
      </w:tr>
      <w:tr>
        <w:tc>
          <w:tcPr>
            <w:tcW w:type="dxa" w:w="1900"/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交付范围</w:t>
            </w:r>
          </w:p>
        </w:tc>
        <w:tc>
          <w:tcPr>
            <w:tcW w:type="dxa" w:w="746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1"/>
              </w:rPr>
              <w:t>{{delivery_scope}}</w:t>
            </w:r>
          </w:p>
        </w:tc>
      </w:tr>
      <w:tr>
        <w:tc>
          <w:tcPr>
            <w:tcW w:type="dxa" w:w="1900"/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付款条款</w:t>
            </w:r>
          </w:p>
        </w:tc>
        <w:tc>
          <w:tcPr>
            <w:tcW w:type="dxa" w:w="746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1"/>
              </w:rPr>
              <w:t>{{payment_terms}}</w:t>
            </w:r>
          </w:p>
        </w:tc>
      </w:tr>
      <w:tr>
        <w:tc>
          <w:tcPr>
            <w:tcW w:type="dxa" w:w="1900"/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签署方式</w:t>
            </w:r>
          </w:p>
        </w:tc>
        <w:tc>
          <w:tcPr>
            <w:tcW w:type="dxa" w:w="746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1"/>
              </w:rPr>
              <w:t>{{signature_method}}</w:t>
            </w:r>
          </w:p>
        </w:tc>
      </w:tr>
      <w:tr>
        <w:tc>
          <w:tcPr>
            <w:tcW w:type="dxa" w:w="1900"/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生效条件</w:t>
            </w:r>
          </w:p>
        </w:tc>
        <w:tc>
          <w:tcPr>
            <w:tcW w:type="dxa" w:w="746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1"/>
              </w:rPr>
              <w:t>{{effective_condition}}</w:t>
            </w:r>
          </w:p>
        </w:tc>
      </w:tr>
    </w:tbl>
    <w:p>
      <w:pPr>
        <w:spacing w:before="0" w:after="80" w:line="264" w:lineRule="auto"/>
      </w:pPr>
    </w:p>
    <w:p>
      <w:pPr>
        <w:numPr>
          <w:ilvl w:val="0"/>
          <w:numId w:val="12"/>
        </w:numPr>
        <w:spacing w:after="80" w:line="264" w:lineRule="auto"/>
      </w:pPr>
      <w:r>
        <w:rPr>
          <w:rFonts w:ascii="Calibri" w:hAnsi="Calibri" w:eastAsia="Microsoft YaHei"/>
          <w:color w:val="1C242E"/>
          <w:sz w:val="21"/>
        </w:rPr>
        <w:t>甲乙双方确认合同主体、项目名称、交付范围、付款条款和补充约定均已核对。</w:t>
      </w:r>
    </w:p>
    <w:p>
      <w:pPr>
        <w:numPr>
          <w:ilvl w:val="0"/>
          <w:numId w:val="12"/>
        </w:numPr>
        <w:spacing w:after="80" w:line="264" w:lineRule="auto"/>
      </w:pPr>
      <w:r>
        <w:rPr>
          <w:rFonts w:ascii="Calibri" w:hAnsi="Calibri" w:eastAsia="Microsoft YaHei"/>
          <w:color w:val="1C242E"/>
          <w:sz w:val="21"/>
        </w:rPr>
        <w:t>合同签署后，双方按本合同及系统保存快照执行。</w:t>
      </w:r>
    </w:p>
    <w:p>
      <w:pPr>
        <w:numPr>
          <w:ilvl w:val="0"/>
          <w:numId w:val="12"/>
        </w:numPr>
        <w:spacing w:after="80" w:line="264" w:lineRule="auto"/>
      </w:pPr>
      <w:r>
        <w:rPr>
          <w:rFonts w:ascii="Calibri" w:hAnsi="Calibri" w:eastAsia="Microsoft YaHei"/>
          <w:color w:val="1C242E"/>
          <w:sz w:val="21"/>
        </w:rPr>
        <w:t>合同签署前，如甲方对报价或范围提出调整，应回到报价编辑或交付清单核对环节重新保存版本。</w:t>
      </w:r>
    </w:p>
    <w:p>
      <w:pPr>
        <w:keepNext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四、确认交付清单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C242E"/>
          <w:sz w:val="21"/>
        </w:rPr>
        <w:t>本板块用于锁定“承诺交付什么”。签署前应完成交付清单核对；签署后新增或减少交付物应登记需求变更。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8" w:space="0" w:color="C9D3DF"/>
          <w:left w:val="single" w:sz="8" w:space="0" w:color="C9D3DF"/>
          <w:bottom w:val="single" w:sz="8" w:space="0" w:color="C9D3DF"/>
          <w:right w:val="single" w:sz="8" w:space="0" w:color="C9D3DF"/>
          <w:insideH w:val="single" w:sz="8" w:space="0" w:color="C9D3DF"/>
          <w:insideV w:val="single" w:sz="8" w:space="0" w:color="C9D3DF"/>
        </w:tblBorders>
      </w:tblPr>
      <w:tblGrid>
        <w:gridCol w:w="1800"/>
        <w:gridCol w:w="3800"/>
        <w:gridCol w:w="1200"/>
        <w:gridCol w:w="2560"/>
      </w:tblGrid>
      <w:tr>
        <w:tc>
          <w:tcPr>
            <w:tcW w:type="dxa" w:w="1800"/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交付物</w:t>
            </w:r>
          </w:p>
        </w:tc>
        <w:tc>
          <w:tcPr>
            <w:tcW w:type="dxa" w:w="3800"/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规格 / 数量</w:t>
            </w:r>
          </w:p>
        </w:tc>
        <w:tc>
          <w:tcPr>
            <w:tcW w:type="dxa" w:w="1200"/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是否包含</w:t>
            </w:r>
          </w:p>
        </w:tc>
        <w:tc>
          <w:tcPr>
            <w:tcW w:type="dxa" w:w="2560"/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备注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C242E"/>
                <w:sz w:val="20"/>
              </w:rPr>
              <w:t>横版成片</w:t>
            </w:r>
          </w:p>
        </w:tc>
        <w:tc>
          <w:tcPr>
            <w:tcW w:type="dxa" w:w="380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0"/>
              </w:rPr>
              <w:t>{{horizontal_final_video_spec}}</w:t>
            </w:r>
          </w:p>
        </w:tc>
        <w:tc>
          <w:tcPr>
            <w:tcW w:type="dxa" w:w="120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0"/>
              </w:rPr>
              <w:t>{{yes_no}}</w:t>
            </w:r>
          </w:p>
        </w:tc>
        <w:tc>
          <w:tcPr>
            <w:tcW w:type="dxa" w:w="256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0"/>
              </w:rPr>
              <w:t>{{delivery_note}}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C242E"/>
                <w:sz w:val="20"/>
              </w:rPr>
              <w:t>竖版成片</w:t>
            </w:r>
          </w:p>
        </w:tc>
        <w:tc>
          <w:tcPr>
            <w:tcW w:type="dxa" w:w="380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0"/>
              </w:rPr>
              <w:t>{{vertical_final_video_spec}}</w:t>
            </w:r>
          </w:p>
        </w:tc>
        <w:tc>
          <w:tcPr>
            <w:tcW w:type="dxa" w:w="120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0"/>
              </w:rPr>
              <w:t>{{yes_no}}</w:t>
            </w:r>
          </w:p>
        </w:tc>
        <w:tc>
          <w:tcPr>
            <w:tcW w:type="dxa" w:w="256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0"/>
              </w:rPr>
              <w:t>{{delivery_note}}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C242E"/>
                <w:sz w:val="20"/>
              </w:rPr>
              <w:t>无字幕版</w:t>
            </w:r>
          </w:p>
        </w:tc>
        <w:tc>
          <w:tcPr>
            <w:tcW w:type="dxa" w:w="380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0"/>
              </w:rPr>
              <w:t>{{clean_version_spec}}</w:t>
            </w:r>
          </w:p>
        </w:tc>
        <w:tc>
          <w:tcPr>
            <w:tcW w:type="dxa" w:w="120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0"/>
              </w:rPr>
              <w:t>{{yes_no}}</w:t>
            </w:r>
          </w:p>
        </w:tc>
        <w:tc>
          <w:tcPr>
            <w:tcW w:type="dxa" w:w="256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0"/>
              </w:rPr>
              <w:t>{{delivery_note}}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C242E"/>
                <w:sz w:val="20"/>
              </w:rPr>
              <w:t>封面图</w:t>
            </w:r>
          </w:p>
        </w:tc>
        <w:tc>
          <w:tcPr>
            <w:tcW w:type="dxa" w:w="380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0"/>
              </w:rPr>
              <w:t>{{cover_image_spec}}</w:t>
            </w:r>
          </w:p>
        </w:tc>
        <w:tc>
          <w:tcPr>
            <w:tcW w:type="dxa" w:w="120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0"/>
              </w:rPr>
              <w:t>{{yes_no}}</w:t>
            </w:r>
          </w:p>
        </w:tc>
        <w:tc>
          <w:tcPr>
            <w:tcW w:type="dxa" w:w="256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0"/>
              </w:rPr>
              <w:t>{{delivery_note}}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C242E"/>
                <w:sz w:val="20"/>
              </w:rPr>
              <w:t>项目文件</w:t>
            </w:r>
          </w:p>
        </w:tc>
        <w:tc>
          <w:tcPr>
            <w:tcW w:type="dxa" w:w="380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0"/>
              </w:rPr>
              <w:t>{{project_file_scope}}</w:t>
            </w:r>
          </w:p>
        </w:tc>
        <w:tc>
          <w:tcPr>
            <w:tcW w:type="dxa" w:w="120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0"/>
              </w:rPr>
              <w:t>{{yes_no}}</w:t>
            </w:r>
          </w:p>
        </w:tc>
        <w:tc>
          <w:tcPr>
            <w:tcW w:type="dxa" w:w="256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0"/>
              </w:rPr>
              <w:t>{{delivery_note}}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C242E"/>
                <w:sz w:val="20"/>
              </w:rPr>
              <w:t>生成素材</w:t>
            </w:r>
          </w:p>
        </w:tc>
        <w:tc>
          <w:tcPr>
            <w:tcW w:type="dxa" w:w="380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0"/>
              </w:rPr>
              <w:t>{{generated_asset_scope}}</w:t>
            </w:r>
          </w:p>
        </w:tc>
        <w:tc>
          <w:tcPr>
            <w:tcW w:type="dxa" w:w="120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0"/>
              </w:rPr>
              <w:t>{{yes_no}}</w:t>
            </w:r>
          </w:p>
        </w:tc>
        <w:tc>
          <w:tcPr>
            <w:tcW w:type="dxa" w:w="256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0"/>
              </w:rPr>
              <w:t>{{delivery_note}}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C242E"/>
                <w:sz w:val="20"/>
              </w:rPr>
              <w:t>其他约定</w:t>
            </w:r>
          </w:p>
        </w:tc>
        <w:tc>
          <w:tcPr>
            <w:tcW w:type="dxa" w:w="380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0"/>
              </w:rPr>
              <w:t>{{other_deliverables}}</w:t>
            </w:r>
          </w:p>
        </w:tc>
        <w:tc>
          <w:tcPr>
            <w:tcW w:type="dxa" w:w="120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0"/>
              </w:rPr>
              <w:t>{{yes_no}}</w:t>
            </w:r>
          </w:p>
        </w:tc>
        <w:tc>
          <w:tcPr>
            <w:tcW w:type="dxa" w:w="256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0"/>
              </w:rPr>
              <w:t>{{delivery_note}}</w:t>
            </w:r>
          </w:p>
        </w:tc>
      </w:tr>
    </w:tbl>
    <w:p>
      <w:pPr>
        <w:spacing w:before="0" w:after="80" w:line="264" w:lineRule="auto"/>
      </w:pPr>
    </w:p>
    <w:p>
      <w:pPr>
        <w:numPr>
          <w:ilvl w:val="0"/>
          <w:numId w:val="13"/>
        </w:numPr>
        <w:spacing w:after="80" w:line="264" w:lineRule="auto"/>
      </w:pPr>
      <w:r>
        <w:rPr>
          <w:rFonts w:ascii="Calibri" w:hAnsi="Calibri" w:eastAsia="Microsoft YaHei"/>
          <w:color w:val="1C242E"/>
          <w:sz w:val="21"/>
        </w:rPr>
        <w:t>交付清单应在合同签署前完成核对并保存版本。</w:t>
      </w:r>
    </w:p>
    <w:p>
      <w:pPr>
        <w:numPr>
          <w:ilvl w:val="0"/>
          <w:numId w:val="13"/>
        </w:numPr>
        <w:spacing w:after="80" w:line="264" w:lineRule="auto"/>
      </w:pPr>
      <w:r>
        <w:rPr>
          <w:rFonts w:ascii="Calibri" w:hAnsi="Calibri" w:eastAsia="Microsoft YaHei"/>
          <w:color w:val="1C242E"/>
          <w:sz w:val="21"/>
        </w:rPr>
        <w:t>最终交付核对在 B-copy 定稿确认与结算归档阶段完成。</w:t>
      </w:r>
    </w:p>
    <w:p>
      <w:pPr>
        <w:numPr>
          <w:ilvl w:val="0"/>
          <w:numId w:val="13"/>
        </w:numPr>
        <w:spacing w:after="80" w:line="264" w:lineRule="auto"/>
      </w:pPr>
      <w:r>
        <w:rPr>
          <w:rFonts w:ascii="Calibri" w:hAnsi="Calibri" w:eastAsia="Microsoft YaHei"/>
          <w:color w:val="1C242E"/>
          <w:sz w:val="21"/>
        </w:rPr>
        <w:t>如交付物数量、规格或版本发生变化，应同步评估周期、费用和验收口径。</w:t>
      </w:r>
    </w:p>
    <w:p>
      <w:pPr>
        <w:keepNext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五、锁定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C242E"/>
          <w:sz w:val="21"/>
        </w:rPr>
        <w:t>本板块用于记录 SOP4 的最终商务锁定结论，并明确后续推进条件。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8" w:space="0" w:color="C9D3DF"/>
          <w:left w:val="single" w:sz="8" w:space="0" w:color="C9D3DF"/>
          <w:bottom w:val="single" w:sz="8" w:space="0" w:color="C9D3DF"/>
          <w:right w:val="single" w:sz="8" w:space="0" w:color="C9D3DF"/>
          <w:insideH w:val="single" w:sz="8" w:space="0" w:color="C9D3DF"/>
          <w:insideV w:val="single" w:sz="8" w:space="0" w:color="C9D3DF"/>
        </w:tblBorders>
      </w:tblPr>
      <w:tblGrid>
        <w:gridCol w:w="1900"/>
        <w:gridCol w:w="7460"/>
      </w:tblGrid>
      <w:tr>
        <w:tc>
          <w:tcPr>
            <w:tcW w:type="dxa" w:w="1900"/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锁定条件</w:t>
            </w:r>
          </w:p>
        </w:tc>
        <w:tc>
          <w:tcPr>
            <w:tcW w:type="dxa" w:w="746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1"/>
              </w:rPr>
              <w:t>报价、合同正文、签署状态和交付清单均已确认。</w:t>
            </w:r>
          </w:p>
        </w:tc>
      </w:tr>
      <w:tr>
        <w:tc>
          <w:tcPr>
            <w:tcW w:type="dxa" w:w="1900"/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锁定结论</w:t>
            </w:r>
          </w:p>
        </w:tc>
        <w:tc>
          <w:tcPr>
            <w:tcW w:type="dxa" w:w="746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1"/>
              </w:rPr>
              <w:t>{{lock_decision}}</w:t>
            </w:r>
          </w:p>
        </w:tc>
      </w:tr>
      <w:tr>
        <w:tc>
          <w:tcPr>
            <w:tcW w:type="dxa" w:w="1900"/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下一阶段</w:t>
            </w:r>
          </w:p>
        </w:tc>
        <w:tc>
          <w:tcPr>
            <w:tcW w:type="dxa" w:w="746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1"/>
              </w:rPr>
              <w:t>脚本、人物/场景设定与文字分镜确认</w:t>
            </w:r>
          </w:p>
        </w:tc>
      </w:tr>
      <w:tr>
        <w:tc>
          <w:tcPr>
            <w:tcW w:type="dxa" w:w="1900"/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变更规则</w:t>
            </w:r>
          </w:p>
        </w:tc>
        <w:tc>
          <w:tcPr>
            <w:tcW w:type="dxa" w:w="746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1"/>
              </w:rPr>
              <w:t>{{change_control_rule}}</w:t>
            </w:r>
          </w:p>
        </w:tc>
      </w:tr>
    </w:tbl>
    <w:p>
      <w:pPr>
        <w:spacing w:before="0" w:after="80" w:line="264" w:lineRule="auto"/>
      </w:pPr>
    </w:p>
    <w:p>
      <w:pPr>
        <w:numPr>
          <w:ilvl w:val="0"/>
          <w:numId w:val="14"/>
        </w:numPr>
        <w:spacing w:after="80" w:line="264" w:lineRule="auto"/>
      </w:pPr>
      <w:r>
        <w:rPr>
          <w:rFonts w:ascii="Calibri" w:hAnsi="Calibri" w:eastAsia="Microsoft YaHei"/>
          <w:color w:val="1C242E"/>
          <w:sz w:val="21"/>
        </w:rPr>
        <w:t>当报价、合同正文、签署状态和交付清单均确认后，SOP4 视为锁定。</w:t>
      </w:r>
    </w:p>
    <w:p>
      <w:pPr>
        <w:numPr>
          <w:ilvl w:val="0"/>
          <w:numId w:val="14"/>
        </w:numPr>
        <w:spacing w:after="80" w:line="264" w:lineRule="auto"/>
      </w:pPr>
      <w:r>
        <w:rPr>
          <w:rFonts w:ascii="Calibri" w:hAnsi="Calibri" w:eastAsia="Microsoft YaHei"/>
          <w:color w:val="1C242E"/>
          <w:sz w:val="21"/>
        </w:rPr>
        <w:t>SOP4 锁定后，项目进入脚本、人物/场景设定与文字分镜确认环节。</w:t>
      </w:r>
    </w:p>
    <w:p>
      <w:pPr>
        <w:numPr>
          <w:ilvl w:val="0"/>
          <w:numId w:val="14"/>
        </w:numPr>
        <w:spacing w:after="80" w:line="264" w:lineRule="auto"/>
      </w:pPr>
      <w:r>
        <w:rPr>
          <w:rFonts w:ascii="Calibri" w:hAnsi="Calibri" w:eastAsia="Microsoft YaHei"/>
          <w:color w:val="1C242E"/>
          <w:sz w:val="21"/>
        </w:rPr>
        <w:t>锁定后如需变更范围、费用或周期，应通过需求变更流程记录原因、影响和确认结果。</w:t>
      </w:r>
    </w:p>
    <w:p>
      <w:r>
        <w:br w:type="page"/>
      </w:r>
    </w:p>
    <w:p>
      <w:pPr>
        <w:keepNext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签署栏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8" w:space="0" w:color="C9D3DF"/>
          <w:left w:val="single" w:sz="8" w:space="0" w:color="C9D3DF"/>
          <w:bottom w:val="single" w:sz="8" w:space="0" w:color="C9D3DF"/>
          <w:right w:val="single" w:sz="8" w:space="0" w:color="C9D3DF"/>
          <w:insideH w:val="single" w:sz="8" w:space="0" w:color="C9D3DF"/>
          <w:insideV w:val="single" w:sz="8" w:space="0" w:color="C9D3DF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甲方（盖章 / 签字）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乙方（盖章 / 签字）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1"/>
              </w:rPr>
              <w:t>签署人：{{party_a_signature_1}}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1"/>
              </w:rPr>
              <w:t>签署人：{{party_b_signature_1}}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1"/>
              </w:rPr>
              <w:t>日期：{{party_a_signature_2}}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1"/>
              </w:rPr>
              <w:t>日期：{{party_b_signature_2}}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1"/>
              </w:rPr>
              <w:t>备注：{{party_a_signature_3}}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42E"/>
                <w:sz w:val="21"/>
              </w:rPr>
              <w:t>备注：{{party_b_signature_3}}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color w:val="5C6571"/>
        <w:sz w:val="18"/>
      </w:rPr>
      <w:t>SOP4 五板块商务模板 v1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Microsoft YaHei"/>
        <w:color w:val="5C6571"/>
        <w:sz w:val="18"/>
      </w:rPr>
      <w:t>AIGC 视频项目服务合同模板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8">
    <w:multiLevelType w:val="singleLevel"/>
  </w:abstractNum>
  <w:num w:numId="10">
    <w:abstractNumId w:val="88"/>
    <w:lvlOverride w:ilvl="0">
      <w:startOverride w:val="1"/>
    </w:lvlOverride>
  </w:num>
  <w:num w:numId="11">
    <w:abstractNumId w:val="88"/>
    <w:lvlOverride w:ilvl="0">
      <w:startOverride w:val="1"/>
    </w:lvlOverride>
  </w:num>
  <w:num w:numId="12">
    <w:abstractNumId w:val="88"/>
    <w:lvlOverride w:ilvl="0">
      <w:startOverride w:val="1"/>
    </w:lvlOverride>
  </w:num>
  <w:num w:numId="13">
    <w:abstractNumId w:val="88"/>
    <w:lvlOverride w:ilvl="0">
      <w:startOverride w:val="1"/>
    </w:lvlOverride>
  </w:num>
  <w:num w:numId="14">
    <w:abstractNumId w:val="8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1C24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