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14D28" w14:textId="77777777" w:rsidR="001D1F8B" w:rsidRDefault="00000000">
      <w:pPr>
        <w:spacing w:before="1400"/>
      </w:pPr>
      <w:r>
        <w:rPr>
          <w:b/>
          <w:color w:val="24578A"/>
          <w:sz w:val="60"/>
        </w:rPr>
        <w:t>Driver Lab</w:t>
      </w:r>
    </w:p>
    <w:p w14:paraId="7D49DC88" w14:textId="77777777" w:rsidR="001D1F8B" w:rsidRDefault="00000000">
      <w:pPr>
        <w:pBdr>
          <w:bottom w:val="single" w:sz="18" w:space="8" w:color="24578A"/>
        </w:pBdr>
        <w:spacing w:before="80" w:after="280"/>
      </w:pPr>
      <w:r>
        <w:rPr>
          <w:b/>
          <w:color w:val="173A5E"/>
          <w:sz w:val="50"/>
        </w:rPr>
        <w:t>电机控制工程课程</w:t>
      </w:r>
    </w:p>
    <w:p w14:paraId="159E47EB" w14:textId="77777777" w:rsidR="001D1F8B" w:rsidRPr="00ED6A6C" w:rsidRDefault="00000000" w:rsidP="00ED6A6C">
      <w:pPr>
        <w:spacing w:before="360"/>
        <w:rPr>
          <w:rFonts w:eastAsia="宋体" w:hint="eastAsia"/>
          <w:lang w:eastAsia="zh-CN"/>
        </w:rPr>
      </w:pPr>
      <w:r>
        <w:rPr>
          <w:b/>
          <w:color w:val="5B6573"/>
          <w:sz w:val="32"/>
        </w:rPr>
        <w:t>课程介绍与合作规则</w:t>
      </w:r>
    </w:p>
    <w:p w14:paraId="2A193A47" w14:textId="77777777" w:rsidR="001D1F8B" w:rsidRDefault="00000000">
      <w:pPr>
        <w:pageBreakBefore w:val="0"/>
        <w:rPr>
          <w:lang w:eastAsia="zh-CN"/>
        </w:rPr>
      </w:pPr>
      <w:r>
        <w:rPr>
          <w:lang w:eastAsia="zh-CN"/>
        </w:rPr>
        <w:br w:type="page"/>
      </w:r>
    </w:p>
    <w:p>
      <w:pPr>
        <w:pStyle w:val="1"/>
        <w:keepNext/>
      </w:pPr>
      <w:r>
        <w:t>目录</w:t>
      </w:r>
    </w:p>
    <w:p>
      <w:pPr>
        <w:spacing w:after="100" w:line="283" w:lineRule="auto"/>
      </w:pPr>
      <w:r>
        <w:rPr>
          <w:rFonts w:ascii="Noto Sans CJK SC" w:hAnsi="Noto Sans CJK SC" w:eastAsia="Noto Sans CJK SC"/>
          <w:b w:val="0"/>
        </w:rPr>
        <w:t>一、课程定位与使用方式</w:t>
      </w:r>
    </w:p>
    <w:p>
      <w:pPr>
        <w:spacing w:after="100" w:line="283" w:lineRule="auto"/>
      </w:pPr>
      <w:r>
        <w:rPr>
          <w:rFonts w:ascii="Noto Sans CJK SC" w:hAnsi="Noto Sans CJK SC" w:eastAsia="Noto Sans CJK SC"/>
          <w:b w:val="0"/>
        </w:rPr>
        <w:t>二、P/Z/M 课程体系概览</w:t>
      </w:r>
    </w:p>
    <w:p>
      <w:pPr>
        <w:spacing w:after="100" w:line="283" w:lineRule="auto"/>
      </w:pPr>
      <w:r>
        <w:rPr>
          <w:rFonts w:ascii="Noto Sans CJK SC" w:hAnsi="Noto Sans CJK SC" w:eastAsia="Noto Sans CJK SC"/>
          <w:b w:val="0"/>
        </w:rPr>
        <w:t>三、教学方式与课程制作要求</w:t>
      </w:r>
    </w:p>
    <w:p>
      <w:pPr>
        <w:spacing w:after="100" w:line="283" w:lineRule="auto"/>
      </w:pPr>
      <w:r>
        <w:rPr>
          <w:rFonts w:ascii="Noto Sans CJK SC" w:hAnsi="Noto Sans CJK SC" w:eastAsia="Noto Sans CJK SC"/>
          <w:b w:val="0"/>
        </w:rPr>
        <w:t>四、合作角色、责任与决策权限</w:t>
      </w:r>
    </w:p>
    <w:p>
      <w:pPr>
        <w:spacing w:after="100" w:line="283" w:lineRule="auto"/>
      </w:pPr>
      <w:r>
        <w:rPr>
          <w:rFonts w:ascii="Noto Sans CJK SC" w:hAnsi="Noto Sans CJK SC" w:eastAsia="Noto Sans CJK SC"/>
          <w:b w:val="0"/>
        </w:rPr>
        <w:t>五、交付、验收与范围变更</w:t>
      </w:r>
    </w:p>
    <w:p>
      <w:pPr>
        <w:spacing w:after="100" w:line="283" w:lineRule="auto"/>
      </w:pPr>
      <w:r>
        <w:rPr>
          <w:rFonts w:ascii="Noto Sans CJK SC" w:hAnsi="Noto Sans CJK SC" w:eastAsia="Noto Sans CJK SC"/>
          <w:b w:val="0"/>
        </w:rPr>
        <w:t>六、收益分配与结算</w:t>
      </w:r>
    </w:p>
    <w:p>
      <w:pPr>
        <w:spacing w:after="100" w:line="283" w:lineRule="auto"/>
      </w:pPr>
      <w:r>
        <w:rPr>
          <w:rFonts w:ascii="Noto Sans CJK SC" w:hAnsi="Noto Sans CJK SC" w:eastAsia="Noto Sans CJK SC"/>
          <w:b w:val="0"/>
        </w:rPr>
        <w:t>七、版权、保密与资料使用</w:t>
      </w:r>
    </w:p>
    <w:p>
      <w:pPr>
        <w:spacing w:after="100" w:line="283" w:lineRule="auto"/>
      </w:pPr>
      <w:r>
        <w:rPr>
          <w:rFonts w:ascii="Noto Sans CJK SC" w:hAnsi="Noto Sans CJK SC" w:eastAsia="Noto Sans CJK SC"/>
          <w:b w:val="0"/>
        </w:rPr>
        <w:t>八、合作流程与项目确认</w:t>
      </w:r>
    </w:p>
    <w:tbl>
      <w:tblPr>
        <w:tblW w:type="dxa" w:w="9342"/>
        <w:jc w:val="left"/>
        <w:tblLayout w:type="fixed"/>
        <w:tblLook w:firstColumn="1" w:firstRow="1" w:lastColumn="0" w:lastRow="0" w:noHBand="0" w:noVBand="1" w:val="04A0"/>
        <w:tblInd w:type="dxa" w:w="120"/>
      </w:tblPr>
      <w:tblGrid>
        <w:gridCol w:w="9342"/>
      </w:tblGrid>
      <w:tr>
        <w:trPr/>
        <w:tc>
          <w:tcPr>
            <w:tcW w:type="dxa" w:w="9342"/>
            <w:shd w:fill="EEF4FA"/>
            <w:vAlign w:val="center"/>
            <w:tcMar>
              <w:top w:w="80" w:type="dxa"/>
              <w:bottom w:w="80" w:type="dxa"/>
              <w:start w:w="120" w:type="dxa"/>
              <w:end w:w="120" w:type="dxa"/>
            </w:tcMar>
          </w:tcPr>
          <w:p>
            <w:pPr>
              <w:spacing w:after="0" w:line="276" w:lineRule="auto"/>
            </w:pPr>
            <w:r/>
            <w:r>
              <w:rPr>
                <w:rFonts w:ascii="Noto Sans CJK SC" w:hAnsi="Noto Sans CJK SC" w:eastAsia="Noto Sans CJK SC"/>
                <w:b/>
                <w:color w:val="365F91"/>
              </w:rPr>
              <w:t>文档状态｜</w:t>
            </w:r>
            <w:r>
              <w:rPr>
                <w:rFonts w:ascii="Noto Sans CJK SC" w:hAnsi="Noto Sans CJK SC" w:eastAsia="Noto Sans CJK SC"/>
                <w:b w:val="0"/>
              </w:rPr>
              <w:t>V5.0 为课程合作和开发的统一说明。P/Z/M 的模块方向已经确定，详细知识点仍处于初版规划阶段，可根据师资、硬件、试点反馈和项目需求调整。具体合作范围、交付时间、收益比例和验收条件，以双方确认的任务书为准。</w:t>
            </w:r>
          </w:p>
        </w:tc>
      </w:tr>
    </w:tbl>
    <w:p>
      <w:pPr>
        <w:spacing w:after="0"/>
      </w:pPr>
    </w:p>
    <w:p>
      <w:pPr>
        <w:pStyle w:val="1"/>
        <w:keepNext/>
      </w:pPr>
      <w:r>
        <w:t>一、课程定位与使用方式</w:t>
      </w:r>
    </w:p>
    <w:p>
      <w:pPr>
        <w:pStyle w:val="21"/>
        <w:keepNext/>
      </w:pPr>
      <w:r>
        <w:t>1.1 课程定位</w:t>
      </w:r>
    </w:p>
    <w:p>
      <w:pPr>
        <w:spacing w:after="100" w:line="283" w:lineRule="auto"/>
      </w:pPr>
      <w:r>
        <w:rPr>
          <w:rFonts w:ascii="Noto Sans CJK SC" w:hAnsi="Noto Sans CJK SC" w:eastAsia="Noto Sans CJK SC"/>
          <w:b w:val="0"/>
        </w:rPr>
        <w:t>Driver Lab 面向电机控制、工业伺服和机器人关节研发岗位，课程从开发环境、底层驱动和有感 FOC 开始，逐步扩展到测试、参数辨识、无感控制、伺服、机器人关节、性能优化、MBD、科研和控制器硬件。课程采用同一套工程主线组织知识，尽量让代码、模型、硬件、测试和文档能够互相对应。</w:t>
      </w:r>
    </w:p>
    <w:p>
      <w:pPr>
        <w:spacing w:after="100" w:line="283" w:lineRule="auto"/>
      </w:pPr>
      <w:r>
        <w:rPr>
          <w:rFonts w:ascii="Noto Sans CJK SC" w:hAnsi="Noto Sans CJK SC" w:eastAsia="Noto Sans CJK SC"/>
          <w:b w:val="0"/>
        </w:rPr>
        <w:t>课程既用于个人系统学习，也可以作为企业内训、高校实验课程和专项共建的基础。实际使用时不要求所有人从头学到尾，应先根据岗位方向和现有基础选择共同基础，再进入对应的专项模块。</w:t>
      </w:r>
    </w:p>
    <w:p>
      <w:pPr>
        <w:pStyle w:val="21"/>
        <w:keepNext/>
      </w:pPr>
      <w:r>
        <w:t>1.2 三条学习路线</w:t>
      </w:r>
    </w:p>
    <w:tbl>
      <w:tblPr>
        <w:tblStyle w:val="aff1"/>
        <w:tblW w:type="dxa" w:w="9342"/>
        <w:jc w:val="left"/>
        <w:tblLayout w:type="fixed"/>
        <w:tblLook w:firstColumn="1" w:firstRow="1" w:lastColumn="0" w:lastRow="0" w:noHBand="0" w:noVBand="1" w:val="04A0"/>
        <w:tblInd w:type="dxa" w:w="120"/>
      </w:tblPr>
      <w:tblGrid>
        <w:gridCol w:w="1280"/>
        <w:gridCol w:w="4735"/>
        <w:gridCol w:w="3327"/>
      </w:tblGrid>
      <w:tr>
        <w:trPr>
          <w:tblHeader w:val="true"/>
        </w:trPr>
        <w:tc>
          <w:tcPr>
            <w:tcW w:type="dxa" w:w="1280"/>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系列</w:t>
            </w:r>
          </w:p>
        </w:tc>
        <w:tc>
          <w:tcPr>
            <w:tcW w:type="dxa" w:w="4735"/>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解决的问题</w:t>
            </w:r>
          </w:p>
        </w:tc>
        <w:tc>
          <w:tcPr>
            <w:tcW w:type="dxa" w:w="3327"/>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适合的使用方式</w:t>
            </w:r>
          </w:p>
        </w:tc>
      </w:tr>
      <w:tr>
        <w:trPr/>
        <w:tc>
          <w:tcPr>
            <w:tcW w:type="dxa" w:w="1280"/>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P 系列</w:t>
            </w:r>
          </w:p>
        </w:tc>
        <w:tc>
          <w:tcPr>
            <w:tcW w:type="dxa" w:w="4735"/>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补齐工具、电子电路、C 语言、MCU、电机和控制基础，建立进入真实项目所需的最低能力。</w:t>
            </w:r>
          </w:p>
        </w:tc>
        <w:tc>
          <w:tcPr>
            <w:tcW w:type="dxa" w:w="332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基础薄弱或跨方向学习者按诊断结果选学，也可作为高校工程基础课程。</w:t>
            </w:r>
          </w:p>
        </w:tc>
      </w:tr>
      <w:tr>
        <w:trPr/>
        <w:tc>
          <w:tcPr>
            <w:tcW w:type="dxa" w:w="1280"/>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Z 系列</w:t>
            </w:r>
          </w:p>
        </w:tc>
        <w:tc>
          <w:tcPr>
            <w:tcW w:type="dxa" w:w="4735"/>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围绕同一套 PMSM 控制工程完成硬件验证、可信采样、FOC、有感三闭环、基础无感、保护和测试交付。</w:t>
            </w:r>
          </w:p>
        </w:tc>
        <w:tc>
          <w:tcPr>
            <w:tcW w:type="dxa" w:w="332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电机控制岗位的共同主线，建议完整学习并完成项目。</w:t>
            </w:r>
          </w:p>
        </w:tc>
      </w:tr>
      <w:tr>
        <w:trPr/>
        <w:tc>
          <w:tcPr>
            <w:tcW w:type="dxa" w:w="1280"/>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M 系列</w:t>
            </w:r>
          </w:p>
        </w:tc>
        <w:tc>
          <w:tcPr>
            <w:tcW w:type="dxa" w:w="4735"/>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围绕测试、辨识、无感、伺服、关节、性能、MBD、科研和硬件开展高级专项。</w:t>
            </w:r>
          </w:p>
        </w:tc>
        <w:tc>
          <w:tcPr>
            <w:tcW w:type="dxa" w:w="332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根据岗位和项目选择，不要求一次完成全部模块。</w:t>
            </w:r>
          </w:p>
        </w:tc>
      </w:tr>
    </w:tbl>
    <w:p>
      <w:pPr>
        <w:spacing w:after="0"/>
      </w:pPr>
    </w:p>
    <w:p>
      <w:pPr>
        <w:pStyle w:val="21"/>
        <w:keepNext/>
      </w:pPr>
      <w:r>
        <w:t>1.3 怎样选择课程</w:t>
      </w:r>
    </w:p>
    <w:p>
      <w:pPr>
        <w:spacing w:after="100" w:line="283" w:lineRule="auto"/>
      </w:pPr>
      <w:r>
        <w:rPr>
          <w:rFonts w:ascii="Noto Sans CJK SC" w:hAnsi="Noto Sans CJK SC" w:eastAsia="Noto Sans CJK SC"/>
          <w:b w:val="0"/>
        </w:rPr>
        <w:t>第一次使用这套课程时，可以先确认目标岗位和已有项目，再检查开发工具、硬件、C 语言、MCU、电机与控制基础。基础存在明显缺口时从 P 系列补齐；已经做过 FOC 但工程不完整时，从 Z 系列逐项验证采样、角度、控制环、保护和测试；已经具备完整项目经验时，可直接选择 M 系列的专项内容。</w:t>
      </w:r>
    </w:p>
    <w:p>
      <w:pPr>
        <w:spacing w:after="100" w:line="283" w:lineRule="auto"/>
      </w:pPr>
      <w:r>
        <w:rPr>
          <w:rFonts w:ascii="Noto Sans CJK SC" w:hAnsi="Noto Sans CJK SC" w:eastAsia="Noto Sans CJK SC"/>
          <w:b w:val="0"/>
        </w:rPr>
        <w:t>课程是否真正掌握，最终看能否完成对应任务：代码能否运行、实验能否复现、参数是否有来源、波形能否解释、问题能否定位、结果能否形成可交付资料。</w:t>
      </w:r>
    </w:p>
    <w:p>
      <w:pPr>
        <w:pStyle w:val="1"/>
        <w:keepNext/>
      </w:pPr>
      <w:r>
        <w:t>二、P/Z/M 课程体系概览</w:t>
      </w:r>
    </w:p>
    <w:tbl>
      <w:tblPr>
        <w:tblW w:type="dxa" w:w="9342"/>
        <w:jc w:val="left"/>
        <w:tblLayout w:type="fixed"/>
        <w:tblLook w:firstColumn="1" w:firstRow="1" w:lastColumn="0" w:lastRow="0" w:noHBand="0" w:noVBand="1" w:val="04A0"/>
        <w:tblInd w:type="dxa" w:w="120"/>
      </w:tblPr>
      <w:tblGrid>
        <w:gridCol w:w="9342"/>
      </w:tblGrid>
      <w:tr>
        <w:trPr/>
        <w:tc>
          <w:tcPr>
            <w:tcW w:type="dxa" w:w="9342"/>
            <w:shd w:fill="EEF4FA"/>
            <w:vAlign w:val="center"/>
            <w:tcMar>
              <w:top w:w="80" w:type="dxa"/>
              <w:bottom w:w="80" w:type="dxa"/>
              <w:start w:w="120" w:type="dxa"/>
              <w:end w:w="120" w:type="dxa"/>
            </w:tcMar>
          </w:tcPr>
          <w:p>
            <w:pPr>
              <w:spacing w:after="0" w:line="276" w:lineRule="auto"/>
            </w:pPr>
            <w:r/>
            <w:r>
              <w:rPr>
                <w:rFonts w:ascii="Noto Sans CJK SC" w:hAnsi="Noto Sans CJK SC" w:eastAsia="Noto Sans CJK SC"/>
                <w:b/>
                <w:color w:val="365F91"/>
              </w:rPr>
              <w:t>说明｜</w:t>
            </w:r>
            <w:r>
              <w:rPr>
                <w:rFonts w:ascii="Noto Sans CJK SC" w:hAnsi="Noto Sans CJK SC" w:eastAsia="Noto Sans CJK SC"/>
                <w:b w:val="0"/>
              </w:rPr>
              <w:t>本章只说明各模块的目标和意义，不规定精确课时。全部 366 个知识点、建议主讲责任、开发优先级和当前状态，单独放在《P/Z/M 详细课程目录与负责人分配表》中维护。</w:t>
            </w:r>
          </w:p>
        </w:tc>
      </w:tr>
    </w:tbl>
    <w:p>
      <w:pPr>
        <w:spacing w:after="0"/>
      </w:pPr>
    </w:p>
    <w:p>
      <w:pPr>
        <w:pStyle w:val="21"/>
        <w:keepNext/>
      </w:pPr>
      <w:r>
        <w:t>2.1 P 系列</w:t>
      </w:r>
    </w:p>
    <w:p>
      <w:pPr>
        <w:spacing w:after="100" w:line="283" w:lineRule="auto"/>
      </w:pPr>
      <w:r>
        <w:rPr>
          <w:rFonts w:ascii="Noto Sans CJK SC" w:hAnsi="Noto Sans CJK SC" w:eastAsia="Noto Sans CJK SC"/>
          <w:b w:val="0"/>
        </w:rPr>
        <w:t>P 系列用于补齐进入真实电机控制项目之前的工程基础。学习者不必机械完成全部内容，可以通过 P0 诊断后选择需要补齐的模块。</w:t>
      </w:r>
    </w:p>
    <w:tbl>
      <w:tblPr>
        <w:tblStyle w:val="aff1"/>
        <w:tblW w:type="dxa" w:w="9342"/>
        <w:jc w:val="left"/>
        <w:tblLayout w:type="fixed"/>
        <w:tblLook w:firstColumn="1" w:firstRow="1" w:lastColumn="0" w:lastRow="0" w:noHBand="0" w:noVBand="1" w:val="04A0"/>
        <w:tblInd w:type="dxa" w:w="120"/>
      </w:tblPr>
      <w:tblGrid>
        <w:gridCol w:w="1728"/>
        <w:gridCol w:w="3967"/>
        <w:gridCol w:w="3647"/>
      </w:tblGrid>
      <w:tr>
        <w:trPr>
          <w:tblHeader w:val="true"/>
        </w:trPr>
        <w:tc>
          <w:tcPr>
            <w:tcW w:type="dxa" w:w="1728"/>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模块</w:t>
            </w:r>
          </w:p>
        </w:tc>
        <w:tc>
          <w:tcPr>
            <w:tcW w:type="dxa" w:w="3967"/>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目标与意义</w:t>
            </w:r>
          </w:p>
        </w:tc>
        <w:tc>
          <w:tcPr>
            <w:tcW w:type="dxa" w:w="3647"/>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完成后应达到的结果</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P0｜基础诊断与个人补课路线</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确认个人方向、现有基础和学习条件，判断哪些模块可以直接通过、哪些内容需要补齐，并形成进入 Z 系列前的个人学习计划。</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得到一份与个人目标和现有能力匹配的补课清单，明确 P1—P7 哪些需要完整学习、哪些只需复习、哪些可以直接验收，并确定进入 P8 综合项目和 Z 系列的条件。</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P1｜电脑环境、开源资料与工程文件管理</w:t>
            </w:r>
          </w:p>
        </w:tc>
        <w:tc>
          <w:tcPr>
            <w:tcW w:type="dxa" w:w="39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能够独立安装和使用常见开发工具，找到并判断开源软硬件资料，保存自己的修改，并建立清晰可复现的本地工程目录。</w:t>
            </w:r>
          </w:p>
        </w:tc>
        <w:tc>
          <w:tcPr>
            <w:tcW w:type="dxa" w:w="36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能够获取、运行、修改和保存一个开源工程，知道开源软件与硬件资料分别包含什么，并能在另一台电脑或新目录中重新建立开发环境。</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P2｜基础电子电路、原理图与嘉立创硬件实践</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掌握阅读控制板原理图所需的基础电路知识，能够使用嘉立创 EDA 完成一块简单板卡的原理图、PCB 和生产文件，并理解开源硬件复现时需要核对的内容。</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能够读懂常见控制板功能分区，使用数据手册检查基础电路，并独立完成一块简单接口板或传感器板的原理图、PCB、生产文件和打样准备。</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P3｜常用仪器、调试接口、线材、焊接与实验安全</w:t>
            </w:r>
          </w:p>
        </w:tc>
        <w:tc>
          <w:tcPr>
            <w:tcW w:type="dxa" w:w="39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能够正确选择和使用基础仪器、下载调试器、通信接口、连接器和线材，完成简单装配与测量，并避免常见接线、探头和上电风险。</w:t>
            </w:r>
          </w:p>
        </w:tc>
        <w:tc>
          <w:tcPr>
            <w:tcW w:type="dxa" w:w="36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能够完成开发板和简单板卡的接线、下载、通信、焊接、上电与基础测量，知道不同接口和线材的电气差异，并能在测量前识别短路、接地和功率风险。</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P4｜面向电机控制工程的 C 语言基础</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掌握阅读和编写嵌入式控制程序所需的 C 语言知识，能够组织参数、状态和算法模块，并避免常见的类型、内存和数值错误。</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能够阅读常见 MCU 工程，独立编写结构清晰的计算模块和状态程序，并通过调试器或简单测试发现类型、指针、数组、共享数据和数值计算问题。</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P5｜MCU、基础外设与实时程序入门</w:t>
            </w:r>
          </w:p>
        </w:tc>
        <w:tc>
          <w:tcPr>
            <w:tcW w:type="dxa" w:w="39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理解 MCU 程序怎样由时钟、定时器、ADC、中断、DMA 和通信外设共同运行，能够配置并验证后续电机控制必需的基础外设。</w:t>
            </w:r>
          </w:p>
        </w:tc>
        <w:tc>
          <w:tcPr>
            <w:tcW w:type="dxa" w:w="36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能够配置和测量 GPIO、定时器、PWM、ADC、DMA 与通信外设，理解硬件事件和周期程序的关系，并能用示波器证明程序是否按预期频率和顺序运行。</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P6｜PMSM、逆变器、采样与位置传感器基础</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建立对电机结构、电磁转矩、三相逆变器、电流采样和位置反馈的基本认识，理解后续 FOC 中每个输入量和输出量来自哪里。</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能够看懂一套 PMSM 驱动系统的电能、运动和反馈关系，知道 PWM 怎样形成电机电压、ADC 怎样得到相电流、位置传感器怎样提供角度，以及保护为什么必须独立存在。</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P7｜电机控制需要的数学、控制与信号基础</w:t>
            </w:r>
          </w:p>
        </w:tc>
        <w:tc>
          <w:tcPr>
            <w:tcW w:type="dxa" w:w="39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掌握理解坐标变换、PI、离散程序、采样、滤波和速度处理所需的最低数学与控制知识，能够用波形和数据判断一个基础闭环是否正常。</w:t>
            </w:r>
          </w:p>
        </w:tc>
        <w:tc>
          <w:tcPr>
            <w:tcW w:type="dxa" w:w="36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能够理解后续 FOC 使用的单位、向量、坐标、离散计算和 PI 控制，能从阶跃、噪声、饱和和频谱中提取基本信息，并知道滤波、采样与控制速度之间的取舍。</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P8｜综合基础项目、调试方法与 Z 系列准入</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将 P1—P7 的工具、硬件、编程、MCU、电机和控制基础合并到一个低风险综合项目中，通过实际操作证明自己已经具备进入 Z 系列的条件。</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能够独立完成一个基础 MCU 控制工程的资料整理、硬件检查、程序配置、信号采集、通信、状态处理、测量和问题定位，并留下其他人可以复现的代码、数据和实验记录。</w:t>
            </w:r>
          </w:p>
        </w:tc>
      </w:tr>
    </w:tbl>
    <w:p>
      <w:pPr>
        <w:spacing w:after="0"/>
      </w:pPr>
    </w:p>
    <w:p>
      <w:pPr>
        <w:pStyle w:val="21"/>
        <w:keepNext/>
      </w:pPr>
      <w:r>
        <w:t>2.2 Z 系列</w:t>
      </w:r>
    </w:p>
    <w:p>
      <w:pPr>
        <w:spacing w:after="100" w:line="283" w:lineRule="auto"/>
      </w:pPr>
      <w:r>
        <w:rPr>
          <w:rFonts w:ascii="Noto Sans CJK SC" w:hAnsi="Noto Sans CJK SC" w:eastAsia="Noto Sans CJK SC"/>
          <w:b w:val="0"/>
        </w:rPr>
        <w:t>Z 系列是课程的共同工程主线，重点是把一套 PMSM 控制系统从板级验证做到有感、无感、保护、测试和正式交付。</w:t>
      </w:r>
    </w:p>
    <w:tbl>
      <w:tblPr>
        <w:tblStyle w:val="aff1"/>
        <w:tblW w:type="dxa" w:w="9342"/>
        <w:jc w:val="left"/>
        <w:tblLayout w:type="fixed"/>
        <w:tblLook w:firstColumn="1" w:firstRow="1" w:lastColumn="0" w:lastRow="0" w:noHBand="0" w:noVBand="1" w:val="04A0"/>
        <w:tblInd w:type="dxa" w:w="120"/>
      </w:tblPr>
      <w:tblGrid>
        <w:gridCol w:w="1728"/>
        <w:gridCol w:w="3967"/>
        <w:gridCol w:w="3647"/>
      </w:tblGrid>
      <w:tr>
        <w:trPr>
          <w:tblHeader w:val="true"/>
        </w:trPr>
        <w:tc>
          <w:tcPr>
            <w:tcW w:type="dxa" w:w="1728"/>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模块</w:t>
            </w:r>
          </w:p>
        </w:tc>
        <w:tc>
          <w:tcPr>
            <w:tcW w:type="dxa" w:w="3967"/>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目标与意义</w:t>
            </w:r>
          </w:p>
        </w:tc>
        <w:tc>
          <w:tcPr>
            <w:tcW w:type="dxa" w:w="3647"/>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完成后应达到的结果</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Z0｜电机控制工程认知与完整系统入门</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建立对岗位、产品、项目流程、电控系统和技术路线的完整认识，明确电机为什么能转、控制器在控制什么，以及后续每个模块为什么按照当前顺序开展。</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能够看懂一个完整电控项目，知道能量和信号怎样流动、各岗位在做什么、各项技术解决什么问题，并理解后续课程为何必须从硬件、数据和运行机制逐步进入闭环控制。</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Z1｜硬件底层配置与板级验证</w:t>
            </w:r>
          </w:p>
        </w:tc>
        <w:tc>
          <w:tcPr>
            <w:tcW w:type="dxa" w:w="39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完成控制板所有基础硬件资源的配置和独立验证，确认供电、发波、采样、传感器、通信和硬件保护均具备进入控制算法开发的条件。</w:t>
            </w:r>
          </w:p>
        </w:tc>
        <w:tc>
          <w:tcPr>
            <w:tcW w:type="dxa" w:w="36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PWM、ADC、传感器、通信和硬件保护均能够独立稳定工作，关键频率、极性、死区、采样点和故障关断均有对应波形或原始数据作为验证证据。</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Z2｜信号处理、标定与统一数据接口</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将 Z1 验证过的原始硬件信号转换为上层控制算法可直接使用的可信物理量，建立统一的单位、方向、范围、时间与有效性定义。</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控制算法不再直接访问底层寄存器，而只使用经过标定、单位统一、方向正确、时间明确且带有效状态的控制数据；任何异常反馈都能够定位到模拟前端、ADC、软件换算或上层接口中的具体环节。</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Z3｜完整控制程序框架、运行机制与基础功能</w:t>
            </w:r>
          </w:p>
        </w:tc>
        <w:tc>
          <w:tcPr>
            <w:tcW w:type="dxa" w:w="39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在 Z1、Z2 基础上建立后续所有算法共用的软件分层、数据结构、任务安排、参数管理、状态流程和基础保护，并先让命令、状态、输出和诊断完整运行起来。</w:t>
            </w:r>
          </w:p>
        </w:tc>
        <w:tc>
          <w:tcPr>
            <w:tcW w:type="dxa" w:w="36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得到一套能够编译、运行、切换状态、限制输出、响应故障并记录诊断的正式控制程序框架。FOC、有感和无感算法的位置、接口与运行周期已经固定，后续只填充内部实现，不再反复调整整体结构。</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Z4｜FOC 核心算法、开环控制与电流闭环</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在 Z3 框架内逐步填入 PMSM 模型、坐标变换、标准 SVPWM、开环角度与电流控制，实现安全开环旋转、稳定 Id/Iq 电流闭环和基础转矩控制。</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完成标准 SVPWM、Alignment、开环正反转、Id/Iq 电流闭环和基础转矩控制；能够从电流、角度、时序、电压饱和和调制链逐层定位开环或电流环问题。</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Z5｜编码器、Hall 与有感三闭环控制</w:t>
            </w:r>
          </w:p>
        </w:tc>
        <w:tc>
          <w:tcPr>
            <w:tcW w:type="dxa" w:w="39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在稳定电流环基础上接入位置反馈，完成角度校准、速度估算、有感速度/位置闭环和基础轨迹控制，形成后续无感算法的真值评价系统。</w:t>
            </w:r>
          </w:p>
        </w:tc>
        <w:tc>
          <w:tcPr>
            <w:tcW w:type="dxa" w:w="36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完成编码器/Hall 有感 FOC、电流环、速度环、位置环、轨迹规划和基础转矩控制，形成一套可测量、可调试、可用于校验无感角度与速度的完整有感控制系统。</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Z6｜参数获取、无感估算、启动与闭环切换</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以 Z5 的编码器结果作为真值，获得标准观测器所需参数，完成预定位、I/F、SMO、PLL、开闭环切换和基础全速域无感运行。</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完成基础参数获取、SMO、PLL、预定位、I/F 启动、Observer 捕获和无感速度闭环，能够借助编码器真值定量评价角度误差、切换冲击、启动成功率和适用边界。</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Z7｜状态管理、保护体系与工程调试</w:t>
            </w:r>
          </w:p>
        </w:tc>
        <w:tc>
          <w:tcPr>
            <w:tcW w:type="dxa" w:w="39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把已经能够运行的有感和无感算法整理成安全、稳定、可诊断、可恢复、可迁移的工程系统，从“能跑”提升到“能够长期使用和定位问题”。</w:t>
            </w:r>
          </w:p>
        </w:tc>
        <w:tc>
          <w:tcPr>
            <w:tcW w:type="dxa" w:w="36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系统具备完整状态管理、分层保护、故障诊断、数据记录、电机迁移和长时间运行能力；常见故障能够沿固定证据链定位，并保留可复现的参数、代码和测试版本。</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Z8｜完整程序仿真、测试与工程闭环</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把 Z1—Z7 的真实控制代码放入统一仿真和测试体系，验证正常、边界与故障工况，形成可测试、可回退、可复现和可发布的正式工程。</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同一套核心控制代码完成 Host、C-SIL、Simulink 和真实硬件验证；每项功能均有测试条件、原始数据、性能指标和失败边界，并形成可以继续进入 M 系列专项优化的统一工程基线。</w:t>
            </w:r>
          </w:p>
        </w:tc>
      </w:tr>
    </w:tbl>
    <w:p>
      <w:pPr>
        <w:spacing w:after="0"/>
      </w:pPr>
    </w:p>
    <w:p>
      <w:pPr>
        <w:pStyle w:val="21"/>
        <w:keepNext/>
      </w:pPr>
      <w:r>
        <w:t>2.3 M 系列</w:t>
      </w:r>
    </w:p>
    <w:p>
      <w:pPr>
        <w:spacing w:after="100" w:line="283" w:lineRule="auto"/>
      </w:pPr>
      <w:r>
        <w:rPr>
          <w:rFonts w:ascii="Noto Sans CJK SC" w:hAnsi="Noto Sans CJK SC" w:eastAsia="Noto Sans CJK SC"/>
          <w:b w:val="0"/>
        </w:rPr>
        <w:t>M 系列用于高级专项研发，模块之间可以按岗位选择。每个专项都应建立在 Z 系列已有的代码、硬件和测试基础上。</w:t>
      </w:r>
    </w:p>
    <w:tbl>
      <w:tblPr>
        <w:tblStyle w:val="aff1"/>
        <w:tblW w:type="dxa" w:w="9342"/>
        <w:jc w:val="left"/>
        <w:tblLayout w:type="fixed"/>
        <w:tblLook w:firstColumn="1" w:firstRow="1" w:lastColumn="0" w:lastRow="0" w:noHBand="0" w:noVBand="1" w:val="04A0"/>
        <w:tblInd w:type="dxa" w:w="120"/>
      </w:tblPr>
      <w:tblGrid>
        <w:gridCol w:w="1728"/>
        <w:gridCol w:w="3967"/>
        <w:gridCol w:w="3647"/>
      </w:tblGrid>
      <w:tr>
        <w:trPr>
          <w:tblHeader w:val="true"/>
        </w:trPr>
        <w:tc>
          <w:tcPr>
            <w:tcW w:type="dxa" w:w="1728"/>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模块</w:t>
            </w:r>
          </w:p>
        </w:tc>
        <w:tc>
          <w:tcPr>
            <w:tcW w:type="dxa" w:w="3967"/>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目标与意义</w:t>
            </w:r>
          </w:p>
        </w:tc>
        <w:tc>
          <w:tcPr>
            <w:tcW w:type="dxa" w:w="3647"/>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完成后应达到的结果</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M0｜电控系统测试、频率响应与性能评价</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把“有波形、能运行”提升为“能够用统一测试和量化指标说明性能、边界和问题原因”。</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能够设计公平、可重复的测试，并用时域、频域、频谱和鲁棒性结果说明一次优化改善了什么、牺牲了什么以及还能在哪些工况下稳定工作。</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M1｜电机、机械与热参数辨识</w:t>
            </w:r>
          </w:p>
        </w:tc>
        <w:tc>
          <w:tcPr>
            <w:tcW w:type="dxa" w:w="39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通过可执行、可重复的实验得到控制、仿真、无感和性能优化真正需要的可信参数，并记录参数的工作点、误差和适用范围。</w:t>
            </w:r>
          </w:p>
        </w:tc>
        <w:tc>
          <w:tcPr>
            <w:tcW w:type="dxa" w:w="36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得到可追溯、带工作点和可信度的电机、机械与热参数，并能够判断这些参数是否足以用于 PI、观测器、MTPA、弱磁和仿真。</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M2｜低成本采样、高性能无感控制与复杂启动</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在 Z6 基础无感系统上继续解决低成本电流采样、实际电压误差、零低速位置、复杂启动、状态切换、观测质量和全工况鲁棒性问题。</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能够完成低成本电流采样和无感控制的联合设计，用数据说明采样在哪些区域可信、系统从哪里能够启动、何时可以切换、最低能带多大负载、在什么条件下会失锁，以及异常后怎样安全退出或重新接管。</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M3｜工业伺服控制、反馈优化与振动抑制</w:t>
            </w:r>
          </w:p>
        </w:tc>
        <w:tc>
          <w:tcPr>
            <w:tcW w:type="dxa" w:w="39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把基础有感三闭环提升为跟随快、定位准、抗扰强、低速稳定且可以系统整定的工业伺服控制系统。</w:t>
            </w:r>
          </w:p>
        </w:tc>
        <w:tc>
          <w:tcPr>
            <w:tcW w:type="dxa" w:w="36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能够根据反馈质量、对象参数和频率响应系统整定三环，并处理低速、负载变化、共振和定位余振等典型伺服问题。</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M4｜机器人关节、力矩标定与柔顺交互</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在工业伺服基础上加入减速器、输出端反馈、输出力矩、阻抗、外力和碰撞，使控制对象从电机轴扩展到机器人关节。</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能够把电机电流映射到关节输出力矩，并完成可测量的刚度、阻尼、回驱、外力和碰撞安全控制。</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M5｜电驱性能边界、效率、噪声与补偿</w:t>
            </w:r>
          </w:p>
        </w:tc>
        <w:tc>
          <w:tcPr>
            <w:tcW w:type="dxa" w:w="39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在电流、电压、速度、功率和温度约束下，探索电驱系统的实际能力边界，并通过逆变器补偿、调制、高速电流分配、损耗和谐波优化改善性能、效率与噪声。</w:t>
            </w:r>
          </w:p>
        </w:tc>
        <w:tc>
          <w:tcPr>
            <w:tcW w:type="dxa" w:w="36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能够判断系统受电流、电压、温度还是机械条件限制，并用数据说明死区补偿、调制、MTPA、弱磁、谐波、噪声和损耗优化带来的实际收益与代价。</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M6｜模型化开发、自动代码生成与虚实对比</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建立生产级控制模型，并证明模型、生成或手写 C、目标 MCU 与真实电机在统一测试条件下的一致性和差异来源。</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能够把控制模型可靠交付为生产代码，并用统一测试证明模型、C代码、目标MCU和实物之间哪些行为一致、哪些差异仍需修正。</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M7｜电机控制科研方法、算法复现与成果产出</w:t>
            </w:r>
          </w:p>
        </w:tc>
        <w:tc>
          <w:tcPr>
            <w:tcW w:type="dxa" w:w="39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把真实工程问题转化为可研究、可复现、可验证、可发表并能够回用于工程的研究成果。</w:t>
            </w:r>
          </w:p>
        </w:tc>
        <w:tc>
          <w:tcPr>
            <w:tcW w:type="dxa" w:w="36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能够完成文献地图、Baseline复现、创新设计、仿真和实物验证、论文写作、投稿返修以及可复现资料交付。</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M8｜电机控制器硬件、功率级与产品化设计</w:t>
            </w:r>
          </w:p>
        </w:tc>
        <w:tc>
          <w:tcPr>
            <w:tcW w:type="dxa" w:w="39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从产品需求出发，完成控制核心、功率级、采样、保护、通信、PCB、热、调试、可靠性和量产设计，使算法拥有可信且可重复的硬件基础。</w:t>
            </w:r>
          </w:p>
        </w:tc>
        <w:tc>
          <w:tcPr>
            <w:tcW w:type="dxa" w:w="36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能够说明一块电机控制器为什么这样设计、实际能力在哪里、故障怎样安全关断，以及怎样从样机推进到可测试、可量产和可维护的硬件产品。</w:t>
            </w:r>
          </w:p>
        </w:tc>
      </w:tr>
    </w:tbl>
    <w:p>
      <w:pPr>
        <w:spacing w:after="0"/>
      </w:pPr>
    </w:p>
    <w:p>
      <w:pPr>
        <w:pStyle w:val="1"/>
        <w:keepNext/>
      </w:pPr>
      <w:r>
        <w:t>三、教学方式与课程制作要求</w:t>
      </w:r>
    </w:p>
    <w:p>
      <w:pPr>
        <w:pStyle w:val="21"/>
        <w:keepNext/>
      </w:pPr>
      <w:r>
        <w:t>3.1 教学和项目的基本结构</w:t>
      </w:r>
    </w:p>
    <w:p>
      <w:pPr>
        <w:spacing w:after="100" w:line="283" w:lineRule="auto"/>
      </w:pPr>
      <w:r>
        <w:rPr>
          <w:rFonts w:ascii="Noto Sans CJK SC" w:hAnsi="Noto Sans CJK SC" w:eastAsia="Noto Sans CJK SC"/>
          <w:b w:val="0"/>
        </w:rPr>
        <w:t>课程由视频讲解、代码或模型、实验、作业和人工评审组成。视频负责讲清原理和操作，代码与实验负责验证，作业和评审用于确认学员是否能够独立完成。每个模块至少设置一项完整任务，例如搭建电流环、完成一次参数辨识、实现无感切换或完成关节力矩标定。</w:t>
      </w:r>
    </w:p>
    <w:p>
      <w:pPr>
        <w:spacing w:after="100" w:line="283" w:lineRule="auto"/>
      </w:pPr>
      <w:r>
        <w:rPr>
          <w:rFonts w:ascii="Noto Sans CJK SC" w:hAnsi="Noto Sans CJK SC" w:eastAsia="Noto Sans CJK SC"/>
          <w:b w:val="0"/>
        </w:rPr>
        <w:t>单节课不追求把所有相关知识都讲完，需要把项目中的问题、输入输出、关键参数、实现过程、检查方法和常见错误说清楚。公式、代码、仿真和实物使用同一套变量、方向、单位和版本。</w:t>
      </w:r>
    </w:p>
    <w:p>
      <w:pPr>
        <w:pStyle w:val="21"/>
        <w:keepNext/>
      </w:pPr>
      <w:r>
        <w:t>3.2 模块交付物</w:t>
      </w:r>
    </w:p>
    <w:tbl>
      <w:tblPr>
        <w:tblStyle w:val="aff1"/>
        <w:tblW w:type="dxa" w:w="9342"/>
        <w:jc w:val="left"/>
        <w:tblLayout w:type="fixed"/>
        <w:tblLook w:firstColumn="1" w:firstRow="1" w:lastColumn="0" w:lastRow="0" w:noHBand="0" w:noVBand="1" w:val="04A0"/>
        <w:tblInd w:type="dxa" w:w="120"/>
      </w:tblPr>
      <w:tblGrid>
        <w:gridCol w:w="1792"/>
        <w:gridCol w:w="4735"/>
        <w:gridCol w:w="2815"/>
      </w:tblGrid>
      <w:tr>
        <w:trPr>
          <w:tblHeader w:val="true"/>
        </w:trPr>
        <w:tc>
          <w:tcPr>
            <w:tcW w:type="dxa" w:w="1792"/>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交付物</w:t>
            </w:r>
          </w:p>
        </w:tc>
        <w:tc>
          <w:tcPr>
            <w:tcW w:type="dxa" w:w="4735"/>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基本要求</w:t>
            </w:r>
          </w:p>
        </w:tc>
        <w:tc>
          <w:tcPr>
            <w:tcW w:type="dxa" w:w="2815"/>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验收依据</w:t>
            </w:r>
          </w:p>
        </w:tc>
      </w:tr>
      <w:tr>
        <w:trPr/>
        <w:tc>
          <w:tcPr>
            <w:tcW w:type="dxa" w:w="1792"/>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模块说明与详细目录</w:t>
            </w:r>
          </w:p>
        </w:tc>
        <w:tc>
          <w:tcPr>
            <w:tcW w:type="dxa" w:w="4735"/>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写清适合谁学、前置基础、课程内容、实验和完成结果。</w:t>
            </w:r>
          </w:p>
        </w:tc>
        <w:tc>
          <w:tcPr>
            <w:tcW w:type="dxa" w:w="2815"/>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目录评审记录和确认版本</w:t>
            </w:r>
          </w:p>
        </w:tc>
      </w:tr>
      <w:tr>
        <w:trPr/>
        <w:tc>
          <w:tcPr>
            <w:tcW w:type="dxa" w:w="1792"/>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讲稿、PPT 与视频</w:t>
            </w:r>
          </w:p>
        </w:tc>
        <w:tc>
          <w:tcPr>
            <w:tcW w:type="dxa" w:w="4735"/>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内容一致，公式和波形可辨认，讲解过程能够跟随。</w:t>
            </w:r>
          </w:p>
        </w:tc>
        <w:tc>
          <w:tcPr>
            <w:tcW w:type="dxa" w:w="2815"/>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样课、成片和修改记录</w:t>
            </w:r>
          </w:p>
        </w:tc>
      </w:tr>
      <w:tr>
        <w:trPr/>
        <w:tc>
          <w:tcPr>
            <w:tcW w:type="dxa" w:w="1792"/>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代码或模型</w:t>
            </w:r>
          </w:p>
        </w:tc>
        <w:tc>
          <w:tcPr>
            <w:tcW w:type="dxa" w:w="4735"/>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可运行，写明依赖、版本、参数、接口和最小测试。</w:t>
            </w:r>
          </w:p>
        </w:tc>
        <w:tc>
          <w:tcPr>
            <w:tcW w:type="dxa" w:w="2815"/>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仓库版本、编译或仿真记录</w:t>
            </w:r>
          </w:p>
        </w:tc>
      </w:tr>
      <w:tr>
        <w:trPr/>
        <w:tc>
          <w:tcPr>
            <w:tcW w:type="dxa" w:w="1792"/>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实验与数据</w:t>
            </w:r>
          </w:p>
        </w:tc>
        <w:tc>
          <w:tcPr>
            <w:tcW w:type="dxa" w:w="4735"/>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包含接线、工况、安全限制、原始数据、处理方法和结论。</w:t>
            </w:r>
          </w:p>
        </w:tc>
        <w:tc>
          <w:tcPr>
            <w:tcW w:type="dxa" w:w="2815"/>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复现实验记录和原始文件</w:t>
            </w:r>
          </w:p>
        </w:tc>
      </w:tr>
      <w:tr>
        <w:trPr/>
        <w:tc>
          <w:tcPr>
            <w:tcW w:type="dxa" w:w="1792"/>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作业与答案</w:t>
            </w:r>
          </w:p>
        </w:tc>
        <w:tc>
          <w:tcPr>
            <w:tcW w:type="dxa" w:w="4735"/>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能够检查核心知识点和实际操作，评分标准明确。</w:t>
            </w:r>
          </w:p>
        </w:tc>
        <w:tc>
          <w:tcPr>
            <w:tcW w:type="dxa" w:w="2815"/>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作业样例、答案和评分表</w:t>
            </w:r>
          </w:p>
        </w:tc>
      </w:tr>
      <w:tr>
        <w:trPr/>
        <w:tc>
          <w:tcPr>
            <w:tcW w:type="dxa" w:w="1792"/>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维护资料</w:t>
            </w:r>
          </w:p>
        </w:tc>
        <w:tc>
          <w:tcPr>
            <w:tcW w:type="dxa" w:w="4735"/>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记录已知问题、版本变化、常见答疑和后续修改。</w:t>
            </w:r>
          </w:p>
        </w:tc>
        <w:tc>
          <w:tcPr>
            <w:tcW w:type="dxa" w:w="2815"/>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问题台账和更新记录</w:t>
            </w:r>
          </w:p>
        </w:tc>
      </w:tr>
    </w:tbl>
    <w:p>
      <w:pPr>
        <w:spacing w:after="0"/>
      </w:pPr>
    </w:p>
    <w:p>
      <w:pPr>
        <w:pStyle w:val="21"/>
        <w:keepNext/>
      </w:pPr>
      <w:r>
        <w:t>3.3 技术与表达要求</w:t>
      </w:r>
    </w:p>
    <w:p>
      <w:pPr>
        <w:pStyle w:val="a0"/>
        <w:spacing w:after="40" w:line="269" w:lineRule="auto"/>
      </w:pPr>
      <w:r>
        <w:rPr>
          <w:rFonts w:ascii="Noto Sans CJK SC" w:hAnsi="Noto Sans CJK SC" w:eastAsia="Noto Sans CJK SC"/>
          <w:b w:val="0"/>
        </w:rPr>
        <w:t>公式、坐标、方向、单位、峰值和 RMS 口径保持一致；参数区分手册值、计算值、实测值和临时调试值。</w:t>
      </w:r>
    </w:p>
    <w:p>
      <w:pPr>
        <w:pStyle w:val="a0"/>
        <w:spacing w:after="40" w:line="269" w:lineRule="auto"/>
      </w:pPr>
      <w:r>
        <w:rPr>
          <w:rFonts w:ascii="Noto Sans CJK SC" w:hAnsi="Noto Sans CJK SC" w:eastAsia="Noto Sans CJK SC"/>
          <w:b w:val="0"/>
        </w:rPr>
        <w:t>代码通过编译和最小测试；模型写清求解器、采样周期和初始条件；实验保留原始数据和处理脚本。</w:t>
      </w:r>
    </w:p>
    <w:p>
      <w:pPr>
        <w:pStyle w:val="a0"/>
        <w:spacing w:after="40" w:line="269" w:lineRule="auto"/>
      </w:pPr>
      <w:r>
        <w:rPr>
          <w:rFonts w:ascii="Noto Sans CJK SC" w:hAnsi="Noto Sans CJK SC" w:eastAsia="Noto Sans CJK SC"/>
          <w:b w:val="0"/>
        </w:rPr>
        <w:t>论文、数据手册、标准和开源项目能够核验，许可证满足课程发布和商业使用要求。</w:t>
      </w:r>
    </w:p>
    <w:p>
      <w:pPr>
        <w:pStyle w:val="a0"/>
        <w:spacing w:after="40" w:line="269" w:lineRule="auto"/>
      </w:pPr>
      <w:r>
        <w:rPr>
          <w:rFonts w:ascii="Noto Sans CJK SC" w:hAnsi="Noto Sans CJK SC" w:eastAsia="Noto Sans CJK SC"/>
          <w:b w:val="0"/>
        </w:rPr>
        <w:t>课程文字和口播直接说明硬件、变量、工况、波形和结果，避免口号、机械分点和无法验证的结论。</w:t>
      </w:r>
    </w:p>
    <w:p>
      <w:pPr>
        <w:pStyle w:val="a0"/>
        <w:spacing w:after="40" w:line="269" w:lineRule="auto"/>
      </w:pPr>
      <w:r>
        <w:rPr>
          <w:rFonts w:ascii="Noto Sans CJK SC" w:hAnsi="Noto Sans CJK SC" w:eastAsia="Noto Sans CJK SC"/>
          <w:b w:val="0"/>
        </w:rPr>
        <w:t>AI 可以用于资料整理、初稿和测试脚本，最终内容由负责人逐项核对，企业源码、学员隐私和合作资料不得上传到未授权的外部模型。</w:t>
      </w:r>
    </w:p>
    <w:p>
      <w:pPr>
        <w:pStyle w:val="1"/>
        <w:keepNext/>
      </w:pPr>
      <w:r>
        <w:t>四、合作角色、责任与决策权限</w:t>
      </w:r>
    </w:p>
    <w:p>
      <w:pPr>
        <w:pStyle w:val="21"/>
        <w:keepNext/>
      </w:pPr>
      <w:r>
        <w:t>4.1 合作角色</w:t>
      </w:r>
    </w:p>
    <w:tbl>
      <w:tblPr>
        <w:tblStyle w:val="aff1"/>
        <w:tblW w:type="dxa" w:w="9342"/>
        <w:jc w:val="left"/>
        <w:tblLayout w:type="fixed"/>
        <w:tblLook w:firstColumn="1" w:firstRow="1" w:lastColumn="0" w:lastRow="0" w:noHBand="0" w:noVBand="1" w:val="04A0"/>
        <w:tblInd w:type="dxa" w:w="120"/>
      </w:tblPr>
      <w:tblGrid>
        <w:gridCol w:w="1728"/>
        <w:gridCol w:w="5247"/>
        <w:gridCol w:w="2367"/>
      </w:tblGrid>
      <w:tr>
        <w:trPr>
          <w:tblHeader w:val="true"/>
        </w:trPr>
        <w:tc>
          <w:tcPr>
            <w:tcW w:type="dxa" w:w="1728"/>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角色</w:t>
            </w:r>
          </w:p>
        </w:tc>
        <w:tc>
          <w:tcPr>
            <w:tcW w:type="dxa" w:w="5247"/>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主要责任</w:t>
            </w:r>
          </w:p>
        </w:tc>
        <w:tc>
          <w:tcPr>
            <w:tcW w:type="dxa" w:w="2367"/>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最终负责的结果</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课程总负责人</w:t>
            </w:r>
          </w:p>
        </w:tc>
        <w:tc>
          <w:tcPr>
            <w:tcW w:type="dxa" w:w="52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确定课程方向、主线工程、品牌、价格、发布计划和整体质量；组织平台、运营和学员服务。</w:t>
            </w:r>
          </w:p>
        </w:tc>
        <w:tc>
          <w:tcPr>
            <w:tcW w:type="dxa" w:w="23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课程整体是否发布、宣传口径和最终质量</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模块负责人</w:t>
            </w:r>
          </w:p>
        </w:tc>
        <w:tc>
          <w:tcPr>
            <w:tcW w:type="dxa" w:w="52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完成模块目录、讲稿、PPT、代码或模型、实验、录制、答疑和更新。</w:t>
            </w:r>
          </w:p>
        </w:tc>
        <w:tc>
          <w:tcPr>
            <w:tcW w:type="dxa" w:w="23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模块内容完整、技术正确并能持续维护</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联合讲师/专项专家</w:t>
            </w:r>
          </w:p>
        </w:tc>
        <w:tc>
          <w:tcPr>
            <w:tcW w:type="dxa" w:w="52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按照任务书完成指定章节、案例、实验或专项讲解。</w:t>
            </w:r>
          </w:p>
        </w:tc>
        <w:tc>
          <w:tcPr>
            <w:tcW w:type="dxa" w:w="23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约定范围内的内容和资料</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技术评审</w:t>
            </w:r>
          </w:p>
        </w:tc>
        <w:tc>
          <w:tcPr>
            <w:tcW w:type="dxa" w:w="52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独立检查公式、代码、实验、安全和结论，跟踪问题关闭。</w:t>
            </w:r>
          </w:p>
        </w:tc>
        <w:tc>
          <w:tcPr>
            <w:tcW w:type="dxa" w:w="23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评审意见完整、问题关闭有依据</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助教/项目评审</w:t>
            </w:r>
          </w:p>
        </w:tc>
        <w:tc>
          <w:tcPr>
            <w:tcW w:type="dxa" w:w="52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完成基础检查、学员沟通、作业登记和问题分流。</w:t>
            </w:r>
          </w:p>
        </w:tc>
        <w:tc>
          <w:tcPr>
            <w:tcW w:type="dxa" w:w="23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日常服务及时，复杂问题准确上交</w:t>
            </w:r>
          </w:p>
        </w:tc>
      </w:tr>
      <w:tr>
        <w:trPr/>
        <w:tc>
          <w:tcPr>
            <w:tcW w:type="dxa" w:w="172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运营/渠道伙伴</w:t>
            </w:r>
          </w:p>
        </w:tc>
        <w:tc>
          <w:tcPr>
            <w:tcW w:type="dxa" w:w="524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完成约定的推广、售前和服务，遵守统一价格、宣传和退款规则。</w:t>
            </w:r>
          </w:p>
        </w:tc>
        <w:tc>
          <w:tcPr>
            <w:tcW w:type="dxa" w:w="2367"/>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订单和服务数据真实可核对</w:t>
            </w:r>
          </w:p>
        </w:tc>
      </w:tr>
      <w:tr>
        <w:trPr/>
        <w:tc>
          <w:tcPr>
            <w:tcW w:type="dxa" w:w="172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企业/高校/硬件伙伴</w:t>
            </w:r>
          </w:p>
        </w:tc>
        <w:tc>
          <w:tcPr>
            <w:tcW w:type="dxa" w:w="524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提供约定的设备、资料、场景和试点条件，并确认公开边界。</w:t>
            </w:r>
          </w:p>
        </w:tc>
        <w:tc>
          <w:tcPr>
            <w:tcW w:type="dxa" w:w="2367"/>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所提供资料合法、准确并按授权使用</w:t>
            </w:r>
          </w:p>
        </w:tc>
      </w:tr>
    </w:tbl>
    <w:p>
      <w:pPr>
        <w:spacing w:after="0"/>
      </w:pPr>
    </w:p>
    <w:p>
      <w:pPr>
        <w:pStyle w:val="21"/>
        <w:keepNext/>
      </w:pPr>
      <w:r>
        <w:t>4.2 决策权限</w:t>
      </w:r>
    </w:p>
    <w:tbl>
      <w:tblPr>
        <w:tblStyle w:val="aff1"/>
        <w:tblW w:type="dxa" w:w="9342"/>
        <w:jc w:val="left"/>
        <w:tblLayout w:type="fixed"/>
        <w:tblLook w:firstColumn="1" w:firstRow="1" w:lastColumn="0" w:lastRow="0" w:noHBand="0" w:noVBand="1" w:val="04A0"/>
        <w:tblInd w:type="dxa" w:w="120"/>
      </w:tblPr>
      <w:tblGrid>
        <w:gridCol w:w="2176"/>
        <w:gridCol w:w="2112"/>
        <w:gridCol w:w="1856"/>
        <w:gridCol w:w="3198"/>
      </w:tblGrid>
      <w:tr>
        <w:trPr>
          <w:tblHeader w:val="true"/>
        </w:trPr>
        <w:tc>
          <w:tcPr>
            <w:tcW w:type="dxa" w:w="2176"/>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7"/>
              </w:rPr>
              <w:t>事项</w:t>
            </w:r>
          </w:p>
        </w:tc>
        <w:tc>
          <w:tcPr>
            <w:tcW w:type="dxa" w:w="2112"/>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7"/>
              </w:rPr>
              <w:t>执行负责人</w:t>
            </w:r>
          </w:p>
        </w:tc>
        <w:tc>
          <w:tcPr>
            <w:tcW w:type="dxa" w:w="1856"/>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7"/>
              </w:rPr>
              <w:t>最终确认</w:t>
            </w:r>
          </w:p>
        </w:tc>
        <w:tc>
          <w:tcPr>
            <w:tcW w:type="dxa" w:w="3198"/>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7"/>
              </w:rPr>
              <w:t>需要共同确认的内容</w:t>
            </w:r>
          </w:p>
        </w:tc>
      </w:tr>
      <w:tr>
        <w:trPr/>
        <w:tc>
          <w:tcPr>
            <w:tcW w:type="dxa" w:w="217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课程方向与模块边界</w:t>
            </w:r>
          </w:p>
        </w:tc>
        <w:tc>
          <w:tcPr>
            <w:tcW w:type="dxa" w:w="2112"/>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课程总负责人</w:t>
            </w:r>
          </w:p>
        </w:tc>
        <w:tc>
          <w:tcPr>
            <w:tcW w:type="dxa" w:w="185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课程总负责人</w:t>
            </w:r>
          </w:p>
        </w:tc>
        <w:tc>
          <w:tcPr>
            <w:tcW w:type="dxa" w:w="319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涉及合作方已有资产或专项承诺时共同确认</w:t>
            </w:r>
          </w:p>
        </w:tc>
      </w:tr>
      <w:tr>
        <w:trPr/>
        <w:tc>
          <w:tcPr>
            <w:tcW w:type="dxa" w:w="2176"/>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模块详细目录与技术路线</w:t>
            </w:r>
          </w:p>
        </w:tc>
        <w:tc>
          <w:tcPr>
            <w:tcW w:type="dxa" w:w="2112"/>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模块负责人</w:t>
            </w:r>
          </w:p>
        </w:tc>
        <w:tc>
          <w:tcPr>
            <w:tcW w:type="dxa" w:w="1856"/>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课程总负责人</w:t>
            </w:r>
          </w:p>
        </w:tc>
        <w:tc>
          <w:tcPr>
            <w:tcW w:type="dxa" w:w="319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技术评审和相关专项专家提供意见</w:t>
            </w:r>
          </w:p>
        </w:tc>
      </w:tr>
      <w:tr>
        <w:trPr/>
        <w:tc>
          <w:tcPr>
            <w:tcW w:type="dxa" w:w="217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代码、模型和实验方案</w:t>
            </w:r>
          </w:p>
        </w:tc>
        <w:tc>
          <w:tcPr>
            <w:tcW w:type="dxa" w:w="2112"/>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模块负责人/专项专家</w:t>
            </w:r>
          </w:p>
        </w:tc>
        <w:tc>
          <w:tcPr>
            <w:tcW w:type="dxa" w:w="185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模块负责人</w:t>
            </w:r>
          </w:p>
        </w:tc>
        <w:tc>
          <w:tcPr>
            <w:tcW w:type="dxa" w:w="319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高风险实验和关键结论需技术评审确认</w:t>
            </w:r>
          </w:p>
        </w:tc>
      </w:tr>
      <w:tr>
        <w:trPr/>
        <w:tc>
          <w:tcPr>
            <w:tcW w:type="dxa" w:w="2176"/>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技术验收</w:t>
            </w:r>
          </w:p>
        </w:tc>
        <w:tc>
          <w:tcPr>
            <w:tcW w:type="dxa" w:w="2112"/>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技术评审</w:t>
            </w:r>
          </w:p>
        </w:tc>
        <w:tc>
          <w:tcPr>
            <w:tcW w:type="dxa" w:w="1856"/>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课程总负责人</w:t>
            </w:r>
          </w:p>
        </w:tc>
        <w:tc>
          <w:tcPr>
            <w:tcW w:type="dxa" w:w="319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原作者完成修改并提交复测证据</w:t>
            </w:r>
          </w:p>
        </w:tc>
      </w:tr>
      <w:tr>
        <w:trPr/>
        <w:tc>
          <w:tcPr>
            <w:tcW w:type="dxa" w:w="217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宣传内容、定价和优惠</w:t>
            </w:r>
          </w:p>
        </w:tc>
        <w:tc>
          <w:tcPr>
            <w:tcW w:type="dxa" w:w="2112"/>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运营负责人</w:t>
            </w:r>
          </w:p>
        </w:tc>
        <w:tc>
          <w:tcPr>
            <w:tcW w:type="dxa" w:w="185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课程总负责人</w:t>
            </w:r>
          </w:p>
        </w:tc>
        <w:tc>
          <w:tcPr>
            <w:tcW w:type="dxa" w:w="319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使用合作方姓名、数据或案例前取得授权</w:t>
            </w:r>
          </w:p>
        </w:tc>
      </w:tr>
      <w:tr>
        <w:trPr/>
        <w:tc>
          <w:tcPr>
            <w:tcW w:type="dxa" w:w="2176"/>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范围、工期和费用变更</w:t>
            </w:r>
          </w:p>
        </w:tc>
        <w:tc>
          <w:tcPr>
            <w:tcW w:type="dxa" w:w="2112"/>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提出变更的一方</w:t>
            </w:r>
          </w:p>
        </w:tc>
        <w:tc>
          <w:tcPr>
            <w:tcW w:type="dxa" w:w="1856"/>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双方书面确认</w:t>
            </w:r>
          </w:p>
        </w:tc>
        <w:tc>
          <w:tcPr>
            <w:tcW w:type="dxa" w:w="319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新增交付物、修改轮次、排期和费用</w:t>
            </w:r>
          </w:p>
        </w:tc>
      </w:tr>
      <w:tr>
        <w:trPr/>
        <w:tc>
          <w:tcPr>
            <w:tcW w:type="dxa" w:w="217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发布、暂停销售和下架</w:t>
            </w:r>
          </w:p>
        </w:tc>
        <w:tc>
          <w:tcPr>
            <w:tcW w:type="dxa" w:w="2112"/>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课程总负责人</w:t>
            </w:r>
          </w:p>
        </w:tc>
        <w:tc>
          <w:tcPr>
            <w:tcW w:type="dxa" w:w="185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课程总负责人</w:t>
            </w:r>
          </w:p>
        </w:tc>
        <w:tc>
          <w:tcPr>
            <w:tcW w:type="dxa" w:w="319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影响合作方收益和署名时提前书面说明</w:t>
            </w:r>
          </w:p>
        </w:tc>
      </w:tr>
    </w:tbl>
    <w:p>
      <w:pPr>
        <w:spacing w:after="0"/>
      </w:pPr>
    </w:p>
    <w:p>
      <w:pPr>
        <w:pStyle w:val="21"/>
        <w:keepNext/>
      </w:pPr>
      <w:r>
        <w:t>4.3 开始制作前必须确认</w:t>
      </w:r>
    </w:p>
    <w:p>
      <w:pPr>
        <w:pStyle w:val="a0"/>
        <w:spacing w:after="40" w:line="269" w:lineRule="auto"/>
      </w:pPr>
      <w:r>
        <w:rPr>
          <w:rFonts w:ascii="Noto Sans CJK SC" w:hAnsi="Noto Sans CJK SC" w:eastAsia="Noto Sans CJK SC"/>
          <w:b w:val="0"/>
        </w:rPr>
        <w:t>本次做什么、明确不做什么，以及需要使用哪些已有资料；</w:t>
      </w:r>
    </w:p>
    <w:p>
      <w:pPr>
        <w:pStyle w:val="a0"/>
        <w:spacing w:after="40" w:line="269" w:lineRule="auto"/>
      </w:pPr>
      <w:r>
        <w:rPr>
          <w:rFonts w:ascii="Noto Sans CJK SC" w:hAnsi="Noto Sans CJK SC" w:eastAsia="Noto Sans CJK SC"/>
          <w:b w:val="0"/>
        </w:rPr>
        <w:t>目录、技术、代码、实验、录制、评审、答疑和更新分别由谁负责；</w:t>
      </w:r>
    </w:p>
    <w:p>
      <w:pPr>
        <w:pStyle w:val="a0"/>
        <w:spacing w:after="40" w:line="269" w:lineRule="auto"/>
      </w:pPr>
      <w:r>
        <w:rPr>
          <w:rFonts w:ascii="Noto Sans CJK SC" w:hAnsi="Noto Sans CJK SC" w:eastAsia="Noto Sans CJK SC"/>
          <w:b w:val="0"/>
        </w:rPr>
        <w:t>交付物、版本格式、验收标准、计划节点和包含的修改轮次；</w:t>
      </w:r>
    </w:p>
    <w:p>
      <w:pPr>
        <w:pStyle w:val="a0"/>
        <w:spacing w:after="40" w:line="269" w:lineRule="auto"/>
      </w:pPr>
      <w:r>
        <w:rPr>
          <w:rFonts w:ascii="Noto Sans CJK SC" w:hAnsi="Noto Sans CJK SC" w:eastAsia="Noto Sans CJK SC"/>
          <w:b w:val="0"/>
        </w:rPr>
        <w:t>固定费用、分成比例、可扣除成本、结算周期和退款处理；</w:t>
      </w:r>
    </w:p>
    <w:p>
      <w:pPr>
        <w:pStyle w:val="a0"/>
        <w:spacing w:after="40" w:line="269" w:lineRule="auto"/>
      </w:pPr>
      <w:r>
        <w:rPr>
          <w:rFonts w:ascii="Noto Sans CJK SC" w:hAnsi="Noto Sans CJK SC" w:eastAsia="Noto Sans CJK SC"/>
          <w:b w:val="0"/>
        </w:rPr>
        <w:t>版权、署名、公开范围、保密要求和合作结束后的处理。</w:t>
      </w:r>
    </w:p>
    <w:p>
      <w:pPr>
        <w:pStyle w:val="1"/>
        <w:keepNext/>
      </w:pPr>
      <w:r>
        <w:t>五、交付、验收与范围变更</w:t>
      </w:r>
    </w:p>
    <w:p>
      <w:pPr>
        <w:pStyle w:val="21"/>
        <w:keepNext/>
      </w:pPr>
      <w:r>
        <w:t>5.1 默认交付流程</w:t>
      </w:r>
    </w:p>
    <w:p>
      <w:pPr>
        <w:pStyle w:val="a"/>
        <w:spacing w:after="40"/>
      </w:pPr>
      <w:r>
        <w:rPr>
          <w:rFonts w:ascii="Noto Sans CJK SC" w:hAnsi="Noto Sans CJK SC" w:eastAsia="Noto Sans CJK SC"/>
          <w:b w:val="0"/>
        </w:rPr>
        <w:t>确认任务书：冻结模块范围、负责人、交付物、验收标准和计划节点。</w:t>
      </w:r>
    </w:p>
    <w:p>
      <w:pPr>
        <w:pStyle w:val="a"/>
        <w:spacing w:after="40"/>
      </w:pPr>
      <w:r>
        <w:rPr>
          <w:rFonts w:ascii="Noto Sans CJK SC" w:hAnsi="Noto Sans CJK SC" w:eastAsia="Noto Sans CJK SC"/>
          <w:b w:val="0"/>
        </w:rPr>
        <w:t>审核详细目录：确认知识点顺序、实验条件、代码依赖和资料缺口。</w:t>
      </w:r>
    </w:p>
    <w:p>
      <w:pPr>
        <w:pStyle w:val="a"/>
        <w:spacing w:after="40"/>
      </w:pPr>
      <w:r>
        <w:rPr>
          <w:rFonts w:ascii="Noto Sans CJK SC" w:hAnsi="Noto Sans CJK SC" w:eastAsia="Noto Sans CJK SC"/>
          <w:b w:val="0"/>
        </w:rPr>
        <w:t>完成样课或小型试点：先验证技术路线、表达方式和制作成本。</w:t>
      </w:r>
    </w:p>
    <w:p>
      <w:pPr>
        <w:pStyle w:val="a"/>
        <w:spacing w:after="40"/>
      </w:pPr>
      <w:r>
        <w:rPr>
          <w:rFonts w:ascii="Noto Sans CJK SC" w:hAnsi="Noto Sans CJK SC" w:eastAsia="Noto Sans CJK SC"/>
          <w:b w:val="0"/>
        </w:rPr>
        <w:t>提交初版：讲稿、PPT、代码或模型、实验、作业和说明同时进入评审。</w:t>
      </w:r>
    </w:p>
    <w:p>
      <w:pPr>
        <w:pStyle w:val="a"/>
        <w:spacing w:after="40"/>
      </w:pPr>
      <w:r>
        <w:rPr>
          <w:rFonts w:ascii="Noto Sans CJK SC" w:hAnsi="Noto Sans CJK SC" w:eastAsia="Noto Sans CJK SC"/>
          <w:b w:val="0"/>
        </w:rPr>
        <w:t>技术与教学评审：问题按严重程度记录，原作者逐项修改并提供复测证据。</w:t>
      </w:r>
    </w:p>
    <w:p>
      <w:pPr>
        <w:pStyle w:val="a"/>
        <w:spacing w:after="40"/>
      </w:pPr>
      <w:r>
        <w:rPr>
          <w:rFonts w:ascii="Noto Sans CJK SC" w:hAnsi="Noto Sans CJK SC" w:eastAsia="Noto Sans CJK SC"/>
          <w:b w:val="0"/>
        </w:rPr>
        <w:t>最终验收：双方确认交付清单、版本、遗留问题、发布日期和维护责任。</w:t>
      </w:r>
    </w:p>
    <w:p>
      <w:pPr>
        <w:pStyle w:val="a"/>
        <w:spacing w:after="40"/>
      </w:pPr>
      <w:r>
        <w:rPr>
          <w:rFonts w:ascii="Noto Sans CJK SC" w:hAnsi="Noto Sans CJK SC" w:eastAsia="Noto Sans CJK SC"/>
          <w:b w:val="0"/>
        </w:rPr>
        <w:t>发布与维护：按照问题等级处理错误、答疑和工具或硬件版本变化。</w:t>
      </w:r>
    </w:p>
    <w:p>
      <w:pPr>
        <w:pStyle w:val="21"/>
        <w:keepNext/>
      </w:pPr>
      <w:r>
        <w:t>5.2 验收标准</w:t>
      </w:r>
    </w:p>
    <w:tbl>
      <w:tblPr>
        <w:tblStyle w:val="aff1"/>
        <w:tblW w:type="dxa" w:w="9342"/>
        <w:jc w:val="left"/>
        <w:tblLayout w:type="fixed"/>
        <w:tblLook w:firstColumn="1" w:firstRow="1" w:lastColumn="0" w:lastRow="0" w:noHBand="0" w:noVBand="1" w:val="04A0"/>
        <w:tblInd w:type="dxa" w:w="120"/>
      </w:tblPr>
      <w:tblGrid>
        <w:gridCol w:w="1716"/>
        <w:gridCol w:w="5084"/>
        <w:gridCol w:w="2542"/>
      </w:tblGrid>
      <w:tr>
        <w:trPr>
          <w:tblHeader w:val="true"/>
        </w:trPr>
        <w:tc>
          <w:tcPr>
            <w:tcW w:type="dxa" w:w="1716"/>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检查项</w:t>
            </w:r>
          </w:p>
        </w:tc>
        <w:tc>
          <w:tcPr>
            <w:tcW w:type="dxa" w:w="5084"/>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通过条件</w:t>
            </w:r>
          </w:p>
        </w:tc>
        <w:tc>
          <w:tcPr>
            <w:tcW w:type="dxa" w:w="2542"/>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主要证据</w:t>
            </w:r>
          </w:p>
        </w:tc>
      </w:tr>
      <w:tr>
        <w:trPr/>
        <w:tc>
          <w:tcPr>
            <w:tcW w:type="dxa" w:w="171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内容完整性</w:t>
            </w:r>
          </w:p>
        </w:tc>
        <w:tc>
          <w:tcPr>
            <w:tcW w:type="dxa" w:w="50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任务书中的课程、资料和实验全部提交，目录与成品一致。</w:t>
            </w:r>
          </w:p>
        </w:tc>
        <w:tc>
          <w:tcPr>
            <w:tcW w:type="dxa" w:w="2542"/>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交付清单、文件版本</w:t>
            </w:r>
          </w:p>
        </w:tc>
      </w:tr>
      <w:tr>
        <w:trPr/>
        <w:tc>
          <w:tcPr>
            <w:tcW w:type="dxa" w:w="1716"/>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技术正确性</w:t>
            </w:r>
          </w:p>
        </w:tc>
        <w:tc>
          <w:tcPr>
            <w:tcW w:type="dxa" w:w="50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公式、方向、单位、代码和结论一致，不存在影响学习和安全的技术错误。</w:t>
            </w:r>
          </w:p>
        </w:tc>
        <w:tc>
          <w:tcPr>
            <w:tcW w:type="dxa" w:w="2542"/>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评审问题单、关闭记录</w:t>
            </w:r>
          </w:p>
        </w:tc>
      </w:tr>
      <w:tr>
        <w:trPr/>
        <w:tc>
          <w:tcPr>
            <w:tcW w:type="dxa" w:w="171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可运行性</w:t>
            </w:r>
          </w:p>
        </w:tc>
        <w:tc>
          <w:tcPr>
            <w:tcW w:type="dxa" w:w="50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代码能够编译，模型能够运行，依赖和参数明确。</w:t>
            </w:r>
          </w:p>
        </w:tc>
        <w:tc>
          <w:tcPr>
            <w:tcW w:type="dxa" w:w="2542"/>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仓库版本、编译/仿真日志</w:t>
            </w:r>
          </w:p>
        </w:tc>
      </w:tr>
      <w:tr>
        <w:trPr/>
        <w:tc>
          <w:tcPr>
            <w:tcW w:type="dxa" w:w="1716"/>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可复现性</w:t>
            </w:r>
          </w:p>
        </w:tc>
        <w:tc>
          <w:tcPr>
            <w:tcW w:type="dxa" w:w="50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按说明能够重复实验，原始数据、处理过程和最终图表能够对应。</w:t>
            </w:r>
          </w:p>
        </w:tc>
        <w:tc>
          <w:tcPr>
            <w:tcW w:type="dxa" w:w="2542"/>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实验记录、数据和脚本</w:t>
            </w:r>
          </w:p>
        </w:tc>
      </w:tr>
      <w:tr>
        <w:trPr/>
        <w:tc>
          <w:tcPr>
            <w:tcW w:type="dxa" w:w="171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教学可用性</w:t>
            </w:r>
          </w:p>
        </w:tc>
        <w:tc>
          <w:tcPr>
            <w:tcW w:type="dxa" w:w="50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目标学员能够跟随课程完成任务，关键步骤和常见错误已经说明。</w:t>
            </w:r>
          </w:p>
        </w:tc>
        <w:tc>
          <w:tcPr>
            <w:tcW w:type="dxa" w:w="2542"/>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样课、试学反馈、修改记录</w:t>
            </w:r>
          </w:p>
        </w:tc>
      </w:tr>
      <w:tr>
        <w:trPr/>
        <w:tc>
          <w:tcPr>
            <w:tcW w:type="dxa" w:w="1716"/>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资料合规</w:t>
            </w:r>
          </w:p>
        </w:tc>
        <w:tc>
          <w:tcPr>
            <w:tcW w:type="dxa" w:w="50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引用、许可证、授权、隐私和保密要求已经检查。</w:t>
            </w:r>
          </w:p>
        </w:tc>
        <w:tc>
          <w:tcPr>
            <w:tcW w:type="dxa" w:w="2542"/>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来源清单、授权或脱敏记录</w:t>
            </w:r>
          </w:p>
        </w:tc>
      </w:tr>
      <w:tr>
        <w:trPr/>
        <w:tc>
          <w:tcPr>
            <w:tcW w:type="dxa" w:w="171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版本一致性</w:t>
            </w:r>
          </w:p>
        </w:tc>
        <w:tc>
          <w:tcPr>
            <w:tcW w:type="dxa" w:w="50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视频、PPT、代码、模型和实验资料使用同一发布版本。</w:t>
            </w:r>
          </w:p>
        </w:tc>
        <w:tc>
          <w:tcPr>
            <w:tcW w:type="dxa" w:w="2542"/>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发布清单和版本标签</w:t>
            </w:r>
          </w:p>
        </w:tc>
      </w:tr>
    </w:tbl>
    <w:p>
      <w:pPr>
        <w:spacing w:after="0"/>
      </w:pPr>
    </w:p>
    <w:p>
      <w:pPr>
        <w:pStyle w:val="21"/>
        <w:keepNext/>
      </w:pPr>
      <w:r>
        <w:t>5.3 修改、验收时限和范围变更</w:t>
      </w:r>
    </w:p>
    <w:p>
      <w:pPr>
        <w:spacing w:after="100" w:line="283" w:lineRule="auto"/>
      </w:pPr>
      <w:r>
        <w:rPr>
          <w:rFonts w:ascii="Noto Sans CJK SC" w:hAnsi="Noto Sans CJK SC" w:eastAsia="Noto Sans CJK SC"/>
          <w:b w:val="0"/>
        </w:rPr>
        <w:t>除任务书另有约定，默认包含一次目录调整和两轮成品修改。技术错误、安全问题、无法运行或无法复现不计入普通修改轮次，责任方需要修复到满足验收条件。因偏好变化产生的重复改写，或新增课程、实验、硬件适配、代码功能和录制内容，属于范围变更。</w:t>
      </w:r>
    </w:p>
    <w:p>
      <w:pPr>
        <w:spacing w:after="100" w:line="283" w:lineRule="auto"/>
      </w:pPr>
      <w:r>
        <w:rPr>
          <w:rFonts w:ascii="Noto Sans CJK SC" w:hAnsi="Noto Sans CJK SC" w:eastAsia="Noto Sans CJK SC"/>
          <w:b w:val="0"/>
        </w:rPr>
        <w:t>收到完整交付后，验收方原则上在 5 个工作日内提交书面问题。反馈需要指出文件版本、具体位置、问题和预期结果；超过约定时间未反馈时，可以暂停后续排期和发布时间，但不自动视为技术验收通过。范围变更在继续制作前重新确认工作量、费用和计划。</w:t>
      </w:r>
    </w:p>
    <w:p>
      <w:pPr>
        <w:spacing w:after="100" w:line="283" w:lineRule="auto"/>
      </w:pPr>
      <w:r>
        <w:rPr>
          <w:rFonts w:ascii="Noto Sans CJK SC" w:hAnsi="Noto Sans CJK SC" w:eastAsia="Noto Sans CJK SC"/>
          <w:b w:val="0"/>
        </w:rPr>
        <w:t>最终验收以签字确认的验收表、邮件或双方认可的企业通信记录为准。允许带遗留问题发布时，需要写明问题、影响范围、负责人和关闭时间。</w:t>
      </w:r>
    </w:p>
    <w:p>
      <w:pPr>
        <w:pStyle w:val="1"/>
        <w:keepNext/>
      </w:pPr>
      <w:r>
        <w:t>六、收益分配与结算</w:t>
      </w:r>
    </w:p>
    <w:p>
      <w:pPr>
        <w:pStyle w:val="21"/>
        <w:keepNext/>
      </w:pPr>
      <w:r>
        <w:t>6.1 计算口径</w:t>
      </w:r>
    </w:p>
    <w:tbl>
      <w:tblPr>
        <w:tblStyle w:val="aff1"/>
        <w:tblW w:type="dxa" w:w="9342"/>
        <w:jc w:val="left"/>
        <w:tblLayout w:type="fixed"/>
        <w:tblLook w:firstColumn="1" w:firstRow="1" w:lastColumn="0" w:lastRow="0" w:noHBand="0" w:noVBand="1" w:val="04A0"/>
        <w:tblInd w:type="dxa" w:w="120"/>
      </w:tblPr>
      <w:tblGrid>
        <w:gridCol w:w="1856"/>
        <w:gridCol w:w="7486"/>
      </w:tblGrid>
      <w:tr>
        <w:trPr>
          <w:tblHeader w:val="true"/>
        </w:trPr>
        <w:tc>
          <w:tcPr>
            <w:tcW w:type="dxa" w:w="1856"/>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项目</w:t>
            </w:r>
          </w:p>
        </w:tc>
        <w:tc>
          <w:tcPr>
            <w:tcW w:type="dxa" w:w="7486"/>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定义</w:t>
            </w:r>
          </w:p>
        </w:tc>
      </w:tr>
      <w:tr>
        <w:trPr/>
        <w:tc>
          <w:tcPr>
            <w:tcW w:type="dxa" w:w="185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实收收入</w:t>
            </w:r>
          </w:p>
        </w:tc>
        <w:tc>
          <w:tcPr>
            <w:tcW w:type="dxa" w:w="748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学员或客户实际支付并到账的金额，不包含未到账订单。</w:t>
            </w:r>
          </w:p>
        </w:tc>
      </w:tr>
      <w:tr>
        <w:trPr/>
        <w:tc>
          <w:tcPr>
            <w:tcW w:type="dxa" w:w="1856"/>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退款与拒付</w:t>
            </w:r>
          </w:p>
        </w:tc>
        <w:tc>
          <w:tcPr>
            <w:tcW w:type="dxa" w:w="7486"/>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已经退回客户或被支付渠道撤回的金额，按对应订单冲减。</w:t>
            </w:r>
          </w:p>
        </w:tc>
      </w:tr>
      <w:tr>
        <w:trPr/>
        <w:tc>
          <w:tcPr>
            <w:tcW w:type="dxa" w:w="185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直接成本</w:t>
            </w:r>
          </w:p>
        </w:tc>
        <w:tc>
          <w:tcPr>
            <w:tcW w:type="dxa" w:w="748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仅包含与项目直接相关、能够提供凭证并在发生前确认的税费、平台手续费、渠道、广告、外包、场地、设备、样机和耗材。</w:t>
            </w:r>
          </w:p>
        </w:tc>
      </w:tr>
      <w:tr>
        <w:trPr/>
        <w:tc>
          <w:tcPr>
            <w:tcW w:type="dxa" w:w="1856"/>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可分配收入</w:t>
            </w:r>
          </w:p>
        </w:tc>
        <w:tc>
          <w:tcPr>
            <w:tcW w:type="dxa" w:w="7486"/>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实收收入减去退款、税费和支付/平台手续费，再减去已确认的渠道、广告和项目直接成本。</w:t>
            </w:r>
          </w:p>
        </w:tc>
      </w:tr>
      <w:tr>
        <w:trPr/>
        <w:tc>
          <w:tcPr>
            <w:tcW w:type="dxa" w:w="185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更新准备金</w:t>
            </w:r>
          </w:p>
        </w:tc>
        <w:tc>
          <w:tcPr>
            <w:tcW w:type="dxa" w:w="7486"/>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默认从可分配收入中暂留 10%，用于错误修复、必要补录和版本更新；保留期默认为 12 个月。</w:t>
            </w:r>
          </w:p>
        </w:tc>
      </w:tr>
    </w:tbl>
    <w:p>
      <w:pPr>
        <w:spacing w:after="0"/>
      </w:pPr>
    </w:p>
    <w:p>
      <w:pPr>
        <w:spacing w:after="100" w:line="283" w:lineRule="auto"/>
      </w:pPr>
      <w:r>
        <w:rPr>
          <w:rFonts w:ascii="Noto Sans CJK SC" w:hAnsi="Noto Sans CJK SC" w:eastAsia="Noto Sans CJK SC"/>
          <w:b w:val="0"/>
        </w:rPr>
        <w:t>更新准备金由课程总负责人单独登记，每次使用需要说明用途、金额和对应问题；到期未使用的余额按原分配比例结算。任何未提前确认、无法归属或无法提供依据的费用，不得单方面从合作方收益中扣除。</w:t>
      </w:r>
    </w:p>
    <w:p>
      <w:pPr>
        <w:pStyle w:val="21"/>
        <w:keepNext/>
      </w:pPr>
      <w:r>
        <w:t>6.2 常见合作方式</w:t>
      </w:r>
    </w:p>
    <w:tbl>
      <w:tblPr>
        <w:tblStyle w:val="aff1"/>
        <w:tblW w:type="dxa" w:w="9342"/>
        <w:jc w:val="left"/>
        <w:tblLayout w:type="fixed"/>
        <w:tblLook w:firstColumn="1" w:firstRow="1" w:lastColumn="0" w:lastRow="0" w:noHBand="0" w:noVBand="1" w:val="04A0"/>
        <w:tblInd w:type="dxa" w:w="120"/>
      </w:tblPr>
      <w:tblGrid>
        <w:gridCol w:w="1984"/>
        <w:gridCol w:w="3455"/>
        <w:gridCol w:w="3903"/>
      </w:tblGrid>
      <w:tr>
        <w:trPr>
          <w:tblHeader w:val="true"/>
        </w:trPr>
        <w:tc>
          <w:tcPr>
            <w:tcW w:type="dxa" w:w="1984"/>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7"/>
              </w:rPr>
              <w:t>合作方式</w:t>
            </w:r>
          </w:p>
        </w:tc>
        <w:tc>
          <w:tcPr>
            <w:tcW w:type="dxa" w:w="3455"/>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7"/>
              </w:rPr>
              <w:t>默认建议</w:t>
            </w:r>
          </w:p>
        </w:tc>
        <w:tc>
          <w:tcPr>
            <w:tcW w:type="dxa" w:w="3903"/>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7"/>
              </w:rPr>
              <w:t>适用条件</w:t>
            </w:r>
          </w:p>
        </w:tc>
      </w:tr>
      <w:tr>
        <w:trPr/>
        <w:tc>
          <w:tcPr>
            <w:tcW w:type="dxa" w:w="19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专题模块联合开发</w:t>
            </w:r>
          </w:p>
        </w:tc>
        <w:tc>
          <w:tcPr>
            <w:tcW w:type="dxa" w:w="3455"/>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Driver Lab 55%；模块内容团队 35%；评审、助教和维护 10%。</w:t>
            </w:r>
          </w:p>
        </w:tc>
        <w:tc>
          <w:tcPr>
            <w:tcW w:type="dxa" w:w="3903"/>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模块负责人完成完整模块，Driver Lab 提供主线、品牌、平台、运营和学员服务。</w:t>
            </w:r>
          </w:p>
        </w:tc>
      </w:tr>
      <w:tr>
        <w:trPr/>
        <w:tc>
          <w:tcPr>
            <w:tcW w:type="dxa" w:w="19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专家授课/指定章节</w:t>
            </w:r>
          </w:p>
        </w:tc>
        <w:tc>
          <w:tcPr>
            <w:tcW w:type="dxa" w:w="3455"/>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固定制作费 + 验收奖金 + 5%—10% 的限期销售奖励。</w:t>
            </w:r>
          </w:p>
        </w:tc>
        <w:tc>
          <w:tcPr>
            <w:tcW w:type="dxa" w:w="3903"/>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专家只承担约定章节，不负责整套课程和长期维护。</w:t>
            </w:r>
          </w:p>
        </w:tc>
      </w:tr>
      <w:tr>
        <w:trPr/>
        <w:tc>
          <w:tcPr>
            <w:tcW w:type="dxa" w:w="19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完整课程/联合品牌</w:t>
            </w:r>
          </w:p>
        </w:tc>
        <w:tc>
          <w:tcPr>
            <w:tcW w:type="dxa" w:w="3455"/>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扣除确认成本和准备金后，可按 50%：50% 作为谈判起点。</w:t>
            </w:r>
          </w:p>
        </w:tc>
        <w:tc>
          <w:tcPr>
            <w:tcW w:type="dxa" w:w="3903"/>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双方在内容、品牌、流量、资金、运营和售后方面投入接近。</w:t>
            </w:r>
          </w:p>
        </w:tc>
      </w:tr>
      <w:tr>
        <w:trPr/>
        <w:tc>
          <w:tcPr>
            <w:tcW w:type="dxa" w:w="19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企业内训/高校定制</w:t>
            </w:r>
          </w:p>
        </w:tc>
        <w:tc>
          <w:tcPr>
            <w:tcW w:type="dxa" w:w="3455"/>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先扣除确认的设备、差旅、耗材、税费和第三方成本，再按项目责任分配。</w:t>
            </w:r>
          </w:p>
        </w:tc>
        <w:tc>
          <w:tcPr>
            <w:tcW w:type="dxa" w:w="3903"/>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比例根据获客、方案、授课、定制开发、设备和售后确定。</w:t>
            </w:r>
          </w:p>
        </w:tc>
      </w:tr>
      <w:tr>
        <w:trPr/>
        <w:tc>
          <w:tcPr>
            <w:tcW w:type="dxa" w:w="19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渠道合作</w:t>
            </w:r>
          </w:p>
        </w:tc>
        <w:tc>
          <w:tcPr>
            <w:tcW w:type="dxa" w:w="3455"/>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按可核对实收订单支付 15%—25% 佣金。</w:t>
            </w:r>
          </w:p>
        </w:tc>
        <w:tc>
          <w:tcPr>
            <w:tcW w:type="dxa" w:w="3903"/>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7"/>
              </w:rPr>
              <w:t>渠道承担获客或售前服务，不取得课程版权、改编权和学员数据。</w:t>
            </w:r>
          </w:p>
        </w:tc>
      </w:tr>
      <w:tr>
        <w:trPr/>
        <w:tc>
          <w:tcPr>
            <w:tcW w:type="dxa" w:w="19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硬件与实验平台</w:t>
            </w:r>
          </w:p>
        </w:tc>
        <w:tc>
          <w:tcPr>
            <w:tcW w:type="dxa" w:w="3455"/>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硬件、课程和技术服务分别记账、分别核算。</w:t>
            </w:r>
          </w:p>
        </w:tc>
        <w:tc>
          <w:tcPr>
            <w:tcW w:type="dxa" w:w="3903"/>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7"/>
              </w:rPr>
              <w:t>硬件利润需覆盖 BOM、制造、物流、库存、售后和质保责任。</w:t>
            </w:r>
          </w:p>
        </w:tc>
      </w:tr>
    </w:tbl>
    <w:p>
      <w:pPr>
        <w:spacing w:after="0"/>
      </w:pPr>
    </w:p>
    <w:tbl>
      <w:tblPr>
        <w:tblW w:type="dxa" w:w="9342"/>
        <w:jc w:val="left"/>
        <w:tblLayout w:type="fixed"/>
        <w:tblLook w:firstColumn="1" w:firstRow="1" w:lastColumn="0" w:lastRow="0" w:noHBand="0" w:noVBand="1" w:val="04A0"/>
        <w:tblInd w:type="dxa" w:w="120"/>
      </w:tblPr>
      <w:tblGrid>
        <w:gridCol w:w="9342"/>
      </w:tblGrid>
      <w:tr>
        <w:trPr/>
        <w:tc>
          <w:tcPr>
            <w:tcW w:type="dxa" w:w="9342"/>
            <w:shd w:fill="EEF4FA"/>
            <w:vAlign w:val="center"/>
            <w:tcMar>
              <w:top w:w="80" w:type="dxa"/>
              <w:bottom w:w="80" w:type="dxa"/>
              <w:start w:w="120" w:type="dxa"/>
              <w:end w:w="120" w:type="dxa"/>
            </w:tcMar>
          </w:tcPr>
          <w:p>
            <w:pPr>
              <w:spacing w:after="0" w:line="276" w:lineRule="auto"/>
            </w:pPr>
            <w:r/>
            <w:r>
              <w:rPr>
                <w:rFonts w:ascii="Noto Sans CJK SC" w:hAnsi="Noto Sans CJK SC" w:eastAsia="Noto Sans CJK SC"/>
                <w:b/>
                <w:color w:val="365F91"/>
              </w:rPr>
              <w:t>比例说明｜</w:t>
            </w:r>
            <w:r>
              <w:rPr>
                <w:rFonts w:ascii="Noto Sans CJK SC" w:hAnsi="Noto Sans CJK SC" w:eastAsia="Noto Sans CJK SC"/>
                <w:b w:val="0"/>
              </w:rPr>
              <w:t>表中比例是默认谈判起点，不自动适用于所有项目。正式比例、计算范围、奖励期限和维护义务，必须写入任务书或合作协议。</w:t>
            </w:r>
          </w:p>
        </w:tc>
      </w:tr>
    </w:tbl>
    <w:p>
      <w:pPr>
        <w:spacing w:after="0"/>
      </w:pPr>
    </w:p>
    <w:p>
      <w:pPr>
        <w:pStyle w:val="21"/>
        <w:keepNext/>
      </w:pPr>
      <w:r>
        <w:t>6.3 对账、退款和付款</w:t>
      </w:r>
    </w:p>
    <w:p>
      <w:pPr>
        <w:pStyle w:val="a0"/>
        <w:spacing w:after="40" w:line="269" w:lineRule="auto"/>
      </w:pPr>
      <w:r>
        <w:rPr>
          <w:rFonts w:ascii="Noto Sans CJK SC" w:hAnsi="Noto Sans CJK SC" w:eastAsia="Noto Sans CJK SC"/>
          <w:b w:val="0"/>
        </w:rPr>
        <w:t>默认按自然月对账，次月 10 日前提供合作方相关的订单、退款、确认成本、准备金和可分配金额，次月 20 日前完成付款；任务书可改为季度结算。</w:t>
      </w:r>
    </w:p>
    <w:p>
      <w:pPr>
        <w:pStyle w:val="a0"/>
        <w:spacing w:after="40" w:line="269" w:lineRule="auto"/>
      </w:pPr>
      <w:r>
        <w:rPr>
          <w:rFonts w:ascii="Noto Sans CJK SC" w:hAnsi="Noto Sans CJK SC" w:eastAsia="Noto Sans CJK SC"/>
          <w:b w:val="0"/>
        </w:rPr>
        <w:t>退款、拒付和撤单按原订单的分配比例冲减；若在结算后发生，可在下一期扣回。</w:t>
      </w:r>
    </w:p>
    <w:p>
      <w:pPr>
        <w:pStyle w:val="a0"/>
        <w:spacing w:after="40" w:line="269" w:lineRule="auto"/>
      </w:pPr>
      <w:r>
        <w:rPr>
          <w:rFonts w:ascii="Noto Sans CJK SC" w:hAnsi="Noto Sans CJK SC" w:eastAsia="Noto Sans CJK SC"/>
          <w:b w:val="0"/>
        </w:rPr>
        <w:t>套餐、优惠券和联合销售按订单实际分摊到各课程的金额计算，分摊规则在活动开始前确认。</w:t>
      </w:r>
    </w:p>
    <w:p>
      <w:pPr>
        <w:pStyle w:val="a0"/>
        <w:spacing w:after="40" w:line="269" w:lineRule="auto"/>
      </w:pPr>
      <w:r>
        <w:rPr>
          <w:rFonts w:ascii="Noto Sans CJK SC" w:hAnsi="Noto Sans CJK SC" w:eastAsia="Noto Sans CJK SC"/>
          <w:b w:val="0"/>
        </w:rPr>
        <w:t>合作方可以核对与自身收益有关的订单和成本，不得获取无关学员隐私和其他合作方数据。</w:t>
      </w:r>
    </w:p>
    <w:p>
      <w:pPr>
        <w:pStyle w:val="a0"/>
        <w:spacing w:after="40" w:line="269" w:lineRule="auto"/>
      </w:pPr>
      <w:r>
        <w:rPr>
          <w:rFonts w:ascii="Noto Sans CJK SC" w:hAnsi="Noto Sans CJK SC" w:eastAsia="Noto Sans CJK SC"/>
          <w:b w:val="0"/>
        </w:rPr>
        <w:t>对账存在异议时，先支付无争议部分；有争议部分根据订单、任务书、凭证和版本记录核对。</w:t>
      </w:r>
    </w:p>
    <w:p>
      <w:pPr>
        <w:pStyle w:val="21"/>
        <w:keepNext/>
      </w:pPr>
      <w:r>
        <w:t>6.4 长期分成与维护</w:t>
      </w:r>
    </w:p>
    <w:p>
      <w:pPr>
        <w:spacing w:after="100" w:line="283" w:lineRule="auto"/>
      </w:pPr>
      <w:r>
        <w:rPr>
          <w:rFonts w:ascii="Noto Sans CJK SC" w:hAnsi="Noto Sans CJK SC" w:eastAsia="Noto Sans CJK SC"/>
          <w:b w:val="0"/>
        </w:rPr>
        <w:t>持续获得销售分成的模块负责人，需要处理严重技术错误、主要软件或硬件版本变化、约定范围内的答疑和必要补录。默认响应时间为：安全或无法运行问题 1 个工作日内确认，重大技术错误 3 个工作日内给出处理计划，一般问题在 5 个工作日内回复；具体修复时间根据问题复杂度确认。</w:t>
      </w:r>
    </w:p>
    <w:p>
      <w:pPr>
        <w:spacing w:after="100" w:line="283" w:lineRule="auto"/>
      </w:pPr>
      <w:r>
        <w:rPr>
          <w:rFonts w:ascii="Noto Sans CJK SC" w:hAnsi="Noto Sans CJK SC" w:eastAsia="Noto Sans CJK SC"/>
          <w:b w:val="0"/>
        </w:rPr>
        <w:t>连续未完成约定维护工作，经书面通知和合理整改期后仍未处理，可以暂停对应的新增销售分成，并把维护费用支付给接手人员。已经产生且无争议的收益仍按原约定结算，任何调整都需要保留问题、通知、整改和结算记录。</w:t>
      </w:r>
    </w:p>
    <w:p>
      <w:pPr>
        <w:pStyle w:val="1"/>
        <w:keepNext/>
      </w:pPr>
      <w:r>
        <w:t>七、版权、保密与资料使用</w:t>
      </w:r>
    </w:p>
    <w:p>
      <w:pPr>
        <w:pStyle w:val="21"/>
        <w:keepNext/>
      </w:pPr>
      <w:r>
        <w:t>7.1 已有资产和新制作资料</w:t>
      </w:r>
    </w:p>
    <w:p>
      <w:pPr>
        <w:spacing w:after="100" w:line="283" w:lineRule="auto"/>
      </w:pPr>
      <w:r>
        <w:rPr>
          <w:rFonts w:ascii="Noto Sans CJK SC" w:hAnsi="Noto Sans CJK SC" w:eastAsia="Noto Sans CJK SC"/>
          <w:b w:val="0"/>
        </w:rPr>
        <w:t>合作前已经拥有的代码、模型、文章、图片、专利、商标、课程和工具，继续归原权利人所有。项目需要使用时，应在任务书中写清修改、商业使用、公开发布和合作结束后的使用权限。</w:t>
      </w:r>
    </w:p>
    <w:p>
      <w:pPr>
        <w:spacing w:after="100" w:line="283" w:lineRule="auto"/>
      </w:pPr>
      <w:r>
        <w:rPr>
          <w:rFonts w:ascii="Noto Sans CJK SC" w:hAnsi="Noto Sans CJK SC" w:eastAsia="Noto Sans CJK SC"/>
          <w:b w:val="0"/>
        </w:rPr>
        <w:t>合作期间制作的视频、PPT、讲义、代码、模型、实验、题库、剪辑工程和宣传材料，需要明确权属和授权范围。默认建议为：Driver Lab 获得在约定课程、宣传、销售和后续更新中的商业使用权，作者保留署名并按协议获得收益；未经同意，不得再次销售、公开上传、转授权或拆分包装成高度相似的付费产品。</w:t>
      </w:r>
    </w:p>
    <w:p>
      <w:pPr>
        <w:pStyle w:val="21"/>
        <w:keepNext/>
      </w:pPr>
      <w:r>
        <w:t>7.2 第三方资料、保密和数据</w:t>
      </w:r>
    </w:p>
    <w:p>
      <w:pPr>
        <w:pStyle w:val="a0"/>
        <w:spacing w:after="40" w:line="269" w:lineRule="auto"/>
      </w:pPr>
      <w:r>
        <w:rPr>
          <w:rFonts w:ascii="Noto Sans CJK SC" w:hAnsi="Noto Sans CJK SC" w:eastAsia="Noto Sans CJK SC"/>
          <w:b w:val="0"/>
        </w:rPr>
        <w:t>第三方图片、论文图表、标准、软件、模型和开源代码记录来源与许可证，引用权限和商业分发权限分别检查。</w:t>
      </w:r>
    </w:p>
    <w:p>
      <w:pPr>
        <w:pStyle w:val="a0"/>
        <w:spacing w:after="40" w:line="269" w:lineRule="auto"/>
      </w:pPr>
      <w:r>
        <w:rPr>
          <w:rFonts w:ascii="Noto Sans CJK SC" w:hAnsi="Noto Sans CJK SC" w:eastAsia="Noto Sans CJK SC"/>
          <w:b w:val="0"/>
        </w:rPr>
        <w:t>企业源码、客户参数、未公开硬件、测试数据和合作资料，只在授权范围内使用，不上传到公开仓库、个人网盘或未授权的外部 AI 服务。</w:t>
      </w:r>
    </w:p>
    <w:p>
      <w:pPr>
        <w:pStyle w:val="a0"/>
        <w:spacing w:after="40" w:line="269" w:lineRule="auto"/>
      </w:pPr>
      <w:r>
        <w:rPr>
          <w:rFonts w:ascii="Noto Sans CJK SC" w:hAnsi="Noto Sans CJK SC" w:eastAsia="Noto Sans CJK SC"/>
          <w:b w:val="0"/>
        </w:rPr>
        <w:t>学员作业、联系方式、面试信息和项目资料仅用于约定的教学服务，公开案例、姓名、Logo、照片和数据前取得对应授权。</w:t>
      </w:r>
    </w:p>
    <w:p>
      <w:pPr>
        <w:pStyle w:val="a0"/>
        <w:spacing w:after="40" w:line="269" w:lineRule="auto"/>
      </w:pPr>
      <w:r>
        <w:rPr>
          <w:rFonts w:ascii="Noto Sans CJK SC" w:hAnsi="Noto Sans CJK SC" w:eastAsia="Noto Sans CJK SC"/>
          <w:b w:val="0"/>
        </w:rPr>
        <w:t>合作结束后，已有订单继续服务和结算；新增销售、资料保留、接手维护和删除归还要求，在退出确认单中写清。</w:t>
      </w:r>
    </w:p>
    <w:p>
      <w:pPr>
        <w:pStyle w:val="1"/>
        <w:keepNext/>
      </w:pPr>
      <w:r>
        <w:t>八、合作流程与项目确认</w:t>
      </w:r>
    </w:p>
    <w:p>
      <w:pPr>
        <w:pStyle w:val="21"/>
        <w:keepNext/>
      </w:pPr>
      <w:r>
        <w:t>8.1 合作从小范围试点开始</w:t>
      </w:r>
    </w:p>
    <w:p>
      <w:pPr>
        <w:spacing w:after="100" w:line="283" w:lineRule="auto"/>
      </w:pPr>
      <w:r>
        <w:rPr>
          <w:rFonts w:ascii="Noto Sans CJK SC" w:hAnsi="Noto Sans CJK SC" w:eastAsia="Noto Sans CJK SC"/>
          <w:b w:val="0"/>
        </w:rPr>
        <w:t>课程共建、专家授课、企业内训、高校课程、硬件平台和科研复现，都建议先从一个模块、一节样课或一个实验项目开始。试点阶段先验证技术路线、资料质量、制作成本和合作节奏，确认可行后再扩大范围。</w:t>
      </w:r>
    </w:p>
    <w:p>
      <w:pPr>
        <w:pStyle w:val="21"/>
        <w:keepNext/>
      </w:pPr>
      <w:r>
        <w:t>8.2 项目确认表</w:t>
      </w:r>
    </w:p>
    <w:tbl>
      <w:tblPr>
        <w:tblStyle w:val="aff1"/>
        <w:tblW w:type="dxa" w:w="9342"/>
        <w:jc w:val="left"/>
        <w:tblLayout w:type="fixed"/>
        <w:tblLook w:firstColumn="1" w:firstRow="1" w:lastColumn="0" w:lastRow="0" w:noHBand="0" w:noVBand="1" w:val="04A0"/>
        <w:tblInd w:type="dxa" w:w="120"/>
      </w:tblPr>
      <w:tblGrid>
        <w:gridCol w:w="1984"/>
        <w:gridCol w:w="7358"/>
      </w:tblGrid>
      <w:tr>
        <w:trPr>
          <w:tblHeader w:val="true"/>
        </w:trPr>
        <w:tc>
          <w:tcPr>
            <w:tcW w:type="dxa" w:w="1984"/>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项目</w:t>
            </w:r>
          </w:p>
        </w:tc>
        <w:tc>
          <w:tcPr>
            <w:tcW w:type="dxa" w:w="7358"/>
            <w:tcMar>
              <w:top w:w="80" w:type="dxa"/>
              <w:bottom w:w="80" w:type="dxa"/>
              <w:start w:w="120" w:type="dxa"/>
              <w:end w:w="120" w:type="dxa"/>
            </w:tcMar>
            <w:vAlign w:val="center"/>
            <w:shd w:fill="365F91"/>
          </w:tcPr>
          <w:p>
            <w:pPr>
              <w:spacing w:before="0" w:after="20" w:line="259" w:lineRule="auto"/>
              <w:jc w:val="center"/>
            </w:pPr>
            <w:r>
              <w:rPr>
                <w:rFonts w:ascii="Noto Sans CJK SC" w:hAnsi="Noto Sans CJK SC" w:eastAsia="Noto Sans CJK SC"/>
                <w:b/>
                <w:color w:val="FFFFFF"/>
                <w:sz w:val="18"/>
              </w:rPr>
              <w:t>确认内容</w:t>
            </w:r>
          </w:p>
        </w:tc>
      </w:tr>
      <w:tr>
        <w:trPr/>
        <w:tc>
          <w:tcPr>
            <w:tcW w:type="dxa" w:w="19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合作名称</w:t>
            </w:r>
          </w:p>
        </w:tc>
        <w:tc>
          <w:tcPr>
            <w:tcW w:type="dxa" w:w="735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合作类型</w:t>
            </w:r>
          </w:p>
        </w:tc>
        <w:tc>
          <w:tcPr>
            <w:tcW w:type="dxa" w:w="735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本次范围</w:t>
            </w:r>
          </w:p>
        </w:tc>
        <w:tc>
          <w:tcPr>
            <w:tcW w:type="dxa" w:w="735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明确不包含</w:t>
            </w:r>
          </w:p>
        </w:tc>
        <w:tc>
          <w:tcPr>
            <w:tcW w:type="dxa" w:w="735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课程总负责人</w:t>
            </w:r>
          </w:p>
        </w:tc>
        <w:tc>
          <w:tcPr>
            <w:tcW w:type="dxa" w:w="735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模块负责人/讲师</w:t>
            </w:r>
          </w:p>
        </w:tc>
        <w:tc>
          <w:tcPr>
            <w:tcW w:type="dxa" w:w="735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技术评审</w:t>
            </w:r>
          </w:p>
        </w:tc>
        <w:tc>
          <w:tcPr>
            <w:tcW w:type="dxa" w:w="735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交付物与格式</w:t>
            </w:r>
          </w:p>
        </w:tc>
        <w:tc>
          <w:tcPr>
            <w:tcW w:type="dxa" w:w="735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验收标准</w:t>
            </w:r>
          </w:p>
        </w:tc>
        <w:tc>
          <w:tcPr>
            <w:tcW w:type="dxa" w:w="735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样课与最终节点</w:t>
            </w:r>
          </w:p>
        </w:tc>
        <w:tc>
          <w:tcPr>
            <w:tcW w:type="dxa" w:w="735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包含的修改轮次</w:t>
            </w:r>
          </w:p>
        </w:tc>
        <w:tc>
          <w:tcPr>
            <w:tcW w:type="dxa" w:w="735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维护与答疑</w:t>
            </w:r>
          </w:p>
        </w:tc>
        <w:tc>
          <w:tcPr>
            <w:tcW w:type="dxa" w:w="735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费用/分成</w:t>
            </w:r>
          </w:p>
        </w:tc>
        <w:tc>
          <w:tcPr>
            <w:tcW w:type="dxa" w:w="735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可扣除成本</w:t>
            </w:r>
          </w:p>
        </w:tc>
        <w:tc>
          <w:tcPr>
            <w:tcW w:type="dxa" w:w="735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结算周期</w:t>
            </w:r>
          </w:p>
        </w:tc>
        <w:tc>
          <w:tcPr>
            <w:tcW w:type="dxa" w:w="735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已有资料与授权</w:t>
            </w:r>
          </w:p>
        </w:tc>
        <w:tc>
          <w:tcPr>
            <w:tcW w:type="dxa" w:w="735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署名与宣传</w:t>
            </w:r>
          </w:p>
        </w:tc>
        <w:tc>
          <w:tcPr>
            <w:tcW w:type="dxa" w:w="735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保密要求</w:t>
            </w:r>
          </w:p>
        </w:tc>
        <w:tc>
          <w:tcPr>
            <w:tcW w:type="dxa" w:w="735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t>退出处理</w:t>
            </w:r>
          </w:p>
        </w:tc>
        <w:tc>
          <w:tcPr>
            <w:tcW w:type="dxa" w:w="7358"/>
            <w:tcMar>
              <w:top w:w="80" w:type="dxa"/>
              <w:bottom w:w="80" w:type="dxa"/>
              <w:start w:w="120" w:type="dxa"/>
              <w:end w:w="120" w:type="dxa"/>
            </w:tcMar>
            <w:vAlign w:val="center"/>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r>
        <w:trPr/>
        <w:tc>
          <w:tcPr>
            <w:tcW w:type="dxa" w:w="1984"/>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t>其他约定</w:t>
            </w:r>
          </w:p>
        </w:tc>
        <w:tc>
          <w:tcPr>
            <w:tcW w:type="dxa" w:w="7358"/>
            <w:tcMar>
              <w:top w:w="80" w:type="dxa"/>
              <w:bottom w:w="80" w:type="dxa"/>
              <w:start w:w="120" w:type="dxa"/>
              <w:end w:w="120" w:type="dxa"/>
            </w:tcMar>
            <w:vAlign w:val="center"/>
            <w:shd w:fill="F7F9FC"/>
          </w:tcPr>
          <w:p>
            <w:pPr>
              <w:spacing w:before="0" w:after="20" w:line="259" w:lineRule="auto"/>
            </w:pPr>
            <w:r>
              <w:rPr>
                <w:rFonts w:ascii="Noto Sans CJK SC" w:hAnsi="Noto Sans CJK SC" w:eastAsia="Noto Sans CJK SC"/>
                <w:color w:val="222222"/>
                <w:sz w:val="18"/>
              </w:rPr>
            </w:r>
            <w:r>
              <w:rPr>
                <w:rFonts w:ascii="Noto Sans CJK SC" w:hAnsi="Noto Sans CJK SC" w:eastAsia="Noto Sans CJK SC"/>
                <w:color w:val="222222"/>
                <w:sz w:val="18"/>
              </w:rPr>
              <w:t xml:space="preserve"> </w:t>
            </w:r>
          </w:p>
        </w:tc>
      </w:tr>
    </w:tbl>
    <w:p>
      <w:pPr>
        <w:pStyle w:val="21"/>
        <w:keepNext/>
      </w:pPr>
      <w:r>
        <w:t>8.3 合作依据</w:t>
      </w:r>
    </w:p>
    <w:p>
      <w:pPr>
        <w:spacing w:after="100" w:line="283" w:lineRule="auto"/>
      </w:pPr>
      <w:r>
        <w:rPr>
          <w:rFonts w:ascii="Noto Sans CJK SC" w:hAnsi="Noto Sans CJK SC" w:eastAsia="Noto Sans CJK SC"/>
          <w:b w:val="0"/>
        </w:rPr>
        <w:t>出现分歧时，以双方确认的任务书、版本记录、交付清单、评审问题单、验收记录、订单和结算明细为依据。本文件用于统一合作规则，涉及付款、版权、保密、违约和争议处理的最终法律责任，以双方正式签署的合同或协议为准。</w:t>
      </w:r>
    </w:p>
    <w:p>
      <w:pPr>
        <w:spacing w:after="100" w:line="283" w:lineRule="auto"/>
      </w:pPr>
      <w:r>
        <w:rPr>
          <w:rFonts w:ascii="Noto Sans CJK SC" w:hAnsi="Noto Sans CJK SC" w:eastAsia="Noto Sans CJK SC"/>
          <w:b/>
        </w:rPr>
        <w:t>Driver Lab</w:t>
      </w:r>
      <w:r>
        <w:rPr>
          <w:rFonts w:ascii="Noto Sans CJK SC" w:hAnsi="Noto Sans CJK SC" w:eastAsia="Noto Sans CJK SC"/>
          <w:b w:val="0"/>
        </w:rPr>
        <w:t xml:space="preserve"> 电机控制工程课程</w:t>
      </w:r>
    </w:p>
    <w:p>
      <w:pPr>
        <w:spacing w:after="100" w:line="283" w:lineRule="auto"/>
      </w:pPr>
      <w:r>
        <w:rPr>
          <w:rFonts w:ascii="Noto Sans CJK SC" w:hAnsi="Noto Sans CJK SC" w:eastAsia="Noto Sans CJK SC"/>
          <w:b w:val="0"/>
        </w:rPr>
        <w:t>从工程基础和有感 FOC 开始，逐步进入测试、参数辨识、无感、伺服、机器人关节、性能优化、MBD、科研和控制器硬件。</w:t>
      </w:r>
    </w:p>
    <w:sectPr w:rsidR="001D1F8B" w:rsidSect="00034616">
      <w:headerReference w:type="default" r:id="rId8"/>
      <w:footerReference w:type="default" r:id="rId9"/>
      <w:pgSz w:w="11906" w:h="16838"/>
      <w:pgMar w:top="1020" w:right="1162" w:bottom="935" w:left="1162"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B32F1" w14:textId="77777777" w:rsidR="00FF70F7" w:rsidRDefault="00FF70F7">
      <w:pPr>
        <w:spacing w:after="0" w:line="240" w:lineRule="auto"/>
      </w:pPr>
      <w:r>
        <w:separator/>
      </w:r>
    </w:p>
  </w:endnote>
  <w:endnote w:type="continuationSeparator" w:id="0">
    <w:p w14:paraId="2481ADFA" w14:textId="77777777" w:rsidR="00FF70F7" w:rsidRDefault="00FF7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Noto Sans Mono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75786" w14:textId="77777777" w:rsidR="001D1F8B" w:rsidRDefault="00000000">
    <w:pPr>
      <w:pStyle w:val="a7"/>
      <w:jc w:val="center"/>
    </w:pPr>
    <w:r>
      <w:rPr>
        <w:color w:val="5B6573"/>
        <w:sz w:val="18"/>
      </w:rPr>
      <w:fldChar w:fldCharType="begin"/>
    </w:r>
    <w:r>
      <w:rPr>
        <w:color w:val="5B6573"/>
        <w:sz w:val="18"/>
      </w:rPr>
      <w:instrText xml:space="preserve"> PAGE </w:instrText>
    </w:r>
    <w:r>
      <w:rPr>
        <w:color w:val="5B6573"/>
        <w:sz w:val="18"/>
      </w:rPr>
      <w:fldChar w:fldCharType="separate"/>
    </w:r>
    <w:r w:rsidR="00ED6A6C">
      <w:rPr>
        <w:noProof/>
        <w:color w:val="5B6573"/>
        <w:sz w:val="18"/>
      </w:rPr>
      <w:t>2</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739AD" w14:textId="77777777" w:rsidR="00FF70F7" w:rsidRDefault="00FF70F7">
      <w:pPr>
        <w:spacing w:after="0" w:line="240" w:lineRule="auto"/>
      </w:pPr>
      <w:r>
        <w:separator/>
      </w:r>
    </w:p>
  </w:footnote>
  <w:footnote w:type="continuationSeparator" w:id="0">
    <w:p w14:paraId="6B512A10" w14:textId="77777777" w:rsidR="00FF70F7" w:rsidRDefault="00FF7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12E88" w14:textId="77777777" w:rsidR="001D1F8B" w:rsidRDefault="00000000">
    <w:pPr>
      <w:pStyle w:val="a5"/>
      <w:pBdr>
        <w:bottom w:val="single" w:sz="4" w:space="3" w:color="E6E9ED"/>
      </w:pBdr>
      <w:jc w:val="right"/>
    </w:pPr>
    <w:r>
      <w:rPr>
        <w:color w:val="5B6573"/>
        <w:sz w:val="17"/>
      </w:rPr>
      <w:t>Driver Lab 电机控制工程课程  |  V5.0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738662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12F06B4"/>
    <w:multiLevelType w:val="hybridMultilevel"/>
    <w:tmpl w:val="F9AA8E52"/>
    <w:lvl w:ilvl="0" w:tplc="E08C001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433789315">
    <w:abstractNumId w:val="8"/>
  </w:num>
  <w:num w:numId="2" w16cid:durableId="1882669273">
    <w:abstractNumId w:val="6"/>
  </w:num>
  <w:num w:numId="3" w16cid:durableId="781652473">
    <w:abstractNumId w:val="5"/>
  </w:num>
  <w:num w:numId="4" w16cid:durableId="1825394865">
    <w:abstractNumId w:val="4"/>
  </w:num>
  <w:num w:numId="5" w16cid:durableId="1551726766">
    <w:abstractNumId w:val="7"/>
  </w:num>
  <w:num w:numId="6" w16cid:durableId="1082751658">
    <w:abstractNumId w:val="3"/>
  </w:num>
  <w:num w:numId="7" w16cid:durableId="689063397">
    <w:abstractNumId w:val="2"/>
  </w:num>
  <w:num w:numId="8" w16cid:durableId="254292848">
    <w:abstractNumId w:val="1"/>
  </w:num>
  <w:num w:numId="9" w16cid:durableId="2023891610">
    <w:abstractNumId w:val="0"/>
  </w:num>
  <w:num w:numId="10" w16cid:durableId="10373942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D6"/>
    <w:rsid w:val="000269D9"/>
    <w:rsid w:val="00034616"/>
    <w:rsid w:val="0006063C"/>
    <w:rsid w:val="00094998"/>
    <w:rsid w:val="0015074B"/>
    <w:rsid w:val="001D1F8B"/>
    <w:rsid w:val="00267DAB"/>
    <w:rsid w:val="0029639D"/>
    <w:rsid w:val="00326F90"/>
    <w:rsid w:val="00431FA4"/>
    <w:rsid w:val="00487DAC"/>
    <w:rsid w:val="004E5EC3"/>
    <w:rsid w:val="004F3C35"/>
    <w:rsid w:val="00580DF4"/>
    <w:rsid w:val="00581C0B"/>
    <w:rsid w:val="00686071"/>
    <w:rsid w:val="00717451"/>
    <w:rsid w:val="008645ED"/>
    <w:rsid w:val="008B4709"/>
    <w:rsid w:val="00937BF8"/>
    <w:rsid w:val="009C254C"/>
    <w:rsid w:val="009C6E84"/>
    <w:rsid w:val="00AA1D8D"/>
    <w:rsid w:val="00AA71B4"/>
    <w:rsid w:val="00B40D2B"/>
    <w:rsid w:val="00B47730"/>
    <w:rsid w:val="00BC0EC3"/>
    <w:rsid w:val="00BE2B9C"/>
    <w:rsid w:val="00C54D42"/>
    <w:rsid w:val="00CA4DE1"/>
    <w:rsid w:val="00CB0664"/>
    <w:rsid w:val="00CB7040"/>
    <w:rsid w:val="00CE79D3"/>
    <w:rsid w:val="00E17365"/>
    <w:rsid w:val="00ED6A6C"/>
    <w:rsid w:val="00EE2C32"/>
    <w:rsid w:val="00EF1DE7"/>
    <w:rsid w:val="00EF7225"/>
    <w:rsid w:val="00FC693F"/>
    <w:rsid w:val="00FF70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AD39A7"/>
  <w14:defaultImageDpi w14:val="300"/>
  <w15:docId w15:val="{F4E0366D-5108-4F6A-AE31-699B3002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color w:val="222222"/>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riesTitle">
    <w:name w:val="Series Title"/>
    <w:basedOn w:val="21"/>
    <w:pPr>
      <w:spacing w:before="400" w:after="120"/>
    </w:pPr>
    <w:rPr>
      <w:rFonts w:ascii="Noto Sans CJK SC" w:eastAsia="Noto Sans CJK SC" w:hAnsi="Noto Sans CJK SC"/>
      <w:color w:val="365F91"/>
      <w:sz w:val="28"/>
    </w:rPr>
  </w:style>
  <w:style w:type="paragraph" w:customStyle="1" w:styleId="CourseChapter">
    <w:name w:val="Course Chapter"/>
    <w:basedOn w:val="a1"/>
    <w:pPr>
      <w:keepNext/>
      <w:spacing w:before="140" w:after="20"/>
    </w:pPr>
    <w:rPr>
      <w:b/>
      <w:color w:val="4F81BD"/>
    </w:rPr>
  </w:style>
  <w:style w:type="paragraph" w:customStyle="1" w:styleId="CourseLabel">
    <w:name w:val="Course Label"/>
    <w:basedOn w:val="31"/>
    <w:pPr>
      <w:spacing w:before="160" w:after="40"/>
    </w:pPr>
    <w:rPr>
      <w:rFonts w:ascii="Noto Sans CJK SC" w:eastAsia="Noto Sans CJK SC" w:hAnsi="Noto Sans CJK SC"/>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5570</TotalTime>
  <Pages>34</Pages>
  <Words>11403</Words>
  <Characters>12431</Characters>
  <Application>Microsoft Office Word</Application>
  <DocSecurity>0</DocSecurity>
  <Lines>654</Lines>
  <Paragraphs>953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 Lab 电机控制工程课程｜课程介绍与合作规则</dc:title>
  <dc:subject>课程体系、合作分工、验收、结算与资料使用规则</dc:subject>
  <dc:creator>Driver Lab</dc:creator>
  <cp:keywords>电机控制, FOC, 伺服, 机器人关节, MBD, 课程合作</cp:keywords>
  <dc:description/>
  <cp:lastModifiedBy>R 袁</cp:lastModifiedBy>
  <cp:revision>2</cp:revision>
  <dcterms:created xsi:type="dcterms:W3CDTF">2026-08-08T03:03:00Z</dcterms:created>
  <dcterms:modified xsi:type="dcterms:W3CDTF">2026-08-14T01:34:00Z</dcterms:modified>
  <cp:category/>
</cp:coreProperties>
</file>