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2E6F5" w14:textId="22E73C76" w:rsidR="009836B3" w:rsidRDefault="00AF3205" w:rsidP="009836B3">
      <w:pPr>
        <w:pStyle w:val="Heading1"/>
        <w:spacing w:after="0"/>
      </w:pPr>
      <w:bookmarkStart w:id="0" w:name="_Toc65242471"/>
      <w:r w:rsidRPr="007B5497">
        <w:t xml:space="preserve">Documentation for </w:t>
      </w:r>
      <w:r w:rsidR="009836B3">
        <w:t xml:space="preserve">Statistical Data Analysis and Programming Specifications for </w:t>
      </w:r>
      <w:r w:rsidR="009836B3" w:rsidRPr="007E4833">
        <w:t>Trends in Antipsychotics and Trends in Antidepressants, 2013 and 2018</w:t>
      </w:r>
      <w:bookmarkEnd w:id="0"/>
      <w:r w:rsidR="009836B3" w:rsidRPr="007B5497">
        <w:t xml:space="preserve"> </w:t>
      </w:r>
    </w:p>
    <w:p w14:paraId="39C8E95C" w14:textId="0530E397" w:rsidR="003A726C" w:rsidRPr="007B5497" w:rsidRDefault="003A726C" w:rsidP="007B5497">
      <w:pPr>
        <w:pStyle w:val="Heading1"/>
      </w:pPr>
    </w:p>
    <w:sdt>
      <w:sdtPr>
        <w:id w:val="-709887526"/>
        <w:docPartObj>
          <w:docPartGallery w:val="Table of Contents"/>
          <w:docPartUnique/>
        </w:docPartObj>
      </w:sdtPr>
      <w:sdtEndPr/>
      <w:sdtContent>
        <w:p w14:paraId="4B68ECF9" w14:textId="77777777" w:rsidR="0061125E" w:rsidRDefault="005A64F8">
          <w:pPr>
            <w:pStyle w:val="TOCHeading"/>
            <w:rPr>
              <w:noProof/>
            </w:rPr>
          </w:pPr>
          <w:r>
            <w:t>Table of Contents</w:t>
          </w: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</w:p>
        <w:p w14:paraId="1357DCEF" w14:textId="2DE0D945" w:rsidR="0061125E" w:rsidRDefault="004E207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5242471" w:history="1">
            <w:r w:rsidR="0061125E" w:rsidRPr="00CD1E2E">
              <w:rPr>
                <w:rStyle w:val="Hyperlink"/>
                <w:noProof/>
              </w:rPr>
              <w:t>Documentation for Statistical Data Analysis and Programming Specifications for Trends in Antipsychotics and Trends in Antidepressants, 2013 and 2018</w:t>
            </w:r>
            <w:r w:rsidR="0061125E">
              <w:rPr>
                <w:noProof/>
                <w:webHidden/>
              </w:rPr>
              <w:tab/>
            </w:r>
            <w:r w:rsidR="0061125E">
              <w:rPr>
                <w:noProof/>
                <w:webHidden/>
              </w:rPr>
              <w:fldChar w:fldCharType="begin"/>
            </w:r>
            <w:r w:rsidR="0061125E">
              <w:rPr>
                <w:noProof/>
                <w:webHidden/>
              </w:rPr>
              <w:instrText xml:space="preserve"> PAGEREF _Toc65242471 \h </w:instrText>
            </w:r>
            <w:r w:rsidR="0061125E">
              <w:rPr>
                <w:noProof/>
                <w:webHidden/>
              </w:rPr>
            </w:r>
            <w:r w:rsidR="0061125E">
              <w:rPr>
                <w:noProof/>
                <w:webHidden/>
              </w:rPr>
              <w:fldChar w:fldCharType="separate"/>
            </w:r>
            <w:r w:rsidR="0061125E">
              <w:rPr>
                <w:noProof/>
                <w:webHidden/>
              </w:rPr>
              <w:t>1</w:t>
            </w:r>
            <w:r w:rsidR="0061125E">
              <w:rPr>
                <w:noProof/>
                <w:webHidden/>
              </w:rPr>
              <w:fldChar w:fldCharType="end"/>
            </w:r>
          </w:hyperlink>
        </w:p>
        <w:p w14:paraId="2CC37373" w14:textId="592D4F3D" w:rsidR="0061125E" w:rsidRDefault="004E207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5242472" w:history="1">
            <w:r w:rsidR="0061125E" w:rsidRPr="00CD1E2E">
              <w:rPr>
                <w:rStyle w:val="Hyperlink"/>
                <w:noProof/>
              </w:rPr>
              <w:t>Purpose</w:t>
            </w:r>
            <w:r w:rsidR="0061125E">
              <w:rPr>
                <w:noProof/>
                <w:webHidden/>
              </w:rPr>
              <w:tab/>
            </w:r>
            <w:r w:rsidR="0061125E">
              <w:rPr>
                <w:noProof/>
                <w:webHidden/>
              </w:rPr>
              <w:fldChar w:fldCharType="begin"/>
            </w:r>
            <w:r w:rsidR="0061125E">
              <w:rPr>
                <w:noProof/>
                <w:webHidden/>
              </w:rPr>
              <w:instrText xml:space="preserve"> PAGEREF _Toc65242472 \h </w:instrText>
            </w:r>
            <w:r w:rsidR="0061125E">
              <w:rPr>
                <w:noProof/>
                <w:webHidden/>
              </w:rPr>
            </w:r>
            <w:r w:rsidR="0061125E">
              <w:rPr>
                <w:noProof/>
                <w:webHidden/>
              </w:rPr>
              <w:fldChar w:fldCharType="separate"/>
            </w:r>
            <w:r w:rsidR="0061125E">
              <w:rPr>
                <w:noProof/>
                <w:webHidden/>
              </w:rPr>
              <w:t>2</w:t>
            </w:r>
            <w:r w:rsidR="0061125E">
              <w:rPr>
                <w:noProof/>
                <w:webHidden/>
              </w:rPr>
              <w:fldChar w:fldCharType="end"/>
            </w:r>
          </w:hyperlink>
        </w:p>
        <w:p w14:paraId="6130C636" w14:textId="390E29AE" w:rsidR="0061125E" w:rsidRDefault="004E207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5242473" w:history="1">
            <w:r w:rsidR="0061125E" w:rsidRPr="00CD1E2E">
              <w:rPr>
                <w:rStyle w:val="Hyperlink"/>
                <w:noProof/>
              </w:rPr>
              <w:t>Programs</w:t>
            </w:r>
            <w:r w:rsidR="0061125E">
              <w:rPr>
                <w:noProof/>
                <w:webHidden/>
              </w:rPr>
              <w:tab/>
            </w:r>
            <w:r w:rsidR="0061125E">
              <w:rPr>
                <w:noProof/>
                <w:webHidden/>
              </w:rPr>
              <w:fldChar w:fldCharType="begin"/>
            </w:r>
            <w:r w:rsidR="0061125E">
              <w:rPr>
                <w:noProof/>
                <w:webHidden/>
              </w:rPr>
              <w:instrText xml:space="preserve"> PAGEREF _Toc65242473 \h </w:instrText>
            </w:r>
            <w:r w:rsidR="0061125E">
              <w:rPr>
                <w:noProof/>
                <w:webHidden/>
              </w:rPr>
            </w:r>
            <w:r w:rsidR="0061125E">
              <w:rPr>
                <w:noProof/>
                <w:webHidden/>
              </w:rPr>
              <w:fldChar w:fldCharType="separate"/>
            </w:r>
            <w:r w:rsidR="0061125E">
              <w:rPr>
                <w:noProof/>
                <w:webHidden/>
              </w:rPr>
              <w:t>2</w:t>
            </w:r>
            <w:r w:rsidR="0061125E">
              <w:rPr>
                <w:noProof/>
                <w:webHidden/>
              </w:rPr>
              <w:fldChar w:fldCharType="end"/>
            </w:r>
          </w:hyperlink>
        </w:p>
        <w:p w14:paraId="2730F1BE" w14:textId="19B8984C" w:rsidR="0061125E" w:rsidRDefault="004E2076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5242474" w:history="1">
            <w:r w:rsidR="0061125E" w:rsidRPr="00CD1E2E">
              <w:rPr>
                <w:rStyle w:val="Hyperlink"/>
                <w:noProof/>
              </w:rPr>
              <w:t>Datasets Used (all .sas7bdat)</w:t>
            </w:r>
            <w:r w:rsidR="0061125E">
              <w:rPr>
                <w:noProof/>
                <w:webHidden/>
              </w:rPr>
              <w:tab/>
            </w:r>
            <w:r w:rsidR="0061125E">
              <w:rPr>
                <w:noProof/>
                <w:webHidden/>
              </w:rPr>
              <w:fldChar w:fldCharType="begin"/>
            </w:r>
            <w:r w:rsidR="0061125E">
              <w:rPr>
                <w:noProof/>
                <w:webHidden/>
              </w:rPr>
              <w:instrText xml:space="preserve"> PAGEREF _Toc65242474 \h </w:instrText>
            </w:r>
            <w:r w:rsidR="0061125E">
              <w:rPr>
                <w:noProof/>
                <w:webHidden/>
              </w:rPr>
            </w:r>
            <w:r w:rsidR="0061125E">
              <w:rPr>
                <w:noProof/>
                <w:webHidden/>
              </w:rPr>
              <w:fldChar w:fldCharType="separate"/>
            </w:r>
            <w:r w:rsidR="0061125E">
              <w:rPr>
                <w:noProof/>
                <w:webHidden/>
              </w:rPr>
              <w:t>3</w:t>
            </w:r>
            <w:r w:rsidR="0061125E">
              <w:rPr>
                <w:noProof/>
                <w:webHidden/>
              </w:rPr>
              <w:fldChar w:fldCharType="end"/>
            </w:r>
          </w:hyperlink>
        </w:p>
        <w:p w14:paraId="1BB6BD9F" w14:textId="2D5037CA" w:rsidR="0061125E" w:rsidRDefault="004E2076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5242475" w:history="1">
            <w:r w:rsidR="0061125E" w:rsidRPr="00CD1E2E">
              <w:rPr>
                <w:rStyle w:val="Hyperlink"/>
                <w:noProof/>
              </w:rPr>
              <w:t>Project Input Datasets Required</w:t>
            </w:r>
            <w:r w:rsidR="0061125E">
              <w:rPr>
                <w:noProof/>
                <w:webHidden/>
              </w:rPr>
              <w:tab/>
            </w:r>
            <w:r w:rsidR="0061125E">
              <w:rPr>
                <w:noProof/>
                <w:webHidden/>
              </w:rPr>
              <w:fldChar w:fldCharType="begin"/>
            </w:r>
            <w:r w:rsidR="0061125E">
              <w:rPr>
                <w:noProof/>
                <w:webHidden/>
              </w:rPr>
              <w:instrText xml:space="preserve"> PAGEREF _Toc65242475 \h </w:instrText>
            </w:r>
            <w:r w:rsidR="0061125E">
              <w:rPr>
                <w:noProof/>
                <w:webHidden/>
              </w:rPr>
            </w:r>
            <w:r w:rsidR="0061125E">
              <w:rPr>
                <w:noProof/>
                <w:webHidden/>
              </w:rPr>
              <w:fldChar w:fldCharType="separate"/>
            </w:r>
            <w:r w:rsidR="0061125E">
              <w:rPr>
                <w:noProof/>
                <w:webHidden/>
              </w:rPr>
              <w:t>4</w:t>
            </w:r>
            <w:r w:rsidR="0061125E">
              <w:rPr>
                <w:noProof/>
                <w:webHidden/>
              </w:rPr>
              <w:fldChar w:fldCharType="end"/>
            </w:r>
          </w:hyperlink>
        </w:p>
        <w:p w14:paraId="4C954E0F" w14:textId="0AC795B2" w:rsidR="0061125E" w:rsidRDefault="004E2076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5242476" w:history="1">
            <w:r w:rsidR="0061125E" w:rsidRPr="00CD1E2E">
              <w:rPr>
                <w:rStyle w:val="Hyperlink"/>
                <w:noProof/>
              </w:rPr>
              <w:t>Project Output data sets produced</w:t>
            </w:r>
            <w:r w:rsidR="0061125E">
              <w:rPr>
                <w:noProof/>
                <w:webHidden/>
              </w:rPr>
              <w:tab/>
            </w:r>
            <w:r w:rsidR="0061125E">
              <w:rPr>
                <w:noProof/>
                <w:webHidden/>
              </w:rPr>
              <w:fldChar w:fldCharType="begin"/>
            </w:r>
            <w:r w:rsidR="0061125E">
              <w:rPr>
                <w:noProof/>
                <w:webHidden/>
              </w:rPr>
              <w:instrText xml:space="preserve"> PAGEREF _Toc65242476 \h </w:instrText>
            </w:r>
            <w:r w:rsidR="0061125E">
              <w:rPr>
                <w:noProof/>
                <w:webHidden/>
              </w:rPr>
            </w:r>
            <w:r w:rsidR="0061125E">
              <w:rPr>
                <w:noProof/>
                <w:webHidden/>
              </w:rPr>
              <w:fldChar w:fldCharType="separate"/>
            </w:r>
            <w:r w:rsidR="0061125E">
              <w:rPr>
                <w:noProof/>
                <w:webHidden/>
              </w:rPr>
              <w:t>4</w:t>
            </w:r>
            <w:r w:rsidR="0061125E">
              <w:rPr>
                <w:noProof/>
                <w:webHidden/>
              </w:rPr>
              <w:fldChar w:fldCharType="end"/>
            </w:r>
          </w:hyperlink>
        </w:p>
        <w:p w14:paraId="16E0725D" w14:textId="03DBC72D" w:rsidR="0061125E" w:rsidRDefault="004E207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5242477" w:history="1">
            <w:r w:rsidR="0061125E" w:rsidRPr="00CD1E2E">
              <w:rPr>
                <w:rStyle w:val="Hyperlink"/>
                <w:noProof/>
              </w:rPr>
              <w:t>Key Definitions</w:t>
            </w:r>
            <w:r w:rsidR="0061125E">
              <w:rPr>
                <w:noProof/>
                <w:webHidden/>
              </w:rPr>
              <w:tab/>
            </w:r>
            <w:r w:rsidR="0061125E">
              <w:rPr>
                <w:noProof/>
                <w:webHidden/>
              </w:rPr>
              <w:fldChar w:fldCharType="begin"/>
            </w:r>
            <w:r w:rsidR="0061125E">
              <w:rPr>
                <w:noProof/>
                <w:webHidden/>
              </w:rPr>
              <w:instrText xml:space="preserve"> PAGEREF _Toc65242477 \h </w:instrText>
            </w:r>
            <w:r w:rsidR="0061125E">
              <w:rPr>
                <w:noProof/>
                <w:webHidden/>
              </w:rPr>
            </w:r>
            <w:r w:rsidR="0061125E">
              <w:rPr>
                <w:noProof/>
                <w:webHidden/>
              </w:rPr>
              <w:fldChar w:fldCharType="separate"/>
            </w:r>
            <w:r w:rsidR="0061125E">
              <w:rPr>
                <w:noProof/>
                <w:webHidden/>
              </w:rPr>
              <w:t>5</w:t>
            </w:r>
            <w:r w:rsidR="0061125E">
              <w:rPr>
                <w:noProof/>
                <w:webHidden/>
              </w:rPr>
              <w:fldChar w:fldCharType="end"/>
            </w:r>
          </w:hyperlink>
        </w:p>
        <w:p w14:paraId="3B901641" w14:textId="0137CE9E" w:rsidR="0061125E" w:rsidRDefault="004E207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5242478" w:history="1">
            <w:r w:rsidR="0061125E" w:rsidRPr="00CD1E2E">
              <w:rPr>
                <w:rStyle w:val="Hyperlink"/>
                <w:noProof/>
              </w:rPr>
              <w:t>Program Steps</w:t>
            </w:r>
            <w:r w:rsidR="0061125E">
              <w:rPr>
                <w:noProof/>
                <w:webHidden/>
              </w:rPr>
              <w:tab/>
            </w:r>
            <w:r w:rsidR="0061125E">
              <w:rPr>
                <w:noProof/>
                <w:webHidden/>
              </w:rPr>
              <w:fldChar w:fldCharType="begin"/>
            </w:r>
            <w:r w:rsidR="0061125E">
              <w:rPr>
                <w:noProof/>
                <w:webHidden/>
              </w:rPr>
              <w:instrText xml:space="preserve"> PAGEREF _Toc65242478 \h </w:instrText>
            </w:r>
            <w:r w:rsidR="0061125E">
              <w:rPr>
                <w:noProof/>
                <w:webHidden/>
              </w:rPr>
            </w:r>
            <w:r w:rsidR="0061125E">
              <w:rPr>
                <w:noProof/>
                <w:webHidden/>
              </w:rPr>
              <w:fldChar w:fldCharType="separate"/>
            </w:r>
            <w:r w:rsidR="0061125E">
              <w:rPr>
                <w:noProof/>
                <w:webHidden/>
              </w:rPr>
              <w:t>5</w:t>
            </w:r>
            <w:r w:rsidR="0061125E">
              <w:rPr>
                <w:noProof/>
                <w:webHidden/>
              </w:rPr>
              <w:fldChar w:fldCharType="end"/>
            </w:r>
          </w:hyperlink>
        </w:p>
        <w:p w14:paraId="21B2857F" w14:textId="52F50378" w:rsidR="0061125E" w:rsidRDefault="004E2076">
          <w:pPr>
            <w:pStyle w:val="TOC4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5242479" w:history="1">
            <w:r w:rsidR="0061125E" w:rsidRPr="00CD1E2E">
              <w:rPr>
                <w:rStyle w:val="Hyperlink"/>
                <w:noProof/>
              </w:rPr>
              <w:t>010_ReadIn_LINKRX_MEPS_CFs.sas</w:t>
            </w:r>
            <w:r w:rsidR="0061125E">
              <w:rPr>
                <w:noProof/>
                <w:webHidden/>
              </w:rPr>
              <w:tab/>
            </w:r>
            <w:r w:rsidR="0061125E">
              <w:rPr>
                <w:noProof/>
                <w:webHidden/>
              </w:rPr>
              <w:fldChar w:fldCharType="begin"/>
            </w:r>
            <w:r w:rsidR="0061125E">
              <w:rPr>
                <w:noProof/>
                <w:webHidden/>
              </w:rPr>
              <w:instrText xml:space="preserve"> PAGEREF _Toc65242479 \h </w:instrText>
            </w:r>
            <w:r w:rsidR="0061125E">
              <w:rPr>
                <w:noProof/>
                <w:webHidden/>
              </w:rPr>
            </w:r>
            <w:r w:rsidR="0061125E">
              <w:rPr>
                <w:noProof/>
                <w:webHidden/>
              </w:rPr>
              <w:fldChar w:fldCharType="separate"/>
            </w:r>
            <w:r w:rsidR="0061125E">
              <w:rPr>
                <w:noProof/>
                <w:webHidden/>
              </w:rPr>
              <w:t>5</w:t>
            </w:r>
            <w:r w:rsidR="0061125E">
              <w:rPr>
                <w:noProof/>
                <w:webHidden/>
              </w:rPr>
              <w:fldChar w:fldCharType="end"/>
            </w:r>
          </w:hyperlink>
        </w:p>
        <w:p w14:paraId="58B8105C" w14:textId="469742E0" w:rsidR="0061125E" w:rsidRDefault="004E2076">
          <w:pPr>
            <w:pStyle w:val="TOC4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5242480" w:history="1">
            <w:r w:rsidR="0061125E" w:rsidRPr="00CD1E2E">
              <w:rPr>
                <w:rStyle w:val="Hyperlink"/>
                <w:noProof/>
              </w:rPr>
              <w:t>020_ListFreqs_TCs_2013_2018.sas</w:t>
            </w:r>
            <w:r w:rsidR="0061125E">
              <w:rPr>
                <w:noProof/>
                <w:webHidden/>
              </w:rPr>
              <w:tab/>
            </w:r>
            <w:r w:rsidR="0061125E">
              <w:rPr>
                <w:noProof/>
                <w:webHidden/>
              </w:rPr>
              <w:fldChar w:fldCharType="begin"/>
            </w:r>
            <w:r w:rsidR="0061125E">
              <w:rPr>
                <w:noProof/>
                <w:webHidden/>
              </w:rPr>
              <w:instrText xml:space="preserve"> PAGEREF _Toc65242480 \h </w:instrText>
            </w:r>
            <w:r w:rsidR="0061125E">
              <w:rPr>
                <w:noProof/>
                <w:webHidden/>
              </w:rPr>
            </w:r>
            <w:r w:rsidR="0061125E">
              <w:rPr>
                <w:noProof/>
                <w:webHidden/>
              </w:rPr>
              <w:fldChar w:fldCharType="separate"/>
            </w:r>
            <w:r w:rsidR="0061125E">
              <w:rPr>
                <w:noProof/>
                <w:webHidden/>
              </w:rPr>
              <w:t>6</w:t>
            </w:r>
            <w:r w:rsidR="0061125E">
              <w:rPr>
                <w:noProof/>
                <w:webHidden/>
              </w:rPr>
              <w:fldChar w:fldCharType="end"/>
            </w:r>
          </w:hyperlink>
        </w:p>
        <w:p w14:paraId="28586E3E" w14:textId="4C35A72B" w:rsidR="0061125E" w:rsidRDefault="004E2076">
          <w:pPr>
            <w:pStyle w:val="TOC4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5242481" w:history="1">
            <w:r w:rsidR="0061125E" w:rsidRPr="00CD1E2E">
              <w:rPr>
                <w:rStyle w:val="Hyperlink"/>
                <w:noProof/>
              </w:rPr>
              <w:t>030_ CostAndUse_2013_2018_final_v9.sas</w:t>
            </w:r>
            <w:r w:rsidR="0061125E">
              <w:rPr>
                <w:noProof/>
                <w:webHidden/>
              </w:rPr>
              <w:tab/>
            </w:r>
            <w:r w:rsidR="0061125E">
              <w:rPr>
                <w:noProof/>
                <w:webHidden/>
              </w:rPr>
              <w:fldChar w:fldCharType="begin"/>
            </w:r>
            <w:r w:rsidR="0061125E">
              <w:rPr>
                <w:noProof/>
                <w:webHidden/>
              </w:rPr>
              <w:instrText xml:space="preserve"> PAGEREF _Toc65242481 \h </w:instrText>
            </w:r>
            <w:r w:rsidR="0061125E">
              <w:rPr>
                <w:noProof/>
                <w:webHidden/>
              </w:rPr>
            </w:r>
            <w:r w:rsidR="0061125E">
              <w:rPr>
                <w:noProof/>
                <w:webHidden/>
              </w:rPr>
              <w:fldChar w:fldCharType="separate"/>
            </w:r>
            <w:r w:rsidR="0061125E">
              <w:rPr>
                <w:noProof/>
                <w:webHidden/>
              </w:rPr>
              <w:t>6</w:t>
            </w:r>
            <w:r w:rsidR="0061125E">
              <w:rPr>
                <w:noProof/>
                <w:webHidden/>
              </w:rPr>
              <w:fldChar w:fldCharType="end"/>
            </w:r>
          </w:hyperlink>
        </w:p>
        <w:p w14:paraId="638A0BAD" w14:textId="1EE275ED" w:rsidR="0061125E" w:rsidRDefault="004E2076">
          <w:pPr>
            <w:pStyle w:val="TOC4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5242482" w:history="1">
            <w:r w:rsidR="0061125E" w:rsidRPr="00CD1E2E">
              <w:rPr>
                <w:rStyle w:val="Hyperlink"/>
                <w:noProof/>
              </w:rPr>
              <w:t>031_CostAndUse_2013_2018_TC_Xtabs.sas</w:t>
            </w:r>
            <w:r w:rsidR="0061125E">
              <w:rPr>
                <w:noProof/>
                <w:webHidden/>
              </w:rPr>
              <w:tab/>
            </w:r>
            <w:r w:rsidR="0061125E">
              <w:rPr>
                <w:noProof/>
                <w:webHidden/>
              </w:rPr>
              <w:fldChar w:fldCharType="begin"/>
            </w:r>
            <w:r w:rsidR="0061125E">
              <w:rPr>
                <w:noProof/>
                <w:webHidden/>
              </w:rPr>
              <w:instrText xml:space="preserve"> PAGEREF _Toc65242482 \h </w:instrText>
            </w:r>
            <w:r w:rsidR="0061125E">
              <w:rPr>
                <w:noProof/>
                <w:webHidden/>
              </w:rPr>
            </w:r>
            <w:r w:rsidR="0061125E">
              <w:rPr>
                <w:noProof/>
                <w:webHidden/>
              </w:rPr>
              <w:fldChar w:fldCharType="separate"/>
            </w:r>
            <w:r w:rsidR="0061125E">
              <w:rPr>
                <w:noProof/>
                <w:webHidden/>
              </w:rPr>
              <w:t>9</w:t>
            </w:r>
            <w:r w:rsidR="0061125E">
              <w:rPr>
                <w:noProof/>
                <w:webHidden/>
              </w:rPr>
              <w:fldChar w:fldCharType="end"/>
            </w:r>
          </w:hyperlink>
        </w:p>
        <w:p w14:paraId="41EECCCE" w14:textId="47D13598" w:rsidR="0061125E" w:rsidRDefault="004E2076">
          <w:pPr>
            <w:pStyle w:val="TOC4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5242483" w:history="1">
            <w:r w:rsidR="0061125E" w:rsidRPr="00CD1E2E">
              <w:rPr>
                <w:rStyle w:val="Hyperlink"/>
                <w:noProof/>
              </w:rPr>
              <w:t>040_CostAndUse_2013_2018_v5.sas</w:t>
            </w:r>
            <w:r w:rsidR="0061125E">
              <w:rPr>
                <w:noProof/>
                <w:webHidden/>
              </w:rPr>
              <w:tab/>
            </w:r>
            <w:r w:rsidR="0061125E">
              <w:rPr>
                <w:noProof/>
                <w:webHidden/>
              </w:rPr>
              <w:fldChar w:fldCharType="begin"/>
            </w:r>
            <w:r w:rsidR="0061125E">
              <w:rPr>
                <w:noProof/>
                <w:webHidden/>
              </w:rPr>
              <w:instrText xml:space="preserve"> PAGEREF _Toc65242483 \h </w:instrText>
            </w:r>
            <w:r w:rsidR="0061125E">
              <w:rPr>
                <w:noProof/>
                <w:webHidden/>
              </w:rPr>
            </w:r>
            <w:r w:rsidR="0061125E">
              <w:rPr>
                <w:noProof/>
                <w:webHidden/>
              </w:rPr>
              <w:fldChar w:fldCharType="separate"/>
            </w:r>
            <w:r w:rsidR="0061125E">
              <w:rPr>
                <w:noProof/>
                <w:webHidden/>
              </w:rPr>
              <w:t>10</w:t>
            </w:r>
            <w:r w:rsidR="0061125E">
              <w:rPr>
                <w:noProof/>
                <w:webHidden/>
              </w:rPr>
              <w:fldChar w:fldCharType="end"/>
            </w:r>
          </w:hyperlink>
        </w:p>
        <w:p w14:paraId="7BE44A9E" w14:textId="12AC73DF" w:rsidR="005A64F8" w:rsidRDefault="005A64F8" w:rsidP="009F3928">
          <w:pPr>
            <w:pStyle w:val="TOCHeading"/>
          </w:pPr>
          <w:r>
            <w:fldChar w:fldCharType="end"/>
          </w:r>
        </w:p>
      </w:sdtContent>
    </w:sdt>
    <w:p w14:paraId="412CD394" w14:textId="77777777" w:rsidR="006F7AC0" w:rsidRDefault="006F7AC0" w:rsidP="00DC6D34">
      <w:pPr>
        <w:pStyle w:val="Heading2"/>
        <w:sectPr w:rsidR="006F7AC0" w:rsidSect="00A472CA">
          <w:headerReference w:type="default" r:id="rId11"/>
          <w:footerReference w:type="default" r:id="rId12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593BE657" w14:textId="73A2A1F9" w:rsidR="00DC6D34" w:rsidRPr="00DC6D34" w:rsidRDefault="00DC6D34" w:rsidP="00DC6D34">
      <w:pPr>
        <w:pStyle w:val="Heading2"/>
      </w:pPr>
      <w:bookmarkStart w:id="1" w:name="_Toc65242472"/>
      <w:r w:rsidRPr="00DC6D34">
        <w:lastRenderedPageBreak/>
        <w:t>Purpose</w:t>
      </w:r>
      <w:bookmarkEnd w:id="1"/>
    </w:p>
    <w:p w14:paraId="06ADD2E8" w14:textId="289FA042" w:rsidR="009836B3" w:rsidRDefault="00941E0B" w:rsidP="007842B6">
      <w:pPr>
        <w:rPr>
          <w:b/>
          <w:bCs/>
        </w:rPr>
      </w:pPr>
      <w:r>
        <w:t>The purpose of this subtask was to conduct analyses for</w:t>
      </w:r>
      <w:r w:rsidR="00CC0E61">
        <w:t xml:space="preserve"> a </w:t>
      </w:r>
      <w:r w:rsidR="00406787">
        <w:t>S</w:t>
      </w:r>
      <w:r w:rsidR="00CC0E61">
        <w:t>tat</w:t>
      </w:r>
      <w:r>
        <w:t>istical</w:t>
      </w:r>
      <w:r w:rsidR="00CC0E61">
        <w:t xml:space="preserve"> </w:t>
      </w:r>
      <w:r w:rsidR="00406787">
        <w:t>B</w:t>
      </w:r>
      <w:r w:rsidR="00CC0E61">
        <w:t xml:space="preserve">rief assessing the cost of antipsychotics </w:t>
      </w:r>
      <w:r w:rsidR="00406787" w:rsidRPr="007E4833">
        <w:t>(</w:t>
      </w:r>
      <w:r>
        <w:t>therapeutic class 1-subclass 1 [</w:t>
      </w:r>
      <w:r w:rsidR="00406787" w:rsidRPr="007E4833">
        <w:t>TC1s</w:t>
      </w:r>
      <w:proofErr w:type="gramStart"/>
      <w:r w:rsidR="00406787" w:rsidRPr="007E4833">
        <w:t>1</w:t>
      </w:r>
      <w:r>
        <w:t>]</w:t>
      </w:r>
      <w:r w:rsidR="00406787" w:rsidRPr="007E4833">
        <w:t>=</w:t>
      </w:r>
      <w:proofErr w:type="gramEnd"/>
      <w:r w:rsidR="00406787" w:rsidRPr="007E4833">
        <w:t xml:space="preserve">249) </w:t>
      </w:r>
      <w:r w:rsidR="00CC0E61">
        <w:t>and antidepressants</w:t>
      </w:r>
      <w:r w:rsidR="00406787">
        <w:t xml:space="preserve"> </w:t>
      </w:r>
      <w:r w:rsidR="00406787" w:rsidRPr="007E4833">
        <w:t xml:space="preserve">(TC1s1=251) </w:t>
      </w:r>
      <w:r w:rsidR="00CC0E61">
        <w:t>in 2013 and 2018. The first step was</w:t>
      </w:r>
      <w:r w:rsidR="009836B3">
        <w:t xml:space="preserve"> to </w:t>
      </w:r>
      <w:r w:rsidR="00CC0E61">
        <w:t xml:space="preserve">determine how </w:t>
      </w:r>
      <w:r w:rsidR="009836B3" w:rsidRPr="007E4833">
        <w:t xml:space="preserve">the MULTUM classification scheme </w:t>
      </w:r>
      <w:r w:rsidR="00CC0E61">
        <w:t>had</w:t>
      </w:r>
      <w:r w:rsidR="009836B3" w:rsidRPr="007E4833">
        <w:t xml:space="preserve"> changed from 2013 to 2018 and </w:t>
      </w:r>
      <w:r w:rsidR="00CC0E61">
        <w:t>resolve changes</w:t>
      </w:r>
      <w:r w:rsidR="009836B3" w:rsidRPr="007E4833">
        <w:t xml:space="preserve">. </w:t>
      </w:r>
      <w:r>
        <w:t xml:space="preserve">The second step was to calculate costs and use statistics for antipsychotics and antidepressants. </w:t>
      </w:r>
      <w:r w:rsidR="009836B3" w:rsidRPr="007E4833">
        <w:t xml:space="preserve"> </w:t>
      </w:r>
    </w:p>
    <w:p w14:paraId="46489026" w14:textId="77777777" w:rsidR="009836B3" w:rsidRPr="007E4833" w:rsidRDefault="009836B3" w:rsidP="007842B6">
      <w:pPr>
        <w:rPr>
          <w:b/>
          <w:bCs/>
        </w:rPr>
      </w:pPr>
      <w:r w:rsidRPr="007E4833">
        <w:t>Specific analyses/results requested:</w:t>
      </w:r>
    </w:p>
    <w:p w14:paraId="65623CDE" w14:textId="43A60452" w:rsidR="009836B3" w:rsidRPr="007842B6" w:rsidRDefault="009836B3" w:rsidP="007842B6">
      <w:pPr>
        <w:pStyle w:val="ListParagraph"/>
        <w:numPr>
          <w:ilvl w:val="0"/>
          <w:numId w:val="40"/>
        </w:numPr>
        <w:ind w:left="900"/>
      </w:pPr>
      <w:r w:rsidRPr="009836B3">
        <w:t xml:space="preserve">For the years 2013 and 2018 (separate listing for each year), using the internal, non PUF non disguised </w:t>
      </w:r>
      <w:r w:rsidRPr="007842B6">
        <w:t>PMED LINKRX year files, produce</w:t>
      </w:r>
      <w:r w:rsidR="00227E58" w:rsidRPr="007842B6">
        <w:t>d</w:t>
      </w:r>
      <w:r w:rsidRPr="007842B6">
        <w:t xml:space="preserve"> frequencies (unweighted and weighted) for:</w:t>
      </w:r>
    </w:p>
    <w:p w14:paraId="04C5F548" w14:textId="0B97615B" w:rsidR="009836B3" w:rsidRPr="007842B6" w:rsidRDefault="009836B3" w:rsidP="007842B6">
      <w:pPr>
        <w:pStyle w:val="ListParagraph"/>
        <w:numPr>
          <w:ilvl w:val="0"/>
          <w:numId w:val="41"/>
        </w:numPr>
      </w:pPr>
      <w:r w:rsidRPr="007842B6">
        <w:t>TC1 by TC2 by TC3</w:t>
      </w:r>
      <w:r w:rsidR="002A5811">
        <w:t xml:space="preserve"> (</w:t>
      </w:r>
      <w:r w:rsidR="00E07DAB">
        <w:t xml:space="preserve">Output </w:t>
      </w:r>
      <w:r w:rsidR="002A5811">
        <w:t>Table 1)</w:t>
      </w:r>
    </w:p>
    <w:p w14:paraId="395F7C76" w14:textId="77777777" w:rsidR="009836B3" w:rsidRPr="007842B6" w:rsidRDefault="009836B3" w:rsidP="007842B6">
      <w:pPr>
        <w:pStyle w:val="ListParagraph"/>
        <w:numPr>
          <w:ilvl w:val="0"/>
          <w:numId w:val="41"/>
        </w:numPr>
      </w:pPr>
      <w:r w:rsidRPr="007842B6">
        <w:t xml:space="preserve">TC1 = 242 </w:t>
      </w:r>
    </w:p>
    <w:p w14:paraId="1F368247" w14:textId="3B751104" w:rsidR="009836B3" w:rsidRPr="007842B6" w:rsidRDefault="009836B3" w:rsidP="007842B6">
      <w:pPr>
        <w:pStyle w:val="ListParagraph"/>
        <w:numPr>
          <w:ilvl w:val="0"/>
          <w:numId w:val="42"/>
        </w:numPr>
      </w:pPr>
      <w:r w:rsidRPr="007842B6">
        <w:t>by subclasses: TC1S1, TC1S2, TC1S3</w:t>
      </w:r>
      <w:r w:rsidR="002A5811">
        <w:t xml:space="preserve"> (</w:t>
      </w:r>
      <w:r w:rsidR="00E07DAB">
        <w:t xml:space="preserve">Output </w:t>
      </w:r>
      <w:r w:rsidR="002A5811">
        <w:t>Table 2)</w:t>
      </w:r>
    </w:p>
    <w:p w14:paraId="0930953E" w14:textId="4594A3FC" w:rsidR="009836B3" w:rsidRPr="007842B6" w:rsidRDefault="009836B3" w:rsidP="007842B6">
      <w:pPr>
        <w:pStyle w:val="ListParagraph"/>
        <w:numPr>
          <w:ilvl w:val="0"/>
          <w:numId w:val="42"/>
        </w:numPr>
      </w:pPr>
      <w:r w:rsidRPr="007842B6">
        <w:t>by 1</w:t>
      </w:r>
      <w:r w:rsidRPr="007842B6">
        <w:rPr>
          <w:vertAlign w:val="superscript"/>
        </w:rPr>
        <w:t>st</w:t>
      </w:r>
      <w:r w:rsidRPr="007842B6">
        <w:t xml:space="preserve"> subclass and sub-sub classes: TC1S1, TC1S1_1, TC1S1_2</w:t>
      </w:r>
      <w:r w:rsidR="002A5811">
        <w:t xml:space="preserve"> (</w:t>
      </w:r>
      <w:r w:rsidR="00E07DAB">
        <w:t xml:space="preserve">Output </w:t>
      </w:r>
      <w:r w:rsidR="002A5811">
        <w:t>Table 3)</w:t>
      </w:r>
    </w:p>
    <w:p w14:paraId="27DA2EE3" w14:textId="04616D4C" w:rsidR="009836B3" w:rsidRPr="007842B6" w:rsidRDefault="009836B3" w:rsidP="007842B6">
      <w:pPr>
        <w:pStyle w:val="ListParagraph"/>
        <w:numPr>
          <w:ilvl w:val="0"/>
          <w:numId w:val="42"/>
        </w:numPr>
      </w:pPr>
      <w:r w:rsidRPr="007842B6">
        <w:t>by 2</w:t>
      </w:r>
      <w:r w:rsidRPr="007842B6">
        <w:rPr>
          <w:vertAlign w:val="superscript"/>
        </w:rPr>
        <w:t>nd</w:t>
      </w:r>
      <w:r w:rsidRPr="007842B6">
        <w:t xml:space="preserve"> subclass and sub-sub classes: TC1S2, TC1S2_1, TC1S2_2</w:t>
      </w:r>
      <w:r w:rsidR="002A5811">
        <w:t xml:space="preserve"> (</w:t>
      </w:r>
      <w:r w:rsidR="00E07DAB">
        <w:t xml:space="preserve">Output </w:t>
      </w:r>
      <w:r w:rsidR="002A5811">
        <w:t>Table 4)</w:t>
      </w:r>
    </w:p>
    <w:p w14:paraId="78457940" w14:textId="44A1EA52" w:rsidR="009836B3" w:rsidRPr="007842B6" w:rsidRDefault="009836B3" w:rsidP="007842B6">
      <w:pPr>
        <w:pStyle w:val="ListParagraph"/>
        <w:numPr>
          <w:ilvl w:val="0"/>
          <w:numId w:val="42"/>
        </w:numPr>
      </w:pPr>
      <w:r w:rsidRPr="007842B6">
        <w:t>by 3</w:t>
      </w:r>
      <w:r w:rsidRPr="007842B6">
        <w:rPr>
          <w:vertAlign w:val="superscript"/>
        </w:rPr>
        <w:t>rd</w:t>
      </w:r>
      <w:r w:rsidRPr="007842B6">
        <w:t xml:space="preserve"> subclass and sub-sub classes: TC1S3, TC1S3_1, TC1S3_2</w:t>
      </w:r>
      <w:r w:rsidR="002A5811">
        <w:t xml:space="preserve"> (</w:t>
      </w:r>
      <w:r w:rsidR="00E07DAB">
        <w:t xml:space="preserve">Output </w:t>
      </w:r>
      <w:r w:rsidR="002A5811">
        <w:t>Table 5)</w:t>
      </w:r>
    </w:p>
    <w:p w14:paraId="1C4994B2" w14:textId="6D6AD534" w:rsidR="009836B3" w:rsidRPr="007842B6" w:rsidRDefault="009836B3" w:rsidP="007842B6">
      <w:pPr>
        <w:pStyle w:val="ListParagraph"/>
        <w:numPr>
          <w:ilvl w:val="0"/>
          <w:numId w:val="42"/>
        </w:numPr>
      </w:pPr>
      <w:r w:rsidRPr="007842B6">
        <w:t>by all subclasses and sub-sub classes</w:t>
      </w:r>
      <w:r w:rsidR="002A5811">
        <w:t xml:space="preserve"> (</w:t>
      </w:r>
      <w:r w:rsidR="00E07DAB">
        <w:t xml:space="preserve">Output </w:t>
      </w:r>
      <w:r w:rsidR="002A5811">
        <w:t>Table 5all)</w:t>
      </w:r>
    </w:p>
    <w:p w14:paraId="2A1F8A8B" w14:textId="0A111624" w:rsidR="00CC0E61" w:rsidRDefault="009836B3" w:rsidP="00CC0E61">
      <w:pPr>
        <w:pStyle w:val="ListParagraph"/>
        <w:numPr>
          <w:ilvl w:val="0"/>
          <w:numId w:val="41"/>
        </w:numPr>
      </w:pPr>
      <w:r w:rsidRPr="007842B6">
        <w:t xml:space="preserve">Repeat </w:t>
      </w:r>
      <w:proofErr w:type="spellStart"/>
      <w:r w:rsidR="000553E3">
        <w:t>b</w:t>
      </w:r>
      <w:r w:rsidRPr="007842B6">
        <w:t>.</w:t>
      </w:r>
      <w:r w:rsidR="000553E3">
        <w:t>i</w:t>
      </w:r>
      <w:proofErr w:type="spellEnd"/>
      <w:r w:rsidRPr="007842B6">
        <w:t>-</w:t>
      </w:r>
      <w:r w:rsidR="000553E3">
        <w:t>v</w:t>
      </w:r>
      <w:r w:rsidRPr="007842B6">
        <w:t xml:space="preserve"> for TC2 and TC3 (where applicable)</w:t>
      </w:r>
      <w:r w:rsidR="002A5811">
        <w:t xml:space="preserve">: </w:t>
      </w:r>
      <w:r w:rsidR="00102794">
        <w:t xml:space="preserve">Output </w:t>
      </w:r>
      <w:r w:rsidR="002A5811">
        <w:t>Table 6 – Table 9</w:t>
      </w:r>
    </w:p>
    <w:p w14:paraId="54CB8031" w14:textId="195D44A7" w:rsidR="009836B3" w:rsidRPr="007842B6" w:rsidRDefault="009836B3" w:rsidP="00CC0E61">
      <w:pPr>
        <w:pStyle w:val="ListParagraph"/>
        <w:numPr>
          <w:ilvl w:val="0"/>
          <w:numId w:val="45"/>
        </w:numPr>
        <w:ind w:left="900"/>
      </w:pPr>
      <w:r w:rsidRPr="007842B6">
        <w:t>After the sub therapeutic classes were finalized, AHRQ requested</w:t>
      </w:r>
      <w:r w:rsidR="006020C9" w:rsidRPr="007842B6">
        <w:t xml:space="preserve"> estimates, both unweighted and weighted, of</w:t>
      </w:r>
      <w:r w:rsidRPr="007842B6">
        <w:t xml:space="preserve">: </w:t>
      </w:r>
    </w:p>
    <w:p w14:paraId="1E01C37A" w14:textId="2625D3AA" w:rsidR="009836B3" w:rsidRPr="007842B6" w:rsidRDefault="009836B3" w:rsidP="007842B6">
      <w:pPr>
        <w:pStyle w:val="ListParagraph"/>
        <w:numPr>
          <w:ilvl w:val="0"/>
          <w:numId w:val="39"/>
        </w:numPr>
      </w:pPr>
      <w:r w:rsidRPr="007842B6">
        <w:t>Total dollars</w:t>
      </w:r>
      <w:r w:rsidR="006020C9" w:rsidRPr="007842B6">
        <w:t xml:space="preserve"> and total use,</w:t>
      </w:r>
    </w:p>
    <w:p w14:paraId="44B4D378" w14:textId="454FD91F" w:rsidR="009836B3" w:rsidRPr="007842B6" w:rsidRDefault="009836B3" w:rsidP="007842B6">
      <w:pPr>
        <w:pStyle w:val="ListParagraph"/>
        <w:numPr>
          <w:ilvl w:val="0"/>
          <w:numId w:val="39"/>
        </w:numPr>
      </w:pPr>
      <w:r w:rsidRPr="007842B6">
        <w:t>Total number of persons (having one or more fill)</w:t>
      </w:r>
      <w:r w:rsidR="006020C9" w:rsidRPr="007842B6">
        <w:t xml:space="preserve"> for TC1s1=249 and TC1s1=251,</w:t>
      </w:r>
    </w:p>
    <w:p w14:paraId="68218C9D" w14:textId="5A739704" w:rsidR="009836B3" w:rsidRPr="007842B6" w:rsidRDefault="009836B3" w:rsidP="007842B6">
      <w:pPr>
        <w:pStyle w:val="ListParagraph"/>
        <w:numPr>
          <w:ilvl w:val="0"/>
          <w:numId w:val="39"/>
        </w:numPr>
      </w:pPr>
      <w:r w:rsidRPr="007842B6">
        <w:t xml:space="preserve">Mean and median expenses for out of pocket and </w:t>
      </w:r>
      <w:proofErr w:type="gramStart"/>
      <w:r w:rsidRPr="007842B6">
        <w:t>third party</w:t>
      </w:r>
      <w:proofErr w:type="gramEnd"/>
      <w:r w:rsidRPr="007842B6">
        <w:t xml:space="preserve"> expenses</w:t>
      </w:r>
      <w:r w:rsidR="006020C9" w:rsidRPr="007842B6">
        <w:t xml:space="preserve">, and </w:t>
      </w:r>
      <w:r w:rsidRPr="007842B6">
        <w:t xml:space="preserve">  </w:t>
      </w:r>
    </w:p>
    <w:p w14:paraId="6A1C640F" w14:textId="4C8B2C35" w:rsidR="009836B3" w:rsidRPr="007842B6" w:rsidRDefault="006020C9" w:rsidP="007842B6">
      <w:pPr>
        <w:pStyle w:val="ListParagraph"/>
        <w:numPr>
          <w:ilvl w:val="0"/>
          <w:numId w:val="39"/>
        </w:numPr>
      </w:pPr>
      <w:r w:rsidRPr="007842B6">
        <w:t xml:space="preserve">Breakouts by age, race/ethnicity, </w:t>
      </w:r>
      <w:r w:rsidR="003017BD" w:rsidRPr="007842B6">
        <w:t>sex, socio-eco</w:t>
      </w:r>
      <w:r w:rsidR="00941E0B">
        <w:t>n</w:t>
      </w:r>
      <w:r w:rsidR="003017BD" w:rsidRPr="007842B6">
        <w:t>omic status (SES), insurance coverage, and region</w:t>
      </w:r>
      <w:r w:rsidR="009836B3" w:rsidRPr="007842B6">
        <w:t xml:space="preserve">.    </w:t>
      </w:r>
    </w:p>
    <w:p w14:paraId="5C3235AD" w14:textId="77777777" w:rsidR="009836B3" w:rsidRDefault="009836B3" w:rsidP="009836B3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1B053836" w14:textId="362FA0A2" w:rsidR="00AF3205" w:rsidRDefault="00754B1A" w:rsidP="009836B3">
      <w:pPr>
        <w:pStyle w:val="Heading2"/>
      </w:pPr>
      <w:bookmarkStart w:id="2" w:name="_Toc65242473"/>
      <w:r>
        <w:t>P</w:t>
      </w:r>
      <w:r w:rsidR="00AF3205">
        <w:t>rograms</w:t>
      </w:r>
      <w:bookmarkEnd w:id="2"/>
      <w:r w:rsidR="00AC5DF9">
        <w:t xml:space="preserve"> </w:t>
      </w:r>
    </w:p>
    <w:p w14:paraId="33F326F2" w14:textId="122BD1E3" w:rsidR="00E55290" w:rsidRDefault="00763A69" w:rsidP="00E55290">
      <w:r>
        <w:t xml:space="preserve">The following table provides a high-level description of the programs used to analyze the </w:t>
      </w:r>
      <w:r w:rsidR="00535124">
        <w:t>2013 and 2018 LNKRX</w:t>
      </w:r>
      <w:r>
        <w:t xml:space="preserve"> data.</w:t>
      </w:r>
    </w:p>
    <w:p w14:paraId="33B733C4" w14:textId="30948726" w:rsidR="006D5804" w:rsidRPr="00E55290" w:rsidRDefault="006D5804" w:rsidP="006D5804">
      <w:pPr>
        <w:jc w:val="center"/>
      </w:pPr>
      <w:r w:rsidRPr="00105C00">
        <w:t>Table 1: Program Descriptions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424"/>
        <w:gridCol w:w="5741"/>
      </w:tblGrid>
      <w:tr w:rsidR="005C279B" w:rsidRPr="00C66A6A" w14:paraId="6AA8A22E" w14:textId="77777777" w:rsidTr="00C83D1A">
        <w:trPr>
          <w:trHeight w:val="260"/>
          <w:tblHeader/>
        </w:trPr>
        <w:tc>
          <w:tcPr>
            <w:tcW w:w="4424" w:type="dxa"/>
            <w:shd w:val="clear" w:color="auto" w:fill="640000"/>
          </w:tcPr>
          <w:p w14:paraId="5284BC75" w14:textId="081E6626" w:rsidR="005C279B" w:rsidRPr="00C66A6A" w:rsidRDefault="005C279B">
            <w:pPr>
              <w:rPr>
                <w:sz w:val="20"/>
                <w:szCs w:val="20"/>
              </w:rPr>
            </w:pPr>
            <w:r w:rsidRPr="00C66A6A">
              <w:rPr>
                <w:sz w:val="20"/>
                <w:szCs w:val="20"/>
              </w:rPr>
              <w:t>Program Name</w:t>
            </w:r>
          </w:p>
        </w:tc>
        <w:tc>
          <w:tcPr>
            <w:tcW w:w="5741" w:type="dxa"/>
            <w:shd w:val="clear" w:color="auto" w:fill="640000"/>
          </w:tcPr>
          <w:p w14:paraId="3948E18A" w14:textId="7B513FED" w:rsidR="005C279B" w:rsidRPr="000E59D5" w:rsidRDefault="005C279B">
            <w:pPr>
              <w:rPr>
                <w:sz w:val="20"/>
                <w:szCs w:val="20"/>
              </w:rPr>
            </w:pPr>
            <w:r w:rsidRPr="000E59D5">
              <w:rPr>
                <w:sz w:val="20"/>
                <w:szCs w:val="20"/>
              </w:rPr>
              <w:t>Description</w:t>
            </w:r>
          </w:p>
        </w:tc>
      </w:tr>
      <w:tr w:rsidR="005F21A7" w:rsidRPr="00C66A6A" w14:paraId="7E03E031" w14:textId="77777777" w:rsidTr="00C83D1A">
        <w:trPr>
          <w:trHeight w:val="260"/>
        </w:trPr>
        <w:tc>
          <w:tcPr>
            <w:tcW w:w="4424" w:type="dxa"/>
          </w:tcPr>
          <w:p w14:paraId="2F01F2EA" w14:textId="36C0EF40" w:rsidR="005F21A7" w:rsidRDefault="005F21A7" w:rsidP="009836B3">
            <w:pPr>
              <w:rPr>
                <w:sz w:val="20"/>
                <w:szCs w:val="20"/>
              </w:rPr>
            </w:pPr>
            <w:r w:rsidRPr="005F21A7">
              <w:rPr>
                <w:sz w:val="20"/>
                <w:szCs w:val="20"/>
              </w:rPr>
              <w:t>234M_AP_AD_Formats.sas</w:t>
            </w:r>
          </w:p>
        </w:tc>
        <w:tc>
          <w:tcPr>
            <w:tcW w:w="5741" w:type="dxa"/>
          </w:tcPr>
          <w:p w14:paraId="78D0D18C" w14:textId="4FD3B5CA" w:rsidR="005F21A7" w:rsidRDefault="005F21A7" w:rsidP="009836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Formats for TC variables – assigns TC drug names to TC drug numeric codes</w:t>
            </w:r>
            <w:r w:rsidR="00102794">
              <w:rPr>
                <w:sz w:val="20"/>
                <w:szCs w:val="20"/>
              </w:rPr>
              <w:t>.</w:t>
            </w:r>
          </w:p>
        </w:tc>
      </w:tr>
      <w:tr w:rsidR="009836B3" w:rsidRPr="00C66A6A" w14:paraId="3238F745" w14:textId="77777777" w:rsidTr="00C83D1A">
        <w:trPr>
          <w:trHeight w:val="260"/>
        </w:trPr>
        <w:tc>
          <w:tcPr>
            <w:tcW w:w="4424" w:type="dxa"/>
          </w:tcPr>
          <w:p w14:paraId="6262A8F6" w14:textId="17EBE1F6" w:rsidR="009836B3" w:rsidRPr="00C66A6A" w:rsidRDefault="008426DC" w:rsidP="009836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  <w:r w:rsidR="009836B3">
              <w:rPr>
                <w:sz w:val="20"/>
                <w:szCs w:val="20"/>
              </w:rPr>
              <w:t>0_ReadIn_LINKRX_MEPS_CFs.sas</w:t>
            </w:r>
          </w:p>
        </w:tc>
        <w:tc>
          <w:tcPr>
            <w:tcW w:w="5741" w:type="dxa"/>
          </w:tcPr>
          <w:p w14:paraId="1527D402" w14:textId="0E330A9E" w:rsidR="009836B3" w:rsidRPr="000E59D5" w:rsidRDefault="009836B3" w:rsidP="00DE00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 in and review contents, </w:t>
            </w:r>
            <w:proofErr w:type="spellStart"/>
            <w:r>
              <w:rPr>
                <w:sz w:val="20"/>
                <w:szCs w:val="20"/>
              </w:rPr>
              <w:t>varnames</w:t>
            </w:r>
            <w:proofErr w:type="spellEnd"/>
            <w:r>
              <w:rPr>
                <w:sz w:val="20"/>
                <w:szCs w:val="20"/>
              </w:rPr>
              <w:t xml:space="preserve"> and values, etc. for the non-PUF, non-disguised PMED LINKRX files, the TC_CAT data, and the MEPS Consolidated Files</w:t>
            </w:r>
            <w:r w:rsidR="001138A2">
              <w:rPr>
                <w:sz w:val="20"/>
                <w:szCs w:val="20"/>
              </w:rPr>
              <w:t xml:space="preserve">; </w:t>
            </w:r>
            <w:r w:rsidR="00510035">
              <w:rPr>
                <w:sz w:val="20"/>
                <w:szCs w:val="20"/>
              </w:rPr>
              <w:t xml:space="preserve">Combine the TC code data </w:t>
            </w:r>
            <w:r w:rsidR="00FC3276">
              <w:rPr>
                <w:sz w:val="20"/>
                <w:szCs w:val="20"/>
              </w:rPr>
              <w:t xml:space="preserve">from 2013 and 2018 and </w:t>
            </w:r>
            <w:r w:rsidR="001138A2">
              <w:rPr>
                <w:sz w:val="20"/>
                <w:szCs w:val="20"/>
              </w:rPr>
              <w:t>generate TC</w:t>
            </w:r>
            <w:r w:rsidR="00510035">
              <w:rPr>
                <w:sz w:val="20"/>
                <w:szCs w:val="20"/>
              </w:rPr>
              <w:t xml:space="preserve">-code/TC-name </w:t>
            </w:r>
            <w:proofErr w:type="spellStart"/>
            <w:r w:rsidR="001138A2">
              <w:rPr>
                <w:sz w:val="20"/>
                <w:szCs w:val="20"/>
              </w:rPr>
              <w:t>xwalk</w:t>
            </w:r>
            <w:proofErr w:type="spellEnd"/>
            <w:r w:rsidR="001138A2">
              <w:rPr>
                <w:sz w:val="20"/>
                <w:szCs w:val="20"/>
              </w:rPr>
              <w:t xml:space="preserve"> files</w:t>
            </w:r>
            <w:r w:rsidR="00510035">
              <w:rPr>
                <w:sz w:val="20"/>
                <w:szCs w:val="20"/>
              </w:rPr>
              <w:t xml:space="preserve">. </w:t>
            </w:r>
            <w:r w:rsidR="00510035" w:rsidRPr="00102794">
              <w:rPr>
                <w:sz w:val="20"/>
                <w:szCs w:val="20"/>
              </w:rPr>
              <w:t>Note: these results were for internal use to gain familiarity with the data.</w:t>
            </w:r>
          </w:p>
        </w:tc>
      </w:tr>
      <w:tr w:rsidR="009836B3" w:rsidRPr="00C66A6A" w14:paraId="0B8668EC" w14:textId="77777777" w:rsidTr="00C83D1A">
        <w:trPr>
          <w:trHeight w:val="272"/>
        </w:trPr>
        <w:tc>
          <w:tcPr>
            <w:tcW w:w="4424" w:type="dxa"/>
          </w:tcPr>
          <w:p w14:paraId="4E72E0BE" w14:textId="0E53B99B" w:rsidR="009836B3" w:rsidRPr="00C66A6A" w:rsidRDefault="008426DC" w:rsidP="009836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020_ListFreqs_TCs_2013_2018.sas</w:t>
            </w:r>
          </w:p>
        </w:tc>
        <w:tc>
          <w:tcPr>
            <w:tcW w:w="5741" w:type="dxa"/>
          </w:tcPr>
          <w:p w14:paraId="0B74BDA1" w14:textId="07F1F56E" w:rsidR="009836B3" w:rsidRPr="000E59D5" w:rsidRDefault="00FC3276" w:rsidP="00DE00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Generate listwise </w:t>
            </w:r>
            <w:proofErr w:type="spellStart"/>
            <w:r>
              <w:rPr>
                <w:sz w:val="20"/>
                <w:szCs w:val="20"/>
              </w:rPr>
              <w:t>xtabs</w:t>
            </w:r>
            <w:proofErr w:type="spellEnd"/>
            <w:r>
              <w:rPr>
                <w:sz w:val="20"/>
                <w:szCs w:val="20"/>
              </w:rPr>
              <w:t xml:space="preserve"> for psychotherapeutic drugs of TC subclasses and TC sub-subclasses </w:t>
            </w:r>
            <w:r w:rsidR="009836B3">
              <w:rPr>
                <w:sz w:val="20"/>
                <w:szCs w:val="20"/>
              </w:rPr>
              <w:t xml:space="preserve">to check for </w:t>
            </w:r>
            <w:r w:rsidR="00F16858">
              <w:rPr>
                <w:sz w:val="20"/>
                <w:szCs w:val="20"/>
              </w:rPr>
              <w:t xml:space="preserve">MULTUM classification </w:t>
            </w:r>
            <w:r w:rsidR="009836B3">
              <w:rPr>
                <w:sz w:val="20"/>
                <w:szCs w:val="20"/>
              </w:rPr>
              <w:t>changes between 2013 and 2018</w:t>
            </w:r>
            <w:r w:rsidR="00102794">
              <w:rPr>
                <w:sz w:val="20"/>
                <w:szCs w:val="20"/>
              </w:rPr>
              <w:t>.</w:t>
            </w:r>
            <w:r w:rsidR="009836B3">
              <w:rPr>
                <w:sz w:val="20"/>
                <w:szCs w:val="20"/>
              </w:rPr>
              <w:t xml:space="preserve"> </w:t>
            </w:r>
          </w:p>
        </w:tc>
      </w:tr>
      <w:tr w:rsidR="009836B3" w:rsidRPr="00C66A6A" w14:paraId="70A239AF" w14:textId="77777777" w:rsidTr="00C83D1A">
        <w:trPr>
          <w:trHeight w:val="260"/>
        </w:trPr>
        <w:tc>
          <w:tcPr>
            <w:tcW w:w="4424" w:type="dxa"/>
          </w:tcPr>
          <w:p w14:paraId="12EE2EF2" w14:textId="70B35653" w:rsidR="009836B3" w:rsidRPr="00C66A6A" w:rsidRDefault="008426DC" w:rsidP="009836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030_CostAndUse_2013_2018_final_v9.sas</w:t>
            </w:r>
          </w:p>
        </w:tc>
        <w:tc>
          <w:tcPr>
            <w:tcW w:w="5741" w:type="dxa"/>
          </w:tcPr>
          <w:p w14:paraId="568BAB97" w14:textId="2673FE99" w:rsidR="009836B3" w:rsidRPr="000E59D5" w:rsidRDefault="00F16858" w:rsidP="00F16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psychotherapeutics </w:t>
            </w:r>
            <w:proofErr w:type="gramStart"/>
            <w:r>
              <w:rPr>
                <w:sz w:val="20"/>
                <w:szCs w:val="20"/>
              </w:rPr>
              <w:t>overall, and</w:t>
            </w:r>
            <w:proofErr w:type="gramEnd"/>
            <w:r>
              <w:rPr>
                <w:sz w:val="20"/>
                <w:szCs w:val="20"/>
              </w:rPr>
              <w:t xml:space="preserve"> broken out by subclass (anti-psychotics and antidepressants), and sub-subclass, calculate total dollars, </w:t>
            </w:r>
            <w:r w:rsidRPr="00F16858">
              <w:rPr>
                <w:sz w:val="20"/>
                <w:szCs w:val="20"/>
              </w:rPr>
              <w:t>total use/fills, to</w:t>
            </w:r>
            <w:r>
              <w:rPr>
                <w:sz w:val="20"/>
                <w:szCs w:val="20"/>
              </w:rPr>
              <w:t>tal person</w:t>
            </w:r>
            <w:r w:rsidR="00594E5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with at least 1 fill, </w:t>
            </w:r>
            <w:r w:rsidRPr="00F16858">
              <w:rPr>
                <w:sz w:val="20"/>
                <w:szCs w:val="20"/>
              </w:rPr>
              <w:t xml:space="preserve">mean/median total cost, mean/median </w:t>
            </w:r>
            <w:r w:rsidR="00DF688D">
              <w:rPr>
                <w:sz w:val="20"/>
                <w:szCs w:val="20"/>
              </w:rPr>
              <w:t>out-of-pocket (</w:t>
            </w:r>
            <w:r w:rsidRPr="00F16858">
              <w:rPr>
                <w:sz w:val="20"/>
                <w:szCs w:val="20"/>
              </w:rPr>
              <w:t>OOP</w:t>
            </w:r>
            <w:r w:rsidR="00DF688D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costs</w:t>
            </w:r>
            <w:r w:rsidRPr="00F16858">
              <w:rPr>
                <w:sz w:val="20"/>
                <w:szCs w:val="20"/>
              </w:rPr>
              <w:t>,</w:t>
            </w:r>
            <w:r w:rsidR="00594E51">
              <w:rPr>
                <w:sz w:val="20"/>
                <w:szCs w:val="20"/>
              </w:rPr>
              <w:t xml:space="preserve"> and</w:t>
            </w:r>
            <w:r w:rsidRPr="00F16858">
              <w:rPr>
                <w:sz w:val="20"/>
                <w:szCs w:val="20"/>
              </w:rPr>
              <w:t xml:space="preserve"> mean/median 3rd party</w:t>
            </w:r>
            <w:r>
              <w:rPr>
                <w:sz w:val="20"/>
                <w:szCs w:val="20"/>
              </w:rPr>
              <w:t xml:space="preserve"> costs</w:t>
            </w:r>
            <w:r w:rsidR="00102794">
              <w:rPr>
                <w:sz w:val="20"/>
                <w:szCs w:val="20"/>
              </w:rPr>
              <w:t>.</w:t>
            </w:r>
          </w:p>
        </w:tc>
      </w:tr>
      <w:tr w:rsidR="008426DC" w:rsidRPr="00C66A6A" w14:paraId="68E866CB" w14:textId="77777777" w:rsidTr="00C83D1A">
        <w:trPr>
          <w:trHeight w:val="260"/>
        </w:trPr>
        <w:tc>
          <w:tcPr>
            <w:tcW w:w="4424" w:type="dxa"/>
          </w:tcPr>
          <w:p w14:paraId="4015DE85" w14:textId="2782D721" w:rsidR="008426DC" w:rsidRDefault="008426DC" w:rsidP="009836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031_CostAndUse_2013_2018_TC_Xtabs.sas</w:t>
            </w:r>
          </w:p>
        </w:tc>
        <w:tc>
          <w:tcPr>
            <w:tcW w:w="5741" w:type="dxa"/>
          </w:tcPr>
          <w:p w14:paraId="22065B47" w14:textId="74A5BDAF" w:rsidR="008426DC" w:rsidRDefault="00DC4F2E" w:rsidP="00C83D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 </w:t>
            </w:r>
            <w:proofErr w:type="spellStart"/>
            <w:r>
              <w:rPr>
                <w:sz w:val="20"/>
                <w:szCs w:val="20"/>
              </w:rPr>
              <w:t>xtabs</w:t>
            </w:r>
            <w:proofErr w:type="spellEnd"/>
            <w:r>
              <w:rPr>
                <w:sz w:val="20"/>
                <w:szCs w:val="20"/>
              </w:rPr>
              <w:t xml:space="preserve"> where TC2 or TC3 = 242, </w:t>
            </w:r>
            <w:r w:rsidR="00B50A3A" w:rsidRPr="00B50A3A">
              <w:rPr>
                <w:sz w:val="20"/>
                <w:szCs w:val="20"/>
              </w:rPr>
              <w:t xml:space="preserve">with drug names, </w:t>
            </w:r>
            <w:r w:rsidR="00B50A3A">
              <w:rPr>
                <w:sz w:val="20"/>
                <w:szCs w:val="20"/>
              </w:rPr>
              <w:t>w</w:t>
            </w:r>
            <w:r w:rsidR="00B50A3A" w:rsidRPr="00B50A3A">
              <w:rPr>
                <w:sz w:val="20"/>
                <w:szCs w:val="20"/>
              </w:rPr>
              <w:t>ith all applicable subclasses and sub-subclasses</w:t>
            </w:r>
            <w:r w:rsidR="00C83D1A">
              <w:rPr>
                <w:sz w:val="20"/>
                <w:szCs w:val="20"/>
              </w:rPr>
              <w:t>, to check if there are AP/AD subclasses under TC2 or TC3</w:t>
            </w:r>
            <w:r w:rsidR="00102794">
              <w:rPr>
                <w:sz w:val="20"/>
                <w:szCs w:val="20"/>
              </w:rPr>
              <w:t>.</w:t>
            </w:r>
          </w:p>
        </w:tc>
      </w:tr>
      <w:tr w:rsidR="00C83D1A" w:rsidRPr="00C66A6A" w14:paraId="75A44B8B" w14:textId="77777777" w:rsidTr="00C83D1A">
        <w:trPr>
          <w:trHeight w:val="260"/>
        </w:trPr>
        <w:tc>
          <w:tcPr>
            <w:tcW w:w="4424" w:type="dxa"/>
          </w:tcPr>
          <w:p w14:paraId="23C0DBE9" w14:textId="5F112258" w:rsidR="00C83D1A" w:rsidRPr="00C66A6A" w:rsidRDefault="00C83D1A" w:rsidP="00C83D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040_CostAndUse_2013_2018_v5.sas</w:t>
            </w:r>
          </w:p>
        </w:tc>
        <w:tc>
          <w:tcPr>
            <w:tcW w:w="5741" w:type="dxa"/>
          </w:tcPr>
          <w:p w14:paraId="38C14134" w14:textId="156ACE19" w:rsidR="00C83D1A" w:rsidRPr="000E59D5" w:rsidRDefault="00C83D1A" w:rsidP="00C83D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psychotherapeutics </w:t>
            </w:r>
            <w:proofErr w:type="gramStart"/>
            <w:r>
              <w:rPr>
                <w:sz w:val="20"/>
                <w:szCs w:val="20"/>
              </w:rPr>
              <w:t>overall, and</w:t>
            </w:r>
            <w:proofErr w:type="gramEnd"/>
            <w:r>
              <w:rPr>
                <w:sz w:val="20"/>
                <w:szCs w:val="20"/>
              </w:rPr>
              <w:t xml:space="preserve"> broken out by subclass (anti-psychotics and antidepressants), and sub-subclass, calculate total dollars, </w:t>
            </w:r>
            <w:r w:rsidRPr="00F16858">
              <w:rPr>
                <w:sz w:val="20"/>
                <w:szCs w:val="20"/>
              </w:rPr>
              <w:t>total use/fills, to</w:t>
            </w:r>
            <w:r>
              <w:rPr>
                <w:sz w:val="20"/>
                <w:szCs w:val="20"/>
              </w:rPr>
              <w:t>tal person</w:t>
            </w:r>
            <w:r w:rsidR="00594E5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with at least 1 fill, </w:t>
            </w:r>
            <w:r w:rsidRPr="00F16858">
              <w:rPr>
                <w:sz w:val="20"/>
                <w:szCs w:val="20"/>
              </w:rPr>
              <w:t>mean/median total cost, mean/median OOP</w:t>
            </w:r>
            <w:r>
              <w:rPr>
                <w:sz w:val="20"/>
                <w:szCs w:val="20"/>
              </w:rPr>
              <w:t xml:space="preserve"> costs</w:t>
            </w:r>
            <w:r w:rsidRPr="00F16858">
              <w:rPr>
                <w:sz w:val="20"/>
                <w:szCs w:val="20"/>
              </w:rPr>
              <w:t xml:space="preserve">, </w:t>
            </w:r>
            <w:r w:rsidR="00594E51">
              <w:rPr>
                <w:sz w:val="20"/>
                <w:szCs w:val="20"/>
              </w:rPr>
              <w:t xml:space="preserve">and </w:t>
            </w:r>
            <w:r w:rsidRPr="00F16858">
              <w:rPr>
                <w:sz w:val="20"/>
                <w:szCs w:val="20"/>
              </w:rPr>
              <w:t>mean/median 3rd party</w:t>
            </w:r>
            <w:r>
              <w:rPr>
                <w:sz w:val="20"/>
                <w:szCs w:val="20"/>
              </w:rPr>
              <w:t xml:space="preserve"> costs; broken down by select socio-demographic characteristics</w:t>
            </w:r>
            <w:r w:rsidR="00102794">
              <w:rPr>
                <w:sz w:val="20"/>
                <w:szCs w:val="20"/>
              </w:rPr>
              <w:t>.</w:t>
            </w:r>
          </w:p>
        </w:tc>
      </w:tr>
    </w:tbl>
    <w:p w14:paraId="032D498C" w14:textId="77777777" w:rsidR="00FC3276" w:rsidRDefault="00FC3276" w:rsidP="006020C9">
      <w:pPr>
        <w:pStyle w:val="Heading3"/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</w:pPr>
    </w:p>
    <w:p w14:paraId="14072EE0" w14:textId="7E16074C" w:rsidR="00AF3205" w:rsidRDefault="005C279B" w:rsidP="00095153">
      <w:pPr>
        <w:pStyle w:val="Heading3"/>
      </w:pPr>
      <w:bookmarkStart w:id="3" w:name="_Toc65242474"/>
      <w:r>
        <w:t>D</w:t>
      </w:r>
      <w:r w:rsidR="000B2B85">
        <w:t>atasets</w:t>
      </w:r>
      <w:r w:rsidR="00AF3205" w:rsidRPr="00095153">
        <w:t xml:space="preserve"> </w:t>
      </w:r>
      <w:r w:rsidR="00736018">
        <w:t>U</w:t>
      </w:r>
      <w:r w:rsidR="00586686">
        <w:t>sed</w:t>
      </w:r>
      <w:r w:rsidR="00DD5BC0">
        <w:t xml:space="preserve"> (</w:t>
      </w:r>
      <w:proofErr w:type="gramStart"/>
      <w:r w:rsidR="00DD5BC0">
        <w:t>all .sas</w:t>
      </w:r>
      <w:proofErr w:type="gramEnd"/>
      <w:r w:rsidR="00DD5BC0">
        <w:t>7bdat)</w:t>
      </w:r>
      <w:bookmarkEnd w:id="3"/>
    </w:p>
    <w:p w14:paraId="01C83A67" w14:textId="31CEBA5A" w:rsidR="007E12EE" w:rsidRPr="00E55290" w:rsidRDefault="007E12EE" w:rsidP="007E12EE">
      <w:pPr>
        <w:pStyle w:val="ListParagraph"/>
        <w:numPr>
          <w:ilvl w:val="0"/>
          <w:numId w:val="35"/>
        </w:numPr>
      </w:pPr>
    </w:p>
    <w:p w14:paraId="1A56DEC6" w14:textId="21645277" w:rsidR="006D5804" w:rsidRPr="006D5804" w:rsidRDefault="006D5804" w:rsidP="006D5804">
      <w:pPr>
        <w:jc w:val="center"/>
      </w:pPr>
      <w:r w:rsidRPr="00105C00">
        <w:t>Table 2: Datasets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4242"/>
        <w:gridCol w:w="3043"/>
        <w:gridCol w:w="2970"/>
      </w:tblGrid>
      <w:tr w:rsidR="00EB3789" w:rsidRPr="00C66A6A" w14:paraId="02A08F85" w14:textId="77777777" w:rsidTr="00280833">
        <w:trPr>
          <w:trHeight w:val="260"/>
          <w:tblHeader/>
        </w:trPr>
        <w:tc>
          <w:tcPr>
            <w:tcW w:w="4242" w:type="dxa"/>
            <w:shd w:val="clear" w:color="auto" w:fill="640000"/>
            <w:vAlign w:val="bottom"/>
          </w:tcPr>
          <w:p w14:paraId="27680E45" w14:textId="5BC85092" w:rsidR="005C279B" w:rsidRPr="00C66A6A" w:rsidRDefault="005C279B" w:rsidP="00E426AB">
            <w:pPr>
              <w:rPr>
                <w:sz w:val="20"/>
                <w:szCs w:val="20"/>
              </w:rPr>
            </w:pPr>
            <w:r w:rsidRPr="00C66A6A">
              <w:rPr>
                <w:sz w:val="20"/>
                <w:szCs w:val="20"/>
              </w:rPr>
              <w:t>Program Name</w:t>
            </w:r>
            <w:r w:rsidR="00487849" w:rsidRPr="00407636">
              <w:rPr>
                <w:b/>
                <w:sz w:val="20"/>
                <w:szCs w:val="20"/>
              </w:rPr>
              <w:t xml:space="preserve"> </w:t>
            </w:r>
            <w:r w:rsidR="00487849">
              <w:rPr>
                <w:b/>
                <w:sz w:val="20"/>
                <w:szCs w:val="20"/>
              </w:rPr>
              <w:br/>
            </w:r>
          </w:p>
        </w:tc>
        <w:tc>
          <w:tcPr>
            <w:tcW w:w="3043" w:type="dxa"/>
            <w:shd w:val="clear" w:color="auto" w:fill="640000"/>
            <w:vAlign w:val="bottom"/>
          </w:tcPr>
          <w:p w14:paraId="1712F77C" w14:textId="3C86EF38" w:rsidR="005C279B" w:rsidRPr="00C66A6A" w:rsidRDefault="005C279B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640000"/>
            <w:vAlign w:val="bottom"/>
          </w:tcPr>
          <w:p w14:paraId="4DAD0B8A" w14:textId="73369027" w:rsidR="005C279B" w:rsidRPr="00C66A6A" w:rsidRDefault="005C279B">
            <w:pPr>
              <w:rPr>
                <w:sz w:val="20"/>
                <w:szCs w:val="20"/>
              </w:rPr>
            </w:pPr>
          </w:p>
        </w:tc>
      </w:tr>
      <w:tr w:rsidR="001138A2" w:rsidRPr="00C66A6A" w14:paraId="21508D4B" w14:textId="77777777" w:rsidTr="00280833">
        <w:trPr>
          <w:trHeight w:val="260"/>
        </w:trPr>
        <w:tc>
          <w:tcPr>
            <w:tcW w:w="4242" w:type="dxa"/>
          </w:tcPr>
          <w:p w14:paraId="64AE8162" w14:textId="1AB5C57E" w:rsidR="001138A2" w:rsidRPr="00C66A6A" w:rsidRDefault="001138A2" w:rsidP="001138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010_ReadIn_LINKRX_MEPS_CFs.sas</w:t>
            </w:r>
          </w:p>
        </w:tc>
        <w:tc>
          <w:tcPr>
            <w:tcW w:w="3043" w:type="dxa"/>
          </w:tcPr>
          <w:p w14:paraId="2FF93495" w14:textId="669F36D8" w:rsidR="00DC4F2E" w:rsidRPr="001138A2" w:rsidRDefault="00DC4F2E" w:rsidP="00DE00EA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auto"/>
          </w:tcPr>
          <w:p w14:paraId="06630F59" w14:textId="0507E659" w:rsidR="001138A2" w:rsidRPr="00C66A6A" w:rsidRDefault="001138A2" w:rsidP="001138A2">
            <w:pPr>
              <w:rPr>
                <w:sz w:val="20"/>
                <w:szCs w:val="20"/>
              </w:rPr>
            </w:pPr>
          </w:p>
        </w:tc>
      </w:tr>
      <w:tr w:rsidR="003017BD" w:rsidRPr="00C66A6A" w14:paraId="6C1B040E" w14:textId="77777777" w:rsidTr="00280833">
        <w:trPr>
          <w:trHeight w:val="272"/>
        </w:trPr>
        <w:tc>
          <w:tcPr>
            <w:tcW w:w="4242" w:type="dxa"/>
          </w:tcPr>
          <w:p w14:paraId="2A49466C" w14:textId="1D8C5D61" w:rsidR="003017BD" w:rsidRPr="00C66A6A" w:rsidRDefault="003017BD" w:rsidP="003017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020_ListFreqs_TCs_2013_2018.sas</w:t>
            </w:r>
          </w:p>
        </w:tc>
        <w:tc>
          <w:tcPr>
            <w:tcW w:w="3043" w:type="dxa"/>
          </w:tcPr>
          <w:p w14:paraId="46735040" w14:textId="5A1B958D" w:rsidR="003017BD" w:rsidRPr="00BD7673" w:rsidRDefault="003017BD" w:rsidP="003017BD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auto"/>
          </w:tcPr>
          <w:p w14:paraId="72DBBF2A" w14:textId="77777777" w:rsidR="003017BD" w:rsidRDefault="003716D7" w:rsidP="003017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Lrx13</w:t>
            </w:r>
          </w:p>
          <w:p w14:paraId="50DA91DF" w14:textId="45A74DC4" w:rsidR="003716D7" w:rsidRPr="003017BD" w:rsidRDefault="003716D7" w:rsidP="003017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Lrx18</w:t>
            </w:r>
          </w:p>
        </w:tc>
      </w:tr>
      <w:tr w:rsidR="003017BD" w:rsidRPr="00C66A6A" w14:paraId="3473C64B" w14:textId="77777777" w:rsidTr="00280833">
        <w:trPr>
          <w:trHeight w:val="260"/>
        </w:trPr>
        <w:tc>
          <w:tcPr>
            <w:tcW w:w="4242" w:type="dxa"/>
          </w:tcPr>
          <w:p w14:paraId="63778A70" w14:textId="2CE72496" w:rsidR="003017BD" w:rsidRPr="00C66A6A" w:rsidRDefault="003017BD" w:rsidP="003017BD">
            <w:pPr>
              <w:rPr>
                <w:sz w:val="20"/>
                <w:szCs w:val="20"/>
              </w:rPr>
            </w:pPr>
            <w:bookmarkStart w:id="4" w:name="_Hlk58832512"/>
            <w:r>
              <w:rPr>
                <w:sz w:val="20"/>
                <w:szCs w:val="20"/>
              </w:rPr>
              <w:t>030_CostAndUse_2013_2018_final_v9.sas</w:t>
            </w:r>
          </w:p>
        </w:tc>
        <w:tc>
          <w:tcPr>
            <w:tcW w:w="3043" w:type="dxa"/>
          </w:tcPr>
          <w:p w14:paraId="2FC74601" w14:textId="7DFA5E28" w:rsidR="00FA134C" w:rsidRPr="00FA134C" w:rsidRDefault="00FA134C" w:rsidP="00FA134C">
            <w:pPr>
              <w:rPr>
                <w:b/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auto"/>
          </w:tcPr>
          <w:p w14:paraId="750F35D4" w14:textId="15873332" w:rsidR="003017BD" w:rsidRDefault="003017BD" w:rsidP="00FA13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Unwtd_13</w:t>
            </w:r>
          </w:p>
          <w:p w14:paraId="0D3BA38D" w14:textId="77777777" w:rsidR="003017BD" w:rsidRDefault="003017BD" w:rsidP="003017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Meantab_all_13</w:t>
            </w:r>
          </w:p>
          <w:p w14:paraId="43618FF1" w14:textId="77777777" w:rsidR="003017BD" w:rsidRDefault="003017BD" w:rsidP="003017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Medtab_all_13</w:t>
            </w:r>
          </w:p>
          <w:p w14:paraId="432008A5" w14:textId="77777777" w:rsidR="003017BD" w:rsidRDefault="003017BD" w:rsidP="003017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Mean_med_all_</w:t>
            </w:r>
            <w:proofErr w:type="gramStart"/>
            <w:r>
              <w:rPr>
                <w:sz w:val="20"/>
                <w:szCs w:val="20"/>
              </w:rPr>
              <w:t>13</w:t>
            </w:r>
            <w:proofErr w:type="gramEnd"/>
          </w:p>
          <w:p w14:paraId="059F430C" w14:textId="6472E94C" w:rsidR="003017BD" w:rsidRDefault="003017BD" w:rsidP="003017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Unwtd_18</w:t>
            </w:r>
          </w:p>
          <w:p w14:paraId="49DBD8DC" w14:textId="4D65C661" w:rsidR="003017BD" w:rsidRDefault="003017BD" w:rsidP="003017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Meantab_all_18</w:t>
            </w:r>
          </w:p>
          <w:p w14:paraId="121B3DED" w14:textId="23B67A4B" w:rsidR="003017BD" w:rsidRDefault="003017BD" w:rsidP="003017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Medtab_all_18</w:t>
            </w:r>
          </w:p>
          <w:p w14:paraId="0AD5503C" w14:textId="337D2B25" w:rsidR="003017BD" w:rsidRPr="00C66A6A" w:rsidRDefault="003017BD" w:rsidP="003017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Mean_med_all_18</w:t>
            </w:r>
          </w:p>
        </w:tc>
      </w:tr>
      <w:bookmarkEnd w:id="4"/>
      <w:tr w:rsidR="003B42FF" w:rsidRPr="00C66A6A" w14:paraId="04CCCD8B" w14:textId="77777777" w:rsidTr="00280833">
        <w:trPr>
          <w:trHeight w:val="260"/>
        </w:trPr>
        <w:tc>
          <w:tcPr>
            <w:tcW w:w="4242" w:type="dxa"/>
          </w:tcPr>
          <w:p w14:paraId="588B036F" w14:textId="3A7359DF" w:rsidR="003B42FF" w:rsidRPr="00C66A6A" w:rsidRDefault="003B42FF" w:rsidP="003B42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031_CostAndUse_2013_2018_TC_Xtabs.sas</w:t>
            </w:r>
          </w:p>
        </w:tc>
        <w:tc>
          <w:tcPr>
            <w:tcW w:w="3043" w:type="dxa"/>
          </w:tcPr>
          <w:p w14:paraId="3D19AF8E" w14:textId="1FE16EFD" w:rsidR="00FA134C" w:rsidRPr="00C66A6A" w:rsidRDefault="00FA134C" w:rsidP="00FA134C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auto"/>
          </w:tcPr>
          <w:p w14:paraId="56C72C1E" w14:textId="451A501B" w:rsidR="003B42FF" w:rsidRDefault="003B42FF" w:rsidP="00FA13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Unwtd_13</w:t>
            </w:r>
          </w:p>
          <w:p w14:paraId="31F4721C" w14:textId="77777777" w:rsidR="003B42FF" w:rsidRDefault="003B42FF" w:rsidP="003B42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Meantab_all_13</w:t>
            </w:r>
          </w:p>
          <w:p w14:paraId="09CA75A4" w14:textId="77777777" w:rsidR="003B42FF" w:rsidRDefault="003B42FF" w:rsidP="003B42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Medtab_all_13</w:t>
            </w:r>
          </w:p>
          <w:p w14:paraId="370FC369" w14:textId="77777777" w:rsidR="003B42FF" w:rsidRDefault="003B42FF" w:rsidP="003B42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Mean_med_all_</w:t>
            </w:r>
            <w:proofErr w:type="gramStart"/>
            <w:r>
              <w:rPr>
                <w:sz w:val="20"/>
                <w:szCs w:val="20"/>
              </w:rPr>
              <w:t>13</w:t>
            </w:r>
            <w:proofErr w:type="gramEnd"/>
          </w:p>
          <w:p w14:paraId="72C85AC6" w14:textId="77777777" w:rsidR="003B42FF" w:rsidRDefault="003B42FF" w:rsidP="003B42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Unwtd_18</w:t>
            </w:r>
          </w:p>
          <w:p w14:paraId="0B4F50A6" w14:textId="77777777" w:rsidR="003B42FF" w:rsidRDefault="003B42FF" w:rsidP="003B42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Meantab_all_18</w:t>
            </w:r>
          </w:p>
          <w:p w14:paraId="7CD5A760" w14:textId="77777777" w:rsidR="003B42FF" w:rsidRDefault="003B42FF" w:rsidP="003B42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Medtab_all_18</w:t>
            </w:r>
          </w:p>
          <w:p w14:paraId="1D70A092" w14:textId="2B82FB1F" w:rsidR="003B42FF" w:rsidRPr="00C66A6A" w:rsidRDefault="003B42FF" w:rsidP="003B42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Mean_med_all_18</w:t>
            </w:r>
          </w:p>
        </w:tc>
      </w:tr>
      <w:tr w:rsidR="003B42FF" w:rsidRPr="00C66A6A" w14:paraId="4E934DF5" w14:textId="77777777" w:rsidTr="00280833">
        <w:trPr>
          <w:trHeight w:val="377"/>
        </w:trPr>
        <w:tc>
          <w:tcPr>
            <w:tcW w:w="4242" w:type="dxa"/>
          </w:tcPr>
          <w:p w14:paraId="3FF6126E" w14:textId="764B8F82" w:rsidR="003B42FF" w:rsidRDefault="003B42FF" w:rsidP="003B42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040_CostAndUse_2013_2018_v5.sas</w:t>
            </w:r>
          </w:p>
        </w:tc>
        <w:tc>
          <w:tcPr>
            <w:tcW w:w="3043" w:type="dxa"/>
          </w:tcPr>
          <w:p w14:paraId="219085E8" w14:textId="0A157A93" w:rsidR="003B42FF" w:rsidRPr="00C66A6A" w:rsidRDefault="003B42FF" w:rsidP="003B42FF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auto"/>
          </w:tcPr>
          <w:p w14:paraId="262C1F76" w14:textId="236E4F10" w:rsidR="003B42FF" w:rsidRPr="003B42FF" w:rsidRDefault="00C747AF" w:rsidP="003B42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&lt;prefix&gt;</w:t>
            </w:r>
            <w:r w:rsidR="003B42FF" w:rsidRPr="003B42FF">
              <w:rPr>
                <w:sz w:val="20"/>
                <w:szCs w:val="20"/>
              </w:rPr>
              <w:t>_unwtd_13</w:t>
            </w:r>
          </w:p>
          <w:p w14:paraId="05BFB754" w14:textId="59DBDAAC" w:rsidR="003B42FF" w:rsidRPr="003B42FF" w:rsidRDefault="00C747AF" w:rsidP="003B42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&lt;prefix&gt;</w:t>
            </w:r>
            <w:r w:rsidR="003B42FF" w:rsidRPr="003B42FF">
              <w:rPr>
                <w:sz w:val="20"/>
                <w:szCs w:val="20"/>
              </w:rPr>
              <w:t>_meantab_all_13</w:t>
            </w:r>
          </w:p>
          <w:p w14:paraId="26E8D39B" w14:textId="6260EBB9" w:rsidR="003B42FF" w:rsidRPr="003B42FF" w:rsidRDefault="00C747AF" w:rsidP="003B42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&lt;prefix&gt;</w:t>
            </w:r>
            <w:r w:rsidR="003B42FF" w:rsidRPr="003B42FF">
              <w:rPr>
                <w:sz w:val="20"/>
                <w:szCs w:val="20"/>
              </w:rPr>
              <w:t>_medtab_all_13</w:t>
            </w:r>
          </w:p>
          <w:p w14:paraId="4D0A9CBA" w14:textId="3B3FFFFC" w:rsidR="003B42FF" w:rsidRPr="003B42FF" w:rsidRDefault="00C747AF" w:rsidP="003B42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&lt;prefix&gt;</w:t>
            </w:r>
            <w:r w:rsidR="003B42FF" w:rsidRPr="003B42FF">
              <w:rPr>
                <w:sz w:val="20"/>
                <w:szCs w:val="20"/>
              </w:rPr>
              <w:t>_mean_med_all_13</w:t>
            </w:r>
          </w:p>
          <w:p w14:paraId="2B2B66FC" w14:textId="214C2FFB" w:rsidR="003B42FF" w:rsidRPr="003B42FF" w:rsidRDefault="00C747AF" w:rsidP="003B42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&lt;prefix&gt;</w:t>
            </w:r>
            <w:r w:rsidR="003B42FF" w:rsidRPr="003B42FF">
              <w:rPr>
                <w:sz w:val="20"/>
                <w:szCs w:val="20"/>
              </w:rPr>
              <w:t>_unwtd_18</w:t>
            </w:r>
          </w:p>
          <w:p w14:paraId="3B1A9C1A" w14:textId="02D963F7" w:rsidR="003B42FF" w:rsidRPr="003B42FF" w:rsidRDefault="00C747AF" w:rsidP="003B42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&lt;prefix&gt;</w:t>
            </w:r>
            <w:r w:rsidR="003B42FF" w:rsidRPr="003B42FF">
              <w:rPr>
                <w:sz w:val="20"/>
                <w:szCs w:val="20"/>
              </w:rPr>
              <w:t>_meantab_all_18</w:t>
            </w:r>
          </w:p>
          <w:p w14:paraId="06E36106" w14:textId="68DC9B8C" w:rsidR="003B42FF" w:rsidRPr="003B42FF" w:rsidRDefault="00C747AF" w:rsidP="003B42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&lt;prefix&gt;</w:t>
            </w:r>
            <w:r w:rsidR="003B42FF" w:rsidRPr="003B42FF">
              <w:rPr>
                <w:sz w:val="20"/>
                <w:szCs w:val="20"/>
              </w:rPr>
              <w:t>_medtab_all_18</w:t>
            </w:r>
          </w:p>
          <w:p w14:paraId="35891E25" w14:textId="72483921" w:rsidR="003B42FF" w:rsidRDefault="00C747AF" w:rsidP="003B42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&lt;prefix&gt;</w:t>
            </w:r>
            <w:r w:rsidR="003B42FF" w:rsidRPr="003B42FF">
              <w:rPr>
                <w:sz w:val="20"/>
                <w:szCs w:val="20"/>
              </w:rPr>
              <w:t>_mean_med_all_18</w:t>
            </w:r>
          </w:p>
          <w:p w14:paraId="4DDA3AC0" w14:textId="1DDF5A37" w:rsidR="003B42FF" w:rsidRDefault="003B42FF" w:rsidP="003B42FF">
            <w:pPr>
              <w:rPr>
                <w:sz w:val="20"/>
                <w:szCs w:val="20"/>
              </w:rPr>
            </w:pPr>
          </w:p>
          <w:p w14:paraId="1C94B178" w14:textId="64A65271" w:rsidR="00C747AF" w:rsidRDefault="00C747AF" w:rsidP="003B42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Where prefix </w:t>
            </w:r>
            <w:proofErr w:type="gramStart"/>
            <w:r>
              <w:rPr>
                <w:sz w:val="20"/>
                <w:szCs w:val="20"/>
              </w:rPr>
              <w:t>is:</w:t>
            </w:r>
            <w:proofErr w:type="gramEnd"/>
            <w:r>
              <w:rPr>
                <w:sz w:val="20"/>
                <w:szCs w:val="20"/>
              </w:rPr>
              <w:t xml:space="preserve"> Age, RE (race/ ethnicity), Sex, POV (poverty), INS (insurance), </w:t>
            </w:r>
            <w:r w:rsidR="00F63E78">
              <w:rPr>
                <w:sz w:val="20"/>
                <w:szCs w:val="20"/>
              </w:rPr>
              <w:t xml:space="preserve">or </w:t>
            </w:r>
            <w:r>
              <w:rPr>
                <w:sz w:val="20"/>
                <w:szCs w:val="20"/>
              </w:rPr>
              <w:t>REG</w:t>
            </w:r>
            <w:r w:rsidR="00481530">
              <w:rPr>
                <w:sz w:val="20"/>
                <w:szCs w:val="20"/>
              </w:rPr>
              <w:t xml:space="preserve"> (region)</w:t>
            </w:r>
          </w:p>
          <w:p w14:paraId="4DF09E4A" w14:textId="77777777" w:rsidR="00C747AF" w:rsidRDefault="00C747AF" w:rsidP="003B42FF">
            <w:pPr>
              <w:rPr>
                <w:sz w:val="20"/>
                <w:szCs w:val="20"/>
              </w:rPr>
            </w:pPr>
          </w:p>
          <w:p w14:paraId="406DC7B5" w14:textId="397ECB8A" w:rsidR="003B42FF" w:rsidRPr="00C66A6A" w:rsidRDefault="003B42FF" w:rsidP="003B42FF">
            <w:pPr>
              <w:rPr>
                <w:sz w:val="20"/>
                <w:szCs w:val="20"/>
              </w:rPr>
            </w:pPr>
          </w:p>
        </w:tc>
      </w:tr>
    </w:tbl>
    <w:p w14:paraId="608E2BCC" w14:textId="77777777" w:rsidR="005C279B" w:rsidRPr="005C279B" w:rsidRDefault="005C279B" w:rsidP="005C279B"/>
    <w:p w14:paraId="6D994ED8" w14:textId="0CE6DA4E" w:rsidR="005E268E" w:rsidRDefault="005E268E" w:rsidP="005E268E">
      <w:pPr>
        <w:pStyle w:val="Heading3"/>
      </w:pPr>
      <w:bookmarkStart w:id="5" w:name="_Toc65242475"/>
      <w:r>
        <w:lastRenderedPageBreak/>
        <w:t xml:space="preserve">Project Input </w:t>
      </w:r>
      <w:r w:rsidR="009F3928">
        <w:t>D</w:t>
      </w:r>
      <w:r>
        <w:t xml:space="preserve">atasets </w:t>
      </w:r>
      <w:r w:rsidR="009F3928">
        <w:t>R</w:t>
      </w:r>
      <w:r>
        <w:t>equired</w:t>
      </w:r>
      <w:bookmarkEnd w:id="5"/>
    </w:p>
    <w:p w14:paraId="04D4DFD3" w14:textId="77828108" w:rsidR="005E268E" w:rsidRPr="003427A4" w:rsidRDefault="00624CFC" w:rsidP="0063499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H163v2x</w:t>
      </w:r>
      <w:r w:rsidR="005E268E" w:rsidRPr="00634993">
        <w:rPr>
          <w:b/>
        </w:rPr>
        <w:t>.sas7bdat</w:t>
      </w:r>
      <w:r w:rsidR="005E268E">
        <w:t xml:space="preserve">: </w:t>
      </w:r>
      <w:r>
        <w:t>2013 MEPS Consolidated File, PUF</w:t>
      </w:r>
    </w:p>
    <w:p w14:paraId="4BFFBB20" w14:textId="27E6DB79" w:rsidR="00634993" w:rsidRPr="006B2A74" w:rsidRDefault="00624CFC" w:rsidP="00634993">
      <w:pPr>
        <w:pStyle w:val="ListParagraph"/>
        <w:numPr>
          <w:ilvl w:val="0"/>
          <w:numId w:val="5"/>
        </w:numPr>
        <w:rPr>
          <w:b/>
        </w:rPr>
      </w:pPr>
      <w:r w:rsidRPr="00624CFC">
        <w:rPr>
          <w:b/>
        </w:rPr>
        <w:t>H209</w:t>
      </w:r>
      <w:r w:rsidR="00634993" w:rsidRPr="00E935BF">
        <w:rPr>
          <w:b/>
        </w:rPr>
        <w:t>.sas7bdat</w:t>
      </w:r>
      <w:r w:rsidR="00634993">
        <w:t xml:space="preserve">: </w:t>
      </w:r>
      <w:r>
        <w:t>2018 MEPS Consolidated File, Non-PUF, Non-disguised</w:t>
      </w:r>
    </w:p>
    <w:p w14:paraId="18375B3F" w14:textId="2D9BF054" w:rsidR="004976D9" w:rsidRPr="00624CFC" w:rsidRDefault="00624CFC" w:rsidP="004976D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LNKRX2013</w:t>
      </w:r>
      <w:r w:rsidR="004976D9" w:rsidRPr="004976D9">
        <w:rPr>
          <w:b/>
        </w:rPr>
        <w:t>.sas7bdat</w:t>
      </w:r>
      <w:r w:rsidR="004976D9">
        <w:t xml:space="preserve">: </w:t>
      </w:r>
      <w:r>
        <w:t>PMED data for 2013</w:t>
      </w:r>
    </w:p>
    <w:p w14:paraId="525FA2C0" w14:textId="008EFE15" w:rsidR="00624CFC" w:rsidRPr="00624CFC" w:rsidRDefault="00624CFC" w:rsidP="004976D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LNKRX2018.sas7bdat: </w:t>
      </w:r>
      <w:r>
        <w:t>PMED data for 2018</w:t>
      </w:r>
    </w:p>
    <w:p w14:paraId="184817D4" w14:textId="7C47994F" w:rsidR="00BD109D" w:rsidRPr="00624CFC" w:rsidRDefault="00BD109D" w:rsidP="00BD109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LNKRX2013_v</w:t>
      </w:r>
      <w:proofErr w:type="gramStart"/>
      <w:r>
        <w:rPr>
          <w:b/>
        </w:rPr>
        <w:t>2</w:t>
      </w:r>
      <w:r w:rsidRPr="004976D9">
        <w:rPr>
          <w:b/>
        </w:rPr>
        <w:t>.sas</w:t>
      </w:r>
      <w:proofErr w:type="gramEnd"/>
      <w:r w:rsidRPr="004976D9">
        <w:rPr>
          <w:b/>
        </w:rPr>
        <w:t>7bdat</w:t>
      </w:r>
      <w:r>
        <w:t>: PMED data for 2013, revised to unmask some TCs</w:t>
      </w:r>
    </w:p>
    <w:p w14:paraId="20C6DD16" w14:textId="5D09A964" w:rsidR="00BD109D" w:rsidRPr="00624CFC" w:rsidRDefault="00BD109D" w:rsidP="00BD109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LNKRX2018_v</w:t>
      </w:r>
      <w:proofErr w:type="gramStart"/>
      <w:r>
        <w:rPr>
          <w:b/>
        </w:rPr>
        <w:t>2.sas</w:t>
      </w:r>
      <w:proofErr w:type="gramEnd"/>
      <w:r>
        <w:rPr>
          <w:b/>
        </w:rPr>
        <w:t xml:space="preserve">7bdat: </w:t>
      </w:r>
      <w:r>
        <w:t>PMED data for 2018, revised to unmask some TCs</w:t>
      </w:r>
    </w:p>
    <w:p w14:paraId="08B61584" w14:textId="45FC43C8" w:rsidR="00624CFC" w:rsidRPr="00624CFC" w:rsidRDefault="00624CFC" w:rsidP="004976D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TC_CAT.sas7bdat: </w:t>
      </w:r>
      <w:r>
        <w:t>therapeutic class categories from 2013 &amp; 2018</w:t>
      </w:r>
      <w:r w:rsidR="005F21A7">
        <w:t xml:space="preserve">. These are </w:t>
      </w:r>
      <w:r>
        <w:t>2 different data files, same name, stored in separate, year-specific folders</w:t>
      </w:r>
      <w:r w:rsidR="00DC4F2E">
        <w:t>, and copied into the task</w:t>
      </w:r>
      <w:r w:rsidR="00D91433">
        <w:t>-specific data</w:t>
      </w:r>
      <w:r w:rsidR="00DC4F2E">
        <w:t xml:space="preserve"> folder</w:t>
      </w:r>
      <w:r w:rsidR="005F21A7">
        <w:t xml:space="preserve"> </w:t>
      </w:r>
      <w:r w:rsidR="00D91433">
        <w:t xml:space="preserve">with the appropriate year appended to each </w:t>
      </w:r>
      <w:proofErr w:type="gramStart"/>
      <w:r w:rsidR="00D91433">
        <w:t>filename</w:t>
      </w:r>
      <w:proofErr w:type="gramEnd"/>
    </w:p>
    <w:p w14:paraId="4C1F2161" w14:textId="6D018BBB" w:rsidR="00AF3205" w:rsidRDefault="0085360A" w:rsidP="00095153">
      <w:pPr>
        <w:pStyle w:val="Heading3"/>
      </w:pPr>
      <w:bookmarkStart w:id="6" w:name="_Toc65242476"/>
      <w:r>
        <w:t xml:space="preserve">Project </w:t>
      </w:r>
      <w:r w:rsidR="00AF3205">
        <w:t xml:space="preserve">Output </w:t>
      </w:r>
      <w:r w:rsidR="000B2B85">
        <w:t>data</w:t>
      </w:r>
      <w:r w:rsidR="005E268E">
        <w:t xml:space="preserve"> </w:t>
      </w:r>
      <w:r w:rsidR="000B2B85">
        <w:t>set</w:t>
      </w:r>
      <w:r w:rsidR="00AF3205">
        <w:t xml:space="preserve">s </w:t>
      </w:r>
      <w:proofErr w:type="gramStart"/>
      <w:r w:rsidR="00AF3205">
        <w:t>produced</w:t>
      </w:r>
      <w:bookmarkEnd w:id="6"/>
      <w:proofErr w:type="gramEnd"/>
    </w:p>
    <w:p w14:paraId="5B17C46E" w14:textId="1932A2C7" w:rsidR="00624CFC" w:rsidRPr="00624CFC" w:rsidRDefault="00624CFC" w:rsidP="00624CFC">
      <w:pPr>
        <w:pStyle w:val="ListParagraph"/>
        <w:numPr>
          <w:ilvl w:val="0"/>
          <w:numId w:val="5"/>
        </w:numPr>
        <w:rPr>
          <w:b/>
        </w:rPr>
      </w:pPr>
      <w:r w:rsidRPr="00624CFC">
        <w:rPr>
          <w:b/>
        </w:rPr>
        <w:t>TC_AP_AD_1318.sas7bdat</w:t>
      </w:r>
      <w:r>
        <w:rPr>
          <w:b/>
        </w:rPr>
        <w:t>:</w:t>
      </w:r>
      <w:r w:rsidRPr="00624CFC">
        <w:rPr>
          <w:b/>
        </w:rPr>
        <w:t xml:space="preserve"> </w:t>
      </w:r>
      <w:r w:rsidRPr="00624CFC">
        <w:t>Therapeutic class informa</w:t>
      </w:r>
      <w:r>
        <w:t xml:space="preserve">tion </w:t>
      </w:r>
      <w:r w:rsidR="00D66147">
        <w:t xml:space="preserve">for psychotherapeutic drugs </w:t>
      </w:r>
      <w:r>
        <w:t xml:space="preserve">for 2013 and 2018 </w:t>
      </w:r>
      <w:proofErr w:type="gramStart"/>
      <w:r>
        <w:t>combined</w:t>
      </w:r>
      <w:proofErr w:type="gramEnd"/>
    </w:p>
    <w:p w14:paraId="39D7A633" w14:textId="0E36290B" w:rsidR="00624CFC" w:rsidRPr="009566D4" w:rsidRDefault="00624CFC" w:rsidP="00624CFC">
      <w:pPr>
        <w:pStyle w:val="ListParagraph"/>
        <w:numPr>
          <w:ilvl w:val="0"/>
          <w:numId w:val="5"/>
        </w:numPr>
        <w:rPr>
          <w:b/>
        </w:rPr>
      </w:pPr>
      <w:r w:rsidRPr="00624CFC">
        <w:rPr>
          <w:b/>
        </w:rPr>
        <w:t>LINKRX_CF_201</w:t>
      </w:r>
      <w:r w:rsidR="009566D4">
        <w:rPr>
          <w:b/>
        </w:rPr>
        <w:t>3</w:t>
      </w:r>
      <w:r w:rsidRPr="00624CFC">
        <w:rPr>
          <w:b/>
        </w:rPr>
        <w:t>.sas7bdat</w:t>
      </w:r>
      <w:r>
        <w:rPr>
          <w:b/>
        </w:rPr>
        <w:t xml:space="preserve">: </w:t>
      </w:r>
      <w:r>
        <w:t xml:space="preserve">File combining LNKRX data and </w:t>
      </w:r>
      <w:r w:rsidR="0090289B">
        <w:t xml:space="preserve">consolidated </w:t>
      </w:r>
      <w:proofErr w:type="gramStart"/>
      <w:r w:rsidR="0090289B">
        <w:t>full-year</w:t>
      </w:r>
      <w:proofErr w:type="gramEnd"/>
      <w:r w:rsidR="0090289B">
        <w:t xml:space="preserve"> (</w:t>
      </w:r>
      <w:r>
        <w:t>CF</w:t>
      </w:r>
      <w:r w:rsidR="0090289B">
        <w:t>)</w:t>
      </w:r>
      <w:r>
        <w:t xml:space="preserve"> data</w:t>
      </w:r>
    </w:p>
    <w:p w14:paraId="140EB89F" w14:textId="71562569" w:rsidR="009566D4" w:rsidRPr="004F7F44" w:rsidRDefault="009566D4" w:rsidP="009566D4">
      <w:pPr>
        <w:pStyle w:val="ListParagraph"/>
        <w:numPr>
          <w:ilvl w:val="0"/>
          <w:numId w:val="5"/>
        </w:numPr>
        <w:rPr>
          <w:b/>
        </w:rPr>
      </w:pPr>
      <w:r w:rsidRPr="00624CFC">
        <w:rPr>
          <w:b/>
        </w:rPr>
        <w:t>LINKRX_CF_2018.sas7bdat</w:t>
      </w:r>
      <w:r>
        <w:rPr>
          <w:b/>
        </w:rPr>
        <w:t xml:space="preserve">: </w:t>
      </w:r>
      <w:r>
        <w:t xml:space="preserve">File combining LNKRX data and CF </w:t>
      </w:r>
      <w:proofErr w:type="gramStart"/>
      <w:r>
        <w:t>data</w:t>
      </w:r>
      <w:proofErr w:type="gramEnd"/>
    </w:p>
    <w:p w14:paraId="710D15AF" w14:textId="4C73FFBB" w:rsidR="00D66147" w:rsidRPr="00D66147" w:rsidRDefault="00D66147" w:rsidP="00D66147">
      <w:pPr>
        <w:pStyle w:val="ListParagraph"/>
        <w:numPr>
          <w:ilvl w:val="0"/>
          <w:numId w:val="5"/>
        </w:numPr>
        <w:rPr>
          <w:b/>
        </w:rPr>
      </w:pPr>
      <w:r w:rsidRPr="00D66147">
        <w:rPr>
          <w:b/>
        </w:rPr>
        <w:t>Unwtd_13</w:t>
      </w:r>
      <w:r>
        <w:rPr>
          <w:b/>
        </w:rPr>
        <w:t xml:space="preserve">: </w:t>
      </w:r>
      <w:r>
        <w:t>File includes unweighted estimates</w:t>
      </w:r>
      <w:r w:rsidR="00B96B03">
        <w:t xml:space="preserve"> (counts, means, variances)</w:t>
      </w:r>
      <w:r>
        <w:t xml:space="preserve"> of total cost and use (number of persons with at least one fill and number of fills), for TCs, TC Subclasses, and TC Sub-subclasses, for 2013. </w:t>
      </w:r>
    </w:p>
    <w:p w14:paraId="1E05DDDA" w14:textId="14070D27" w:rsidR="00D66147" w:rsidRPr="00D66147" w:rsidRDefault="00D66147" w:rsidP="00D66147">
      <w:pPr>
        <w:pStyle w:val="ListParagraph"/>
        <w:numPr>
          <w:ilvl w:val="0"/>
          <w:numId w:val="5"/>
        </w:numPr>
        <w:rPr>
          <w:b/>
        </w:rPr>
      </w:pPr>
      <w:r w:rsidRPr="00D66147">
        <w:rPr>
          <w:b/>
        </w:rPr>
        <w:t>Meantab_all_13</w:t>
      </w:r>
      <w:r w:rsidR="00B96B03">
        <w:rPr>
          <w:b/>
        </w:rPr>
        <w:t xml:space="preserve">: </w:t>
      </w:r>
      <w:r w:rsidR="00B96B03">
        <w:t xml:space="preserve">File includes weighted estimates (counts, means, variances), from proc </w:t>
      </w:r>
      <w:proofErr w:type="spellStart"/>
      <w:r w:rsidR="00B96B03">
        <w:t>surveymeans</w:t>
      </w:r>
      <w:proofErr w:type="spellEnd"/>
      <w:r w:rsidR="00B96B03">
        <w:t>, of total cost and use (number of persons with at least one fill and number of fills), for TCs, TC Subclasses, and TC Sub-subclasses (with domain stacking), for 2013.</w:t>
      </w:r>
    </w:p>
    <w:p w14:paraId="621CB0A9" w14:textId="599BCD0E" w:rsidR="00D66147" w:rsidRPr="00D66147" w:rsidRDefault="00D66147" w:rsidP="00D66147">
      <w:pPr>
        <w:pStyle w:val="ListParagraph"/>
        <w:numPr>
          <w:ilvl w:val="0"/>
          <w:numId w:val="5"/>
        </w:numPr>
        <w:rPr>
          <w:b/>
        </w:rPr>
      </w:pPr>
      <w:r w:rsidRPr="00D66147">
        <w:rPr>
          <w:b/>
        </w:rPr>
        <w:t>Medtab_all_13</w:t>
      </w:r>
      <w:r w:rsidR="00B96B03">
        <w:rPr>
          <w:b/>
        </w:rPr>
        <w:t xml:space="preserve">: </w:t>
      </w:r>
      <w:r w:rsidR="00B96B03">
        <w:t xml:space="preserve">File includes weighted medians, from proc </w:t>
      </w:r>
      <w:proofErr w:type="spellStart"/>
      <w:r w:rsidR="00B96B03">
        <w:t>surveymeans</w:t>
      </w:r>
      <w:proofErr w:type="spellEnd"/>
      <w:r w:rsidR="00B96B03">
        <w:t>, of total cost and use (number of persons with at least one fill and number of fills), for TCs, TC Subclasses, and TC Sub-subclasses, for 2013.</w:t>
      </w:r>
    </w:p>
    <w:p w14:paraId="01B233A4" w14:textId="41BF9CAC" w:rsidR="00D66147" w:rsidRPr="00D66147" w:rsidRDefault="00D66147" w:rsidP="00D66147">
      <w:pPr>
        <w:pStyle w:val="ListParagraph"/>
        <w:numPr>
          <w:ilvl w:val="0"/>
          <w:numId w:val="5"/>
        </w:numPr>
        <w:rPr>
          <w:b/>
        </w:rPr>
      </w:pPr>
      <w:r w:rsidRPr="00D66147">
        <w:rPr>
          <w:b/>
        </w:rPr>
        <w:t>Mean_med_all_13</w:t>
      </w:r>
      <w:r w:rsidR="00B96B03">
        <w:rPr>
          <w:b/>
        </w:rPr>
        <w:t xml:space="preserve">: </w:t>
      </w:r>
      <w:r w:rsidR="00B96B03">
        <w:t xml:space="preserve">File is the result of merging all three data files above (unweighted, means, and medians) into one data set, for </w:t>
      </w:r>
      <w:proofErr w:type="gramStart"/>
      <w:r w:rsidR="00B96B03">
        <w:t>2013</w:t>
      </w:r>
      <w:proofErr w:type="gramEnd"/>
    </w:p>
    <w:p w14:paraId="2C73D1CD" w14:textId="402C8681" w:rsidR="00D66147" w:rsidRPr="00D66147" w:rsidRDefault="00D66147" w:rsidP="00D66147">
      <w:pPr>
        <w:pStyle w:val="ListParagraph"/>
        <w:numPr>
          <w:ilvl w:val="0"/>
          <w:numId w:val="5"/>
        </w:numPr>
        <w:rPr>
          <w:b/>
        </w:rPr>
      </w:pPr>
      <w:r w:rsidRPr="00D66147">
        <w:rPr>
          <w:b/>
        </w:rPr>
        <w:t>Unwtd_18</w:t>
      </w:r>
      <w:r>
        <w:rPr>
          <w:b/>
        </w:rPr>
        <w:t xml:space="preserve">: </w:t>
      </w:r>
      <w:r w:rsidR="00B96B03">
        <w:t xml:space="preserve">File includes unweighted estimates (counts, means, variances) of </w:t>
      </w:r>
      <w:r>
        <w:t xml:space="preserve">total cost and use (number of persons with at least one fill and number of fills), for TCs, TC Subclasses, and TC Sub-subclasses, for </w:t>
      </w:r>
      <w:proofErr w:type="gramStart"/>
      <w:r>
        <w:t>2018</w:t>
      </w:r>
      <w:proofErr w:type="gramEnd"/>
    </w:p>
    <w:p w14:paraId="72447A4B" w14:textId="53615329" w:rsidR="00D66147" w:rsidRPr="00D66147" w:rsidRDefault="00D66147" w:rsidP="00D66147">
      <w:pPr>
        <w:pStyle w:val="ListParagraph"/>
        <w:numPr>
          <w:ilvl w:val="0"/>
          <w:numId w:val="5"/>
        </w:numPr>
        <w:rPr>
          <w:b/>
        </w:rPr>
      </w:pPr>
      <w:r w:rsidRPr="00D66147">
        <w:rPr>
          <w:b/>
        </w:rPr>
        <w:t>Meantab_all_18</w:t>
      </w:r>
      <w:r w:rsidR="00B96B03">
        <w:rPr>
          <w:b/>
        </w:rPr>
        <w:t xml:space="preserve">: </w:t>
      </w:r>
      <w:r w:rsidR="00B96B03">
        <w:t xml:space="preserve">File includes weighted estimates (counts, means, variances), from proc </w:t>
      </w:r>
      <w:proofErr w:type="spellStart"/>
      <w:r w:rsidR="00B96B03">
        <w:t>surveymeans</w:t>
      </w:r>
      <w:proofErr w:type="spellEnd"/>
      <w:r w:rsidR="00B96B03">
        <w:t xml:space="preserve">, of total cost and use (number of persons with at least one fill and number of fills), for TCs, TC Subclasses, and TC Sub-subclasses (with domain stacking), for </w:t>
      </w:r>
      <w:proofErr w:type="gramStart"/>
      <w:r w:rsidR="00B96B03">
        <w:t>2018</w:t>
      </w:r>
      <w:proofErr w:type="gramEnd"/>
    </w:p>
    <w:p w14:paraId="48147167" w14:textId="5B36C681" w:rsidR="00D66147" w:rsidRPr="00D66147" w:rsidRDefault="00D66147" w:rsidP="00D66147">
      <w:pPr>
        <w:pStyle w:val="ListParagraph"/>
        <w:numPr>
          <w:ilvl w:val="0"/>
          <w:numId w:val="5"/>
        </w:numPr>
        <w:rPr>
          <w:b/>
        </w:rPr>
      </w:pPr>
      <w:r w:rsidRPr="00D66147">
        <w:rPr>
          <w:b/>
        </w:rPr>
        <w:t>Medtab_all_18</w:t>
      </w:r>
      <w:r w:rsidR="00B96B03">
        <w:rPr>
          <w:b/>
        </w:rPr>
        <w:t xml:space="preserve">: </w:t>
      </w:r>
      <w:r w:rsidR="00B96B03">
        <w:t xml:space="preserve">File includes weighted medians, from proc </w:t>
      </w:r>
      <w:proofErr w:type="spellStart"/>
      <w:r w:rsidR="00B96B03">
        <w:t>surveymeans</w:t>
      </w:r>
      <w:proofErr w:type="spellEnd"/>
      <w:r w:rsidR="00B96B03">
        <w:t xml:space="preserve">, of total cost and use (number of persons with at least one fill and number of fills), for TCs, TC Subclasses, and TC Sub-subclasses, for </w:t>
      </w:r>
      <w:proofErr w:type="gramStart"/>
      <w:r w:rsidR="00B96B03">
        <w:t>2018</w:t>
      </w:r>
      <w:proofErr w:type="gramEnd"/>
    </w:p>
    <w:p w14:paraId="10E6184C" w14:textId="78D054A8" w:rsidR="00D66147" w:rsidRDefault="00D66147" w:rsidP="00D66147">
      <w:pPr>
        <w:pStyle w:val="ListParagraph"/>
        <w:numPr>
          <w:ilvl w:val="0"/>
          <w:numId w:val="5"/>
        </w:numPr>
        <w:rPr>
          <w:b/>
        </w:rPr>
      </w:pPr>
      <w:r w:rsidRPr="00D66147">
        <w:rPr>
          <w:b/>
        </w:rPr>
        <w:t>Mean_med_all_18</w:t>
      </w:r>
      <w:r w:rsidR="00B96B03">
        <w:rPr>
          <w:b/>
        </w:rPr>
        <w:t xml:space="preserve">: </w:t>
      </w:r>
      <w:r w:rsidR="00B96B03">
        <w:t xml:space="preserve">File is the result of merging all three data files above (unweighted, means, and medians) into one data set, for </w:t>
      </w:r>
      <w:proofErr w:type="gramStart"/>
      <w:r w:rsidR="00B96B03">
        <w:t>2018</w:t>
      </w:r>
      <w:proofErr w:type="gramEnd"/>
    </w:p>
    <w:p w14:paraId="28CD5B48" w14:textId="78EFDE20" w:rsidR="00D66147" w:rsidRPr="00F65755" w:rsidRDefault="00B96B03" w:rsidP="00D66147">
      <w:pPr>
        <w:pStyle w:val="ListParagraph"/>
        <w:numPr>
          <w:ilvl w:val="0"/>
          <w:numId w:val="5"/>
        </w:numPr>
      </w:pPr>
      <w:r>
        <w:t xml:space="preserve">Each data file below includes the same content as the corresponding files described above, but with a </w:t>
      </w:r>
      <w:r w:rsidRPr="0081780A">
        <w:t>socio-demographic</w:t>
      </w:r>
      <w:r w:rsidR="0090289B">
        <w:t xml:space="preserve"> (SD)</w:t>
      </w:r>
      <w:r>
        <w:t xml:space="preserve"> variable included as a domain. The specific SD</w:t>
      </w:r>
      <w:r w:rsidR="0090289B">
        <w:t xml:space="preserve"> variable</w:t>
      </w:r>
      <w:r>
        <w:t xml:space="preserve"> is identified by the prefix in the data set name.</w:t>
      </w:r>
      <w:r w:rsidR="00D66147" w:rsidRPr="00F65755">
        <w:t xml:space="preserve"> Prefix</w:t>
      </w:r>
      <w:r>
        <w:t>es</w:t>
      </w:r>
      <w:r w:rsidR="00D66147" w:rsidRPr="00F65755">
        <w:t xml:space="preserve"> </w:t>
      </w:r>
      <w:proofErr w:type="gramStart"/>
      <w:r>
        <w:t>include</w:t>
      </w:r>
      <w:r w:rsidR="00D66147" w:rsidRPr="00F65755">
        <w:t>:</w:t>
      </w:r>
      <w:proofErr w:type="gramEnd"/>
      <w:r w:rsidR="00D66147" w:rsidRPr="00F65755">
        <w:t xml:space="preserve"> Age, RE (race/ethnicity), Sex, POV (poverty), INS (insurance), or REG (region)</w:t>
      </w:r>
      <w:r>
        <w:t xml:space="preserve">. </w:t>
      </w:r>
    </w:p>
    <w:p w14:paraId="6137F15C" w14:textId="5A960AEF" w:rsidR="00D66147" w:rsidRPr="00D66147" w:rsidRDefault="00D66147" w:rsidP="00F65755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&lt;</w:t>
      </w:r>
      <w:r w:rsidRPr="00D66147">
        <w:rPr>
          <w:b/>
        </w:rPr>
        <w:t>prefix&gt;_unwtd_13</w:t>
      </w:r>
    </w:p>
    <w:p w14:paraId="3A33416C" w14:textId="77777777" w:rsidR="00D66147" w:rsidRPr="00D66147" w:rsidRDefault="00D66147" w:rsidP="00F65755">
      <w:pPr>
        <w:pStyle w:val="ListParagraph"/>
        <w:numPr>
          <w:ilvl w:val="1"/>
          <w:numId w:val="5"/>
        </w:numPr>
        <w:rPr>
          <w:b/>
        </w:rPr>
      </w:pPr>
      <w:r w:rsidRPr="00D66147">
        <w:rPr>
          <w:b/>
        </w:rPr>
        <w:t>&lt;prefix&gt;_meantab_all_13</w:t>
      </w:r>
    </w:p>
    <w:p w14:paraId="5B618E65" w14:textId="77777777" w:rsidR="00D66147" w:rsidRPr="00D66147" w:rsidRDefault="00D66147" w:rsidP="00F65755">
      <w:pPr>
        <w:pStyle w:val="ListParagraph"/>
        <w:numPr>
          <w:ilvl w:val="1"/>
          <w:numId w:val="5"/>
        </w:numPr>
        <w:rPr>
          <w:b/>
        </w:rPr>
      </w:pPr>
      <w:r w:rsidRPr="00D66147">
        <w:rPr>
          <w:b/>
        </w:rPr>
        <w:t>&lt;prefix&gt;_medtab_all_13</w:t>
      </w:r>
    </w:p>
    <w:p w14:paraId="48A0A171" w14:textId="77777777" w:rsidR="00D66147" w:rsidRPr="00D66147" w:rsidRDefault="00D66147" w:rsidP="00F65755">
      <w:pPr>
        <w:pStyle w:val="ListParagraph"/>
        <w:numPr>
          <w:ilvl w:val="1"/>
          <w:numId w:val="5"/>
        </w:numPr>
        <w:rPr>
          <w:b/>
        </w:rPr>
      </w:pPr>
      <w:r w:rsidRPr="00D66147">
        <w:rPr>
          <w:b/>
        </w:rPr>
        <w:t>&lt;prefix&gt;_mean_med_all_13</w:t>
      </w:r>
    </w:p>
    <w:p w14:paraId="555E4357" w14:textId="77777777" w:rsidR="00D66147" w:rsidRPr="00D66147" w:rsidRDefault="00D66147" w:rsidP="00F65755">
      <w:pPr>
        <w:pStyle w:val="ListParagraph"/>
        <w:numPr>
          <w:ilvl w:val="1"/>
          <w:numId w:val="5"/>
        </w:numPr>
        <w:rPr>
          <w:b/>
        </w:rPr>
      </w:pPr>
      <w:r w:rsidRPr="00D66147">
        <w:rPr>
          <w:b/>
        </w:rPr>
        <w:lastRenderedPageBreak/>
        <w:t>&lt;prefix&gt;_unwtd_18</w:t>
      </w:r>
    </w:p>
    <w:p w14:paraId="1C4A51E6" w14:textId="77777777" w:rsidR="00D66147" w:rsidRPr="00D66147" w:rsidRDefault="00D66147" w:rsidP="00F65755">
      <w:pPr>
        <w:pStyle w:val="ListParagraph"/>
        <w:numPr>
          <w:ilvl w:val="1"/>
          <w:numId w:val="5"/>
        </w:numPr>
        <w:rPr>
          <w:b/>
        </w:rPr>
      </w:pPr>
      <w:r w:rsidRPr="00D66147">
        <w:rPr>
          <w:b/>
        </w:rPr>
        <w:t>&lt;prefix&gt;_meantab_all_18</w:t>
      </w:r>
    </w:p>
    <w:p w14:paraId="6A34B09B" w14:textId="77777777" w:rsidR="00D66147" w:rsidRPr="00D66147" w:rsidRDefault="00D66147" w:rsidP="00F65755">
      <w:pPr>
        <w:pStyle w:val="ListParagraph"/>
        <w:numPr>
          <w:ilvl w:val="1"/>
          <w:numId w:val="5"/>
        </w:numPr>
        <w:rPr>
          <w:b/>
        </w:rPr>
      </w:pPr>
      <w:r w:rsidRPr="00D66147">
        <w:rPr>
          <w:b/>
        </w:rPr>
        <w:t>&lt;prefix&gt;_medtab_all_18</w:t>
      </w:r>
    </w:p>
    <w:p w14:paraId="0268122A" w14:textId="77777777" w:rsidR="00D66147" w:rsidRPr="00D66147" w:rsidRDefault="00D66147" w:rsidP="00F65755">
      <w:pPr>
        <w:pStyle w:val="ListParagraph"/>
        <w:numPr>
          <w:ilvl w:val="1"/>
          <w:numId w:val="5"/>
        </w:numPr>
        <w:rPr>
          <w:b/>
        </w:rPr>
      </w:pPr>
      <w:r w:rsidRPr="00D66147">
        <w:rPr>
          <w:b/>
        </w:rPr>
        <w:t>&lt;prefix&gt;_mean_med_all_18</w:t>
      </w:r>
    </w:p>
    <w:p w14:paraId="6D8D7F4A" w14:textId="77777777" w:rsidR="00D66147" w:rsidRPr="00D66147" w:rsidRDefault="00D66147" w:rsidP="008E7341">
      <w:pPr>
        <w:pStyle w:val="ListParagraph"/>
        <w:rPr>
          <w:b/>
        </w:rPr>
      </w:pPr>
    </w:p>
    <w:p w14:paraId="594C57B0" w14:textId="71CD2075" w:rsidR="00AF3205" w:rsidRDefault="00521A3F" w:rsidP="00537E6D">
      <w:pPr>
        <w:pStyle w:val="Heading2"/>
        <w:spacing w:before="0" w:line="240" w:lineRule="auto"/>
      </w:pPr>
      <w:bookmarkStart w:id="7" w:name="_Toc65242477"/>
      <w:r>
        <w:t xml:space="preserve">Key </w:t>
      </w:r>
      <w:r w:rsidR="005A64F8">
        <w:t>D</w:t>
      </w:r>
      <w:r>
        <w:t>efinitions</w:t>
      </w:r>
      <w:bookmarkEnd w:id="7"/>
    </w:p>
    <w:p w14:paraId="08162395" w14:textId="77777777" w:rsidR="00014EC7" w:rsidRDefault="00014EC7" w:rsidP="00014EC7">
      <w:pPr>
        <w:pStyle w:val="ListParagraph"/>
        <w:numPr>
          <w:ilvl w:val="0"/>
          <w:numId w:val="5"/>
        </w:numPr>
      </w:pPr>
      <w:r>
        <w:t>CF = consolidated full-year files</w:t>
      </w:r>
    </w:p>
    <w:p w14:paraId="303533E6" w14:textId="248596F1" w:rsidR="008426DC" w:rsidRDefault="008426DC" w:rsidP="00D23757">
      <w:pPr>
        <w:pStyle w:val="ListParagraph"/>
        <w:numPr>
          <w:ilvl w:val="0"/>
          <w:numId w:val="5"/>
        </w:numPr>
      </w:pPr>
      <w:r>
        <w:t>TC = therapeutic class</w:t>
      </w:r>
      <w:r w:rsidR="00D23757">
        <w:t xml:space="preserve"> (e.g., </w:t>
      </w:r>
      <w:r w:rsidR="00D23757" w:rsidRPr="00D23757">
        <w:t>242 PSYCHOTHERAPEUTIC AGENTS</w:t>
      </w:r>
      <w:r w:rsidR="00D23757">
        <w:t>)</w:t>
      </w:r>
    </w:p>
    <w:p w14:paraId="55209A55" w14:textId="04D72508" w:rsidR="00AB0C42" w:rsidRDefault="00AB0C42" w:rsidP="00D23757">
      <w:pPr>
        <w:pStyle w:val="ListParagraph"/>
        <w:numPr>
          <w:ilvl w:val="0"/>
          <w:numId w:val="5"/>
        </w:numPr>
      </w:pPr>
      <w:r>
        <w:t>SUB = subclass</w:t>
      </w:r>
      <w:r w:rsidR="00D23757">
        <w:t xml:space="preserve"> (e.g., </w:t>
      </w:r>
      <w:r w:rsidR="00D23757" w:rsidRPr="00D23757">
        <w:t>249 ANTIDEPRESSANTS</w:t>
      </w:r>
      <w:r w:rsidR="00D23757">
        <w:t>)</w:t>
      </w:r>
      <w:r w:rsidR="00E17F48">
        <w:t xml:space="preserve">. Of note, there are only 2 subclasses: antidepressants and antipsychotics. There are </w:t>
      </w:r>
      <w:proofErr w:type="gramStart"/>
      <w:r w:rsidR="00E17F48">
        <w:t>a number of</w:t>
      </w:r>
      <w:proofErr w:type="gramEnd"/>
      <w:r w:rsidR="00E17F48">
        <w:t xml:space="preserve"> sub-subclasses under each of these 2 subclasses.</w:t>
      </w:r>
    </w:p>
    <w:p w14:paraId="3F5C2C6E" w14:textId="2D255BED" w:rsidR="00AB0C42" w:rsidRDefault="00AB0C42" w:rsidP="00D23757">
      <w:pPr>
        <w:pStyle w:val="ListParagraph"/>
        <w:numPr>
          <w:ilvl w:val="0"/>
          <w:numId w:val="5"/>
        </w:numPr>
      </w:pPr>
      <w:r>
        <w:t>SS = sub-subclass</w:t>
      </w:r>
      <w:r w:rsidR="00D23757">
        <w:t xml:space="preserve"> (e.g., </w:t>
      </w:r>
      <w:r w:rsidR="0037505F">
        <w:t>308 SSNRI ANTIDEPRESSANTS</w:t>
      </w:r>
      <w:r w:rsidR="00D23757">
        <w:t>)</w:t>
      </w:r>
      <w:r w:rsidR="00E17F48">
        <w:t>. Of note, SS is nested within SUB, and SUB is nested within TC.</w:t>
      </w:r>
    </w:p>
    <w:p w14:paraId="4F2F7C7E" w14:textId="2533C172" w:rsidR="00AB0C42" w:rsidRPr="00521A3F" w:rsidRDefault="00AB0C42" w:rsidP="008426DC">
      <w:pPr>
        <w:pStyle w:val="ListParagraph"/>
        <w:numPr>
          <w:ilvl w:val="0"/>
          <w:numId w:val="5"/>
        </w:numPr>
      </w:pPr>
      <w:proofErr w:type="spellStart"/>
      <w:r w:rsidRPr="00F65755">
        <w:rPr>
          <w:i/>
        </w:rPr>
        <w:t>yy</w:t>
      </w:r>
      <w:proofErr w:type="spellEnd"/>
      <w:r>
        <w:t xml:space="preserve"> = as a filename suffix indicates that the file referenced will have both a 2013 and 2018 version</w:t>
      </w:r>
    </w:p>
    <w:p w14:paraId="75DA4F9C" w14:textId="5779235F" w:rsidR="00BC3A71" w:rsidRPr="0015167F" w:rsidRDefault="00BC3A71" w:rsidP="00EF446C">
      <w:pPr>
        <w:pStyle w:val="ListParagraph"/>
        <w:numPr>
          <w:ilvl w:val="1"/>
          <w:numId w:val="47"/>
        </w:numPr>
      </w:pPr>
    </w:p>
    <w:sectPr w:rsidR="00BC3A71" w:rsidRPr="0015167F" w:rsidSect="00A472C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15149" w14:textId="77777777" w:rsidR="009E67AA" w:rsidRDefault="009E67AA" w:rsidP="00AC5DF9">
      <w:pPr>
        <w:spacing w:after="0" w:line="240" w:lineRule="auto"/>
      </w:pPr>
      <w:r>
        <w:separator/>
      </w:r>
    </w:p>
  </w:endnote>
  <w:endnote w:type="continuationSeparator" w:id="0">
    <w:p w14:paraId="24CD5F34" w14:textId="77777777" w:rsidR="009E67AA" w:rsidRDefault="009E67AA" w:rsidP="00AC5DF9">
      <w:pPr>
        <w:spacing w:after="0" w:line="240" w:lineRule="auto"/>
      </w:pPr>
      <w:r>
        <w:continuationSeparator/>
      </w:r>
    </w:p>
  </w:endnote>
  <w:endnote w:type="continuationNotice" w:id="1">
    <w:p w14:paraId="673DA449" w14:textId="77777777" w:rsidR="009E67AA" w:rsidRDefault="009E67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05EB4" w14:textId="7D8E12BD" w:rsidR="00736018" w:rsidRPr="00736018" w:rsidRDefault="00736018" w:rsidP="007B5497">
    <w:pPr>
      <w:pStyle w:val="Footer"/>
      <w:pBdr>
        <w:top w:val="single" w:sz="4" w:space="1" w:color="640000"/>
      </w:pBdr>
      <w:rPr>
        <w:sz w:val="20"/>
        <w:szCs w:val="20"/>
      </w:rPr>
    </w:pPr>
    <w:r w:rsidRPr="00736018">
      <w:rPr>
        <w:sz w:val="20"/>
        <w:szCs w:val="20"/>
      </w:rPr>
      <w:t>Antipsychotics and Antidepressants/234</w:t>
    </w:r>
    <w:r w:rsidRPr="00736018">
      <w:rPr>
        <w:sz w:val="20"/>
        <w:szCs w:val="20"/>
      </w:rPr>
      <w:tab/>
      <w:t xml:space="preserve">Page </w:t>
    </w:r>
    <w:r w:rsidRPr="00EF446C">
      <w:rPr>
        <w:sz w:val="20"/>
        <w:szCs w:val="20"/>
      </w:rPr>
      <w:fldChar w:fldCharType="begin"/>
    </w:r>
    <w:r w:rsidRPr="00EF446C">
      <w:rPr>
        <w:sz w:val="20"/>
        <w:szCs w:val="20"/>
      </w:rPr>
      <w:instrText xml:space="preserve"> PAGE   \* MERGEFORMAT </w:instrText>
    </w:r>
    <w:r w:rsidRPr="00EF446C">
      <w:rPr>
        <w:sz w:val="20"/>
        <w:szCs w:val="20"/>
      </w:rPr>
      <w:fldChar w:fldCharType="separate"/>
    </w:r>
    <w:r w:rsidR="00075D26">
      <w:rPr>
        <w:noProof/>
        <w:sz w:val="20"/>
        <w:szCs w:val="20"/>
      </w:rPr>
      <w:t>1</w:t>
    </w:r>
    <w:r w:rsidRPr="00EF446C">
      <w:rPr>
        <w:noProof/>
        <w:sz w:val="20"/>
        <w:szCs w:val="20"/>
      </w:rPr>
      <w:fldChar w:fldCharType="end"/>
    </w:r>
    <w:r w:rsidRPr="00736018">
      <w:rPr>
        <w:sz w:val="20"/>
        <w:szCs w:val="20"/>
      </w:rPr>
      <w:tab/>
      <w:t>3/1/2021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7DE7E" w14:textId="77777777" w:rsidR="009E67AA" w:rsidRDefault="009E67AA" w:rsidP="00AC5DF9">
      <w:pPr>
        <w:spacing w:after="0" w:line="240" w:lineRule="auto"/>
      </w:pPr>
      <w:r>
        <w:separator/>
      </w:r>
    </w:p>
  </w:footnote>
  <w:footnote w:type="continuationSeparator" w:id="0">
    <w:p w14:paraId="3AA84D1E" w14:textId="77777777" w:rsidR="009E67AA" w:rsidRDefault="009E67AA" w:rsidP="00AC5DF9">
      <w:pPr>
        <w:spacing w:after="0" w:line="240" w:lineRule="auto"/>
      </w:pPr>
      <w:r>
        <w:continuationSeparator/>
      </w:r>
    </w:p>
  </w:footnote>
  <w:footnote w:type="continuationNotice" w:id="1">
    <w:p w14:paraId="423F16F7" w14:textId="77777777" w:rsidR="009E67AA" w:rsidRDefault="009E67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E6008" w14:textId="22359530" w:rsidR="00736018" w:rsidRDefault="00736018">
    <w:pPr>
      <w:pStyle w:val="Header"/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513"/>
    <w:multiLevelType w:val="hybridMultilevel"/>
    <w:tmpl w:val="D2523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C0119"/>
    <w:multiLevelType w:val="hybridMultilevel"/>
    <w:tmpl w:val="A86A9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53111"/>
    <w:multiLevelType w:val="hybridMultilevel"/>
    <w:tmpl w:val="158E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04A49"/>
    <w:multiLevelType w:val="hybridMultilevel"/>
    <w:tmpl w:val="D2523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63992"/>
    <w:multiLevelType w:val="hybridMultilevel"/>
    <w:tmpl w:val="C6100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C7047"/>
    <w:multiLevelType w:val="hybridMultilevel"/>
    <w:tmpl w:val="25741654"/>
    <w:lvl w:ilvl="0" w:tplc="7B225F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84CD7"/>
    <w:multiLevelType w:val="hybridMultilevel"/>
    <w:tmpl w:val="177401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805D83"/>
    <w:multiLevelType w:val="hybridMultilevel"/>
    <w:tmpl w:val="718EC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72BCC"/>
    <w:multiLevelType w:val="hybridMultilevel"/>
    <w:tmpl w:val="D2523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264B4"/>
    <w:multiLevelType w:val="hybridMultilevel"/>
    <w:tmpl w:val="64F80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83362"/>
    <w:multiLevelType w:val="hybridMultilevel"/>
    <w:tmpl w:val="D2523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D119E"/>
    <w:multiLevelType w:val="hybridMultilevel"/>
    <w:tmpl w:val="718EC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427E17"/>
    <w:multiLevelType w:val="hybridMultilevel"/>
    <w:tmpl w:val="D2523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A76630"/>
    <w:multiLevelType w:val="hybridMultilevel"/>
    <w:tmpl w:val="D2523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BD1152"/>
    <w:multiLevelType w:val="hybridMultilevel"/>
    <w:tmpl w:val="2C8EC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C3AE4"/>
    <w:multiLevelType w:val="hybridMultilevel"/>
    <w:tmpl w:val="D2523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E2DA0"/>
    <w:multiLevelType w:val="hybridMultilevel"/>
    <w:tmpl w:val="D2523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A670F7"/>
    <w:multiLevelType w:val="hybridMultilevel"/>
    <w:tmpl w:val="F8EAB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B501A"/>
    <w:multiLevelType w:val="hybridMultilevel"/>
    <w:tmpl w:val="D2523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605C5"/>
    <w:multiLevelType w:val="hybridMultilevel"/>
    <w:tmpl w:val="F9969E68"/>
    <w:lvl w:ilvl="0" w:tplc="7A908A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5445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D87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E3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0A2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927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DCC8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0B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340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3CE79DA"/>
    <w:multiLevelType w:val="hybridMultilevel"/>
    <w:tmpl w:val="CD30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177021"/>
    <w:multiLevelType w:val="hybridMultilevel"/>
    <w:tmpl w:val="D2523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91942"/>
    <w:multiLevelType w:val="hybridMultilevel"/>
    <w:tmpl w:val="D2523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ED48F1"/>
    <w:multiLevelType w:val="hybridMultilevel"/>
    <w:tmpl w:val="3044F9DA"/>
    <w:lvl w:ilvl="0" w:tplc="C5886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A653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86AA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248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8E4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72DF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3A8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247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43E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3005AFB"/>
    <w:multiLevelType w:val="hybridMultilevel"/>
    <w:tmpl w:val="176268AC"/>
    <w:lvl w:ilvl="0" w:tplc="2E6E96C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204876"/>
    <w:multiLevelType w:val="hybridMultilevel"/>
    <w:tmpl w:val="9E9C5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7A5D4E"/>
    <w:multiLevelType w:val="hybridMultilevel"/>
    <w:tmpl w:val="AD0C40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6C74AE8"/>
    <w:multiLevelType w:val="hybridMultilevel"/>
    <w:tmpl w:val="D2523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D84767"/>
    <w:multiLevelType w:val="hybridMultilevel"/>
    <w:tmpl w:val="0122ED54"/>
    <w:lvl w:ilvl="0" w:tplc="7382A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706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0C5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48E2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A0C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AC0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1484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EE5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00B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96E25E5"/>
    <w:multiLevelType w:val="hybridMultilevel"/>
    <w:tmpl w:val="D2523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C02F4"/>
    <w:multiLevelType w:val="hybridMultilevel"/>
    <w:tmpl w:val="D2523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381010"/>
    <w:multiLevelType w:val="hybridMultilevel"/>
    <w:tmpl w:val="B790C78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20F188B"/>
    <w:multiLevelType w:val="hybridMultilevel"/>
    <w:tmpl w:val="D2523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D7102"/>
    <w:multiLevelType w:val="hybridMultilevel"/>
    <w:tmpl w:val="D2523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916D8E"/>
    <w:multiLevelType w:val="hybridMultilevel"/>
    <w:tmpl w:val="D2523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5E02C5"/>
    <w:multiLevelType w:val="hybridMultilevel"/>
    <w:tmpl w:val="DA14AF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6CF5109"/>
    <w:multiLevelType w:val="hybridMultilevel"/>
    <w:tmpl w:val="ABC2E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9C5FE7"/>
    <w:multiLevelType w:val="hybridMultilevel"/>
    <w:tmpl w:val="D2523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C9701F"/>
    <w:multiLevelType w:val="hybridMultilevel"/>
    <w:tmpl w:val="306E730A"/>
    <w:lvl w:ilvl="0" w:tplc="E25678D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ACB2F33"/>
    <w:multiLevelType w:val="hybridMultilevel"/>
    <w:tmpl w:val="D2523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287ADE"/>
    <w:multiLevelType w:val="hybridMultilevel"/>
    <w:tmpl w:val="D2523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0E7B12"/>
    <w:multiLevelType w:val="hybridMultilevel"/>
    <w:tmpl w:val="7D489AEA"/>
    <w:lvl w:ilvl="0" w:tplc="6A4E94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A4AE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3E3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E449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E02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C6D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21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846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625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70016E0"/>
    <w:multiLevelType w:val="hybridMultilevel"/>
    <w:tmpl w:val="D2523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5F7014"/>
    <w:multiLevelType w:val="hybridMultilevel"/>
    <w:tmpl w:val="21B6847A"/>
    <w:lvl w:ilvl="0" w:tplc="B296A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C05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6C8F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3AD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56C9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6C61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AC1A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A853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009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B4E31A2"/>
    <w:multiLevelType w:val="hybridMultilevel"/>
    <w:tmpl w:val="9E9C5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82666B"/>
    <w:multiLevelType w:val="hybridMultilevel"/>
    <w:tmpl w:val="D2523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85192D"/>
    <w:multiLevelType w:val="hybridMultilevel"/>
    <w:tmpl w:val="1702F416"/>
    <w:lvl w:ilvl="0" w:tplc="7B225F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68928">
    <w:abstractNumId w:val="7"/>
  </w:num>
  <w:num w:numId="2" w16cid:durableId="2066054665">
    <w:abstractNumId w:val="25"/>
  </w:num>
  <w:num w:numId="3" w16cid:durableId="1499467722">
    <w:abstractNumId w:val="4"/>
  </w:num>
  <w:num w:numId="4" w16cid:durableId="1498495932">
    <w:abstractNumId w:val="20"/>
  </w:num>
  <w:num w:numId="5" w16cid:durableId="2121949665">
    <w:abstractNumId w:val="17"/>
  </w:num>
  <w:num w:numId="6" w16cid:durableId="983658350">
    <w:abstractNumId w:val="44"/>
  </w:num>
  <w:num w:numId="7" w16cid:durableId="1424914180">
    <w:abstractNumId w:val="11"/>
  </w:num>
  <w:num w:numId="8" w16cid:durableId="937104497">
    <w:abstractNumId w:val="36"/>
  </w:num>
  <w:num w:numId="9" w16cid:durableId="633146920">
    <w:abstractNumId w:val="3"/>
  </w:num>
  <w:num w:numId="10" w16cid:durableId="1606839913">
    <w:abstractNumId w:val="21"/>
  </w:num>
  <w:num w:numId="11" w16cid:durableId="691107214">
    <w:abstractNumId w:val="5"/>
  </w:num>
  <w:num w:numId="12" w16cid:durableId="1706514339">
    <w:abstractNumId w:val="8"/>
  </w:num>
  <w:num w:numId="13" w16cid:durableId="1510952330">
    <w:abstractNumId w:val="16"/>
  </w:num>
  <w:num w:numId="14" w16cid:durableId="830877270">
    <w:abstractNumId w:val="0"/>
  </w:num>
  <w:num w:numId="15" w16cid:durableId="77142366">
    <w:abstractNumId w:val="46"/>
  </w:num>
  <w:num w:numId="16" w16cid:durableId="2020883915">
    <w:abstractNumId w:val="32"/>
  </w:num>
  <w:num w:numId="17" w16cid:durableId="1490714244">
    <w:abstractNumId w:val="15"/>
  </w:num>
  <w:num w:numId="18" w16cid:durableId="1036197644">
    <w:abstractNumId w:val="45"/>
  </w:num>
  <w:num w:numId="19" w16cid:durableId="1579822761">
    <w:abstractNumId w:val="13"/>
  </w:num>
  <w:num w:numId="20" w16cid:durableId="1948809804">
    <w:abstractNumId w:val="37"/>
  </w:num>
  <w:num w:numId="21" w16cid:durableId="1884249794">
    <w:abstractNumId w:val="27"/>
  </w:num>
  <w:num w:numId="22" w16cid:durableId="1980646866">
    <w:abstractNumId w:val="34"/>
  </w:num>
  <w:num w:numId="23" w16cid:durableId="1373765737">
    <w:abstractNumId w:val="12"/>
  </w:num>
  <w:num w:numId="24" w16cid:durableId="1011296895">
    <w:abstractNumId w:val="29"/>
  </w:num>
  <w:num w:numId="25" w16cid:durableId="351617569">
    <w:abstractNumId w:val="10"/>
  </w:num>
  <w:num w:numId="26" w16cid:durableId="927691254">
    <w:abstractNumId w:val="30"/>
  </w:num>
  <w:num w:numId="27" w16cid:durableId="1560046214">
    <w:abstractNumId w:val="41"/>
  </w:num>
  <w:num w:numId="28" w16cid:durableId="790199479">
    <w:abstractNumId w:val="28"/>
  </w:num>
  <w:num w:numId="29" w16cid:durableId="891044283">
    <w:abstractNumId w:val="23"/>
  </w:num>
  <w:num w:numId="30" w16cid:durableId="1579709738">
    <w:abstractNumId w:val="22"/>
  </w:num>
  <w:num w:numId="31" w16cid:durableId="428084288">
    <w:abstractNumId w:val="42"/>
  </w:num>
  <w:num w:numId="32" w16cid:durableId="864321320">
    <w:abstractNumId w:val="43"/>
  </w:num>
  <w:num w:numId="33" w16cid:durableId="1416439745">
    <w:abstractNumId w:val="19"/>
  </w:num>
  <w:num w:numId="34" w16cid:durableId="596256781">
    <w:abstractNumId w:val="2"/>
  </w:num>
  <w:num w:numId="35" w16cid:durableId="1900706115">
    <w:abstractNumId w:val="9"/>
  </w:num>
  <w:num w:numId="36" w16cid:durableId="279537192">
    <w:abstractNumId w:val="33"/>
  </w:num>
  <w:num w:numId="37" w16cid:durableId="2013802162">
    <w:abstractNumId w:val="40"/>
  </w:num>
  <w:num w:numId="38" w16cid:durableId="345134342">
    <w:abstractNumId w:val="39"/>
  </w:num>
  <w:num w:numId="39" w16cid:durableId="85853069">
    <w:abstractNumId w:val="6"/>
  </w:num>
  <w:num w:numId="40" w16cid:durableId="1983148783">
    <w:abstractNumId w:val="24"/>
  </w:num>
  <w:num w:numId="41" w16cid:durableId="826439466">
    <w:abstractNumId w:val="35"/>
  </w:num>
  <w:num w:numId="42" w16cid:durableId="655115275">
    <w:abstractNumId w:val="31"/>
  </w:num>
  <w:num w:numId="43" w16cid:durableId="166603212">
    <w:abstractNumId w:val="26"/>
  </w:num>
  <w:num w:numId="44" w16cid:durableId="1600329943">
    <w:abstractNumId w:val="1"/>
  </w:num>
  <w:num w:numId="45" w16cid:durableId="700597488">
    <w:abstractNumId w:val="38"/>
  </w:num>
  <w:num w:numId="46" w16cid:durableId="1266183268">
    <w:abstractNumId w:val="14"/>
  </w:num>
  <w:num w:numId="47" w16cid:durableId="4949821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205"/>
    <w:rsid w:val="00002AB6"/>
    <w:rsid w:val="00004446"/>
    <w:rsid w:val="0000561E"/>
    <w:rsid w:val="0001333A"/>
    <w:rsid w:val="00014AFF"/>
    <w:rsid w:val="00014EC7"/>
    <w:rsid w:val="00022DC7"/>
    <w:rsid w:val="00023733"/>
    <w:rsid w:val="00040352"/>
    <w:rsid w:val="00042076"/>
    <w:rsid w:val="0004466C"/>
    <w:rsid w:val="000553E3"/>
    <w:rsid w:val="000741C4"/>
    <w:rsid w:val="00075D26"/>
    <w:rsid w:val="0009243C"/>
    <w:rsid w:val="00092E52"/>
    <w:rsid w:val="00095153"/>
    <w:rsid w:val="00097FCF"/>
    <w:rsid w:val="000B2B85"/>
    <w:rsid w:val="000B5890"/>
    <w:rsid w:val="000C0C82"/>
    <w:rsid w:val="000C774B"/>
    <w:rsid w:val="000D74E7"/>
    <w:rsid w:val="000E4730"/>
    <w:rsid w:val="000E59D5"/>
    <w:rsid w:val="000E5DDA"/>
    <w:rsid w:val="00100AF4"/>
    <w:rsid w:val="00102794"/>
    <w:rsid w:val="00105C00"/>
    <w:rsid w:val="00107DA9"/>
    <w:rsid w:val="001138A2"/>
    <w:rsid w:val="0012433D"/>
    <w:rsid w:val="00131CBC"/>
    <w:rsid w:val="00133CE7"/>
    <w:rsid w:val="00137123"/>
    <w:rsid w:val="001401FF"/>
    <w:rsid w:val="00141EFC"/>
    <w:rsid w:val="00142105"/>
    <w:rsid w:val="00142D4A"/>
    <w:rsid w:val="001431CD"/>
    <w:rsid w:val="00147C0E"/>
    <w:rsid w:val="00147C32"/>
    <w:rsid w:val="00150CA4"/>
    <w:rsid w:val="0015167F"/>
    <w:rsid w:val="001579A0"/>
    <w:rsid w:val="00182184"/>
    <w:rsid w:val="00184170"/>
    <w:rsid w:val="0019500C"/>
    <w:rsid w:val="001A1C65"/>
    <w:rsid w:val="001B7F38"/>
    <w:rsid w:val="001D096A"/>
    <w:rsid w:val="001D495E"/>
    <w:rsid w:val="001F4100"/>
    <w:rsid w:val="0021179E"/>
    <w:rsid w:val="00214B94"/>
    <w:rsid w:val="00227E58"/>
    <w:rsid w:val="00232AF4"/>
    <w:rsid w:val="0024288A"/>
    <w:rsid w:val="00270F64"/>
    <w:rsid w:val="00275A70"/>
    <w:rsid w:val="00276772"/>
    <w:rsid w:val="002805ED"/>
    <w:rsid w:val="00280833"/>
    <w:rsid w:val="002826B6"/>
    <w:rsid w:val="00283449"/>
    <w:rsid w:val="0029145D"/>
    <w:rsid w:val="00296E09"/>
    <w:rsid w:val="002A2635"/>
    <w:rsid w:val="002A5811"/>
    <w:rsid w:val="002A628D"/>
    <w:rsid w:val="002C2FA4"/>
    <w:rsid w:val="002D1286"/>
    <w:rsid w:val="002D7194"/>
    <w:rsid w:val="002E2F31"/>
    <w:rsid w:val="002F29E9"/>
    <w:rsid w:val="002F7BBB"/>
    <w:rsid w:val="003017BD"/>
    <w:rsid w:val="00307457"/>
    <w:rsid w:val="00310701"/>
    <w:rsid w:val="00311BB8"/>
    <w:rsid w:val="00317CC7"/>
    <w:rsid w:val="00326918"/>
    <w:rsid w:val="00330616"/>
    <w:rsid w:val="00337A73"/>
    <w:rsid w:val="003427A4"/>
    <w:rsid w:val="0034765F"/>
    <w:rsid w:val="00347759"/>
    <w:rsid w:val="00363015"/>
    <w:rsid w:val="003716D7"/>
    <w:rsid w:val="00373508"/>
    <w:rsid w:val="00374416"/>
    <w:rsid w:val="0037505F"/>
    <w:rsid w:val="003910AB"/>
    <w:rsid w:val="00393F6D"/>
    <w:rsid w:val="003A4D58"/>
    <w:rsid w:val="003A605C"/>
    <w:rsid w:val="003A726C"/>
    <w:rsid w:val="003B42FF"/>
    <w:rsid w:val="003B7E06"/>
    <w:rsid w:val="003C0F0E"/>
    <w:rsid w:val="003C627A"/>
    <w:rsid w:val="003E1928"/>
    <w:rsid w:val="003E7C65"/>
    <w:rsid w:val="003F3001"/>
    <w:rsid w:val="003F62FD"/>
    <w:rsid w:val="003F7182"/>
    <w:rsid w:val="0040133D"/>
    <w:rsid w:val="00402FE3"/>
    <w:rsid w:val="00406787"/>
    <w:rsid w:val="00407636"/>
    <w:rsid w:val="00414973"/>
    <w:rsid w:val="004159CA"/>
    <w:rsid w:val="0042251F"/>
    <w:rsid w:val="00422DE5"/>
    <w:rsid w:val="00423B01"/>
    <w:rsid w:val="00433BCD"/>
    <w:rsid w:val="00442A05"/>
    <w:rsid w:val="004452D4"/>
    <w:rsid w:val="00451144"/>
    <w:rsid w:val="00456326"/>
    <w:rsid w:val="0045794B"/>
    <w:rsid w:val="00463487"/>
    <w:rsid w:val="004650A9"/>
    <w:rsid w:val="00477D96"/>
    <w:rsid w:val="00481530"/>
    <w:rsid w:val="00483F18"/>
    <w:rsid w:val="00487849"/>
    <w:rsid w:val="00490E0C"/>
    <w:rsid w:val="00492952"/>
    <w:rsid w:val="004976D9"/>
    <w:rsid w:val="004A35BB"/>
    <w:rsid w:val="004B1554"/>
    <w:rsid w:val="004C44A8"/>
    <w:rsid w:val="004E17DD"/>
    <w:rsid w:val="004E2076"/>
    <w:rsid w:val="004F7F44"/>
    <w:rsid w:val="005005CF"/>
    <w:rsid w:val="00506343"/>
    <w:rsid w:val="00506676"/>
    <w:rsid w:val="00510035"/>
    <w:rsid w:val="00521A3F"/>
    <w:rsid w:val="00535124"/>
    <w:rsid w:val="00536655"/>
    <w:rsid w:val="00537E6D"/>
    <w:rsid w:val="00540346"/>
    <w:rsid w:val="00542560"/>
    <w:rsid w:val="00544C28"/>
    <w:rsid w:val="0054512A"/>
    <w:rsid w:val="005451C0"/>
    <w:rsid w:val="00551699"/>
    <w:rsid w:val="00557A6C"/>
    <w:rsid w:val="005647B9"/>
    <w:rsid w:val="005652E6"/>
    <w:rsid w:val="0057120D"/>
    <w:rsid w:val="00583B82"/>
    <w:rsid w:val="00584997"/>
    <w:rsid w:val="00586686"/>
    <w:rsid w:val="00592CA6"/>
    <w:rsid w:val="00594E51"/>
    <w:rsid w:val="005A46F0"/>
    <w:rsid w:val="005A64F8"/>
    <w:rsid w:val="005C279B"/>
    <w:rsid w:val="005D65D8"/>
    <w:rsid w:val="005D734B"/>
    <w:rsid w:val="005E268E"/>
    <w:rsid w:val="005E5FE8"/>
    <w:rsid w:val="005E6BC6"/>
    <w:rsid w:val="005F21A7"/>
    <w:rsid w:val="006020C9"/>
    <w:rsid w:val="0061125E"/>
    <w:rsid w:val="00611628"/>
    <w:rsid w:val="00614107"/>
    <w:rsid w:val="00615E89"/>
    <w:rsid w:val="00620984"/>
    <w:rsid w:val="00623ED9"/>
    <w:rsid w:val="00624CFC"/>
    <w:rsid w:val="00634993"/>
    <w:rsid w:val="00643D14"/>
    <w:rsid w:val="00653D37"/>
    <w:rsid w:val="0065499C"/>
    <w:rsid w:val="00665173"/>
    <w:rsid w:val="00667F44"/>
    <w:rsid w:val="00672AF5"/>
    <w:rsid w:val="00680E30"/>
    <w:rsid w:val="0068176E"/>
    <w:rsid w:val="006922A5"/>
    <w:rsid w:val="006928E7"/>
    <w:rsid w:val="006960B7"/>
    <w:rsid w:val="006A59F4"/>
    <w:rsid w:val="006A6C49"/>
    <w:rsid w:val="006C600D"/>
    <w:rsid w:val="006C76CE"/>
    <w:rsid w:val="006D5804"/>
    <w:rsid w:val="006D6895"/>
    <w:rsid w:val="006E098B"/>
    <w:rsid w:val="006E0E4B"/>
    <w:rsid w:val="006E32DA"/>
    <w:rsid w:val="006E41C2"/>
    <w:rsid w:val="006F179C"/>
    <w:rsid w:val="006F2F66"/>
    <w:rsid w:val="006F3A45"/>
    <w:rsid w:val="006F7AC0"/>
    <w:rsid w:val="007000A9"/>
    <w:rsid w:val="00712848"/>
    <w:rsid w:val="00712990"/>
    <w:rsid w:val="00721028"/>
    <w:rsid w:val="00736018"/>
    <w:rsid w:val="00742237"/>
    <w:rsid w:val="00752EC7"/>
    <w:rsid w:val="00754B1A"/>
    <w:rsid w:val="00755118"/>
    <w:rsid w:val="00760B9C"/>
    <w:rsid w:val="00763A69"/>
    <w:rsid w:val="00763D7A"/>
    <w:rsid w:val="00767CE8"/>
    <w:rsid w:val="00773F5E"/>
    <w:rsid w:val="007842B6"/>
    <w:rsid w:val="00787062"/>
    <w:rsid w:val="00794658"/>
    <w:rsid w:val="007A240E"/>
    <w:rsid w:val="007B0DDD"/>
    <w:rsid w:val="007B5497"/>
    <w:rsid w:val="007B5A4A"/>
    <w:rsid w:val="007C0C74"/>
    <w:rsid w:val="007C7E22"/>
    <w:rsid w:val="007E12EE"/>
    <w:rsid w:val="007E25DC"/>
    <w:rsid w:val="007E28F4"/>
    <w:rsid w:val="007E4026"/>
    <w:rsid w:val="007E49C8"/>
    <w:rsid w:val="007E6017"/>
    <w:rsid w:val="007E6087"/>
    <w:rsid w:val="00806186"/>
    <w:rsid w:val="00820EEF"/>
    <w:rsid w:val="00831789"/>
    <w:rsid w:val="00835C2B"/>
    <w:rsid w:val="008426DC"/>
    <w:rsid w:val="00850575"/>
    <w:rsid w:val="0085360A"/>
    <w:rsid w:val="0086373A"/>
    <w:rsid w:val="008643D6"/>
    <w:rsid w:val="00866351"/>
    <w:rsid w:val="008710F1"/>
    <w:rsid w:val="00873E19"/>
    <w:rsid w:val="00874988"/>
    <w:rsid w:val="00875B6D"/>
    <w:rsid w:val="00880DCC"/>
    <w:rsid w:val="00882A67"/>
    <w:rsid w:val="008866CC"/>
    <w:rsid w:val="008A1940"/>
    <w:rsid w:val="008A459D"/>
    <w:rsid w:val="008C0904"/>
    <w:rsid w:val="008C6DC3"/>
    <w:rsid w:val="008D16C5"/>
    <w:rsid w:val="008D3186"/>
    <w:rsid w:val="008D31F6"/>
    <w:rsid w:val="008D5197"/>
    <w:rsid w:val="008E6EA7"/>
    <w:rsid w:val="008E7341"/>
    <w:rsid w:val="008F2655"/>
    <w:rsid w:val="008F3BA9"/>
    <w:rsid w:val="0090289B"/>
    <w:rsid w:val="00904BAA"/>
    <w:rsid w:val="00925358"/>
    <w:rsid w:val="00926311"/>
    <w:rsid w:val="009314EE"/>
    <w:rsid w:val="00934A52"/>
    <w:rsid w:val="009356A4"/>
    <w:rsid w:val="0093729E"/>
    <w:rsid w:val="00941110"/>
    <w:rsid w:val="00941E0B"/>
    <w:rsid w:val="00946678"/>
    <w:rsid w:val="00951473"/>
    <w:rsid w:val="0095198D"/>
    <w:rsid w:val="00955BA2"/>
    <w:rsid w:val="009566D4"/>
    <w:rsid w:val="0096073A"/>
    <w:rsid w:val="00977B64"/>
    <w:rsid w:val="00982463"/>
    <w:rsid w:val="009836B3"/>
    <w:rsid w:val="00987B86"/>
    <w:rsid w:val="00994176"/>
    <w:rsid w:val="009A02B1"/>
    <w:rsid w:val="009B10CB"/>
    <w:rsid w:val="009D4022"/>
    <w:rsid w:val="009E67AA"/>
    <w:rsid w:val="009F0D75"/>
    <w:rsid w:val="009F1FEF"/>
    <w:rsid w:val="009F3928"/>
    <w:rsid w:val="00A06785"/>
    <w:rsid w:val="00A12B07"/>
    <w:rsid w:val="00A16D77"/>
    <w:rsid w:val="00A20B3E"/>
    <w:rsid w:val="00A24F07"/>
    <w:rsid w:val="00A34A61"/>
    <w:rsid w:val="00A472CA"/>
    <w:rsid w:val="00A54DAA"/>
    <w:rsid w:val="00A55D5D"/>
    <w:rsid w:val="00A60A6D"/>
    <w:rsid w:val="00A64AF8"/>
    <w:rsid w:val="00A65F87"/>
    <w:rsid w:val="00A72271"/>
    <w:rsid w:val="00A91C80"/>
    <w:rsid w:val="00AA16DB"/>
    <w:rsid w:val="00AA2754"/>
    <w:rsid w:val="00AA6AA0"/>
    <w:rsid w:val="00AB0C42"/>
    <w:rsid w:val="00AB24DA"/>
    <w:rsid w:val="00AB6626"/>
    <w:rsid w:val="00AC458C"/>
    <w:rsid w:val="00AC5DF9"/>
    <w:rsid w:val="00AD73FE"/>
    <w:rsid w:val="00AF3205"/>
    <w:rsid w:val="00B01D99"/>
    <w:rsid w:val="00B066DE"/>
    <w:rsid w:val="00B153FB"/>
    <w:rsid w:val="00B2597D"/>
    <w:rsid w:val="00B269EA"/>
    <w:rsid w:val="00B30C2A"/>
    <w:rsid w:val="00B30FEB"/>
    <w:rsid w:val="00B32F05"/>
    <w:rsid w:val="00B36339"/>
    <w:rsid w:val="00B431D5"/>
    <w:rsid w:val="00B50A3A"/>
    <w:rsid w:val="00B6475A"/>
    <w:rsid w:val="00B64F6C"/>
    <w:rsid w:val="00B667A8"/>
    <w:rsid w:val="00B72A37"/>
    <w:rsid w:val="00B776ED"/>
    <w:rsid w:val="00B83CB1"/>
    <w:rsid w:val="00B87E72"/>
    <w:rsid w:val="00B96B03"/>
    <w:rsid w:val="00BA6FD3"/>
    <w:rsid w:val="00BB3196"/>
    <w:rsid w:val="00BC2F1B"/>
    <w:rsid w:val="00BC30AC"/>
    <w:rsid w:val="00BC3A71"/>
    <w:rsid w:val="00BD109D"/>
    <w:rsid w:val="00BD2ACB"/>
    <w:rsid w:val="00BD46A2"/>
    <w:rsid w:val="00BD7673"/>
    <w:rsid w:val="00BE41FE"/>
    <w:rsid w:val="00BE663D"/>
    <w:rsid w:val="00BF24BD"/>
    <w:rsid w:val="00BF6363"/>
    <w:rsid w:val="00BF6E54"/>
    <w:rsid w:val="00C15769"/>
    <w:rsid w:val="00C16340"/>
    <w:rsid w:val="00C207DC"/>
    <w:rsid w:val="00C2177E"/>
    <w:rsid w:val="00C22970"/>
    <w:rsid w:val="00C22A37"/>
    <w:rsid w:val="00C32DB5"/>
    <w:rsid w:val="00C34B67"/>
    <w:rsid w:val="00C3608D"/>
    <w:rsid w:val="00C41B7A"/>
    <w:rsid w:val="00C462F9"/>
    <w:rsid w:val="00C57112"/>
    <w:rsid w:val="00C66A6A"/>
    <w:rsid w:val="00C71DA7"/>
    <w:rsid w:val="00C747AF"/>
    <w:rsid w:val="00C83D1A"/>
    <w:rsid w:val="00C83EED"/>
    <w:rsid w:val="00C85C85"/>
    <w:rsid w:val="00C8613B"/>
    <w:rsid w:val="00CA1E12"/>
    <w:rsid w:val="00CA5814"/>
    <w:rsid w:val="00CA76BC"/>
    <w:rsid w:val="00CC0E61"/>
    <w:rsid w:val="00CC787E"/>
    <w:rsid w:val="00CD186C"/>
    <w:rsid w:val="00CD2819"/>
    <w:rsid w:val="00CD4D33"/>
    <w:rsid w:val="00CD7594"/>
    <w:rsid w:val="00CE12D7"/>
    <w:rsid w:val="00CE41C8"/>
    <w:rsid w:val="00D11226"/>
    <w:rsid w:val="00D17C0B"/>
    <w:rsid w:val="00D23757"/>
    <w:rsid w:val="00D41BA0"/>
    <w:rsid w:val="00D437AD"/>
    <w:rsid w:val="00D43F6B"/>
    <w:rsid w:val="00D4766B"/>
    <w:rsid w:val="00D66147"/>
    <w:rsid w:val="00D769D1"/>
    <w:rsid w:val="00D8100E"/>
    <w:rsid w:val="00D83827"/>
    <w:rsid w:val="00D90554"/>
    <w:rsid w:val="00D90715"/>
    <w:rsid w:val="00D91433"/>
    <w:rsid w:val="00D91955"/>
    <w:rsid w:val="00D94F18"/>
    <w:rsid w:val="00DA401B"/>
    <w:rsid w:val="00DA6DB3"/>
    <w:rsid w:val="00DC4F2E"/>
    <w:rsid w:val="00DC6D34"/>
    <w:rsid w:val="00DD5BC0"/>
    <w:rsid w:val="00DD71CD"/>
    <w:rsid w:val="00DE00EA"/>
    <w:rsid w:val="00DE3718"/>
    <w:rsid w:val="00DF5100"/>
    <w:rsid w:val="00DF688D"/>
    <w:rsid w:val="00DF6D9C"/>
    <w:rsid w:val="00DF6F4E"/>
    <w:rsid w:val="00DF7098"/>
    <w:rsid w:val="00E0261F"/>
    <w:rsid w:val="00E07234"/>
    <w:rsid w:val="00E07DAB"/>
    <w:rsid w:val="00E1150E"/>
    <w:rsid w:val="00E17F48"/>
    <w:rsid w:val="00E3428C"/>
    <w:rsid w:val="00E36210"/>
    <w:rsid w:val="00E426AB"/>
    <w:rsid w:val="00E46988"/>
    <w:rsid w:val="00E47691"/>
    <w:rsid w:val="00E47951"/>
    <w:rsid w:val="00E5280F"/>
    <w:rsid w:val="00E52BFB"/>
    <w:rsid w:val="00E55290"/>
    <w:rsid w:val="00E65B2E"/>
    <w:rsid w:val="00E673AC"/>
    <w:rsid w:val="00E76353"/>
    <w:rsid w:val="00E906F6"/>
    <w:rsid w:val="00E9299E"/>
    <w:rsid w:val="00E935BF"/>
    <w:rsid w:val="00E93E5D"/>
    <w:rsid w:val="00EA4D61"/>
    <w:rsid w:val="00EB1E4B"/>
    <w:rsid w:val="00EB3763"/>
    <w:rsid w:val="00EB3789"/>
    <w:rsid w:val="00EB4393"/>
    <w:rsid w:val="00EB5DDA"/>
    <w:rsid w:val="00EB5E5D"/>
    <w:rsid w:val="00EC33F5"/>
    <w:rsid w:val="00EC5380"/>
    <w:rsid w:val="00EC7981"/>
    <w:rsid w:val="00ED4B70"/>
    <w:rsid w:val="00EF446C"/>
    <w:rsid w:val="00F00017"/>
    <w:rsid w:val="00F015E7"/>
    <w:rsid w:val="00F06312"/>
    <w:rsid w:val="00F16858"/>
    <w:rsid w:val="00F24181"/>
    <w:rsid w:val="00F259F2"/>
    <w:rsid w:val="00F25DEB"/>
    <w:rsid w:val="00F3094E"/>
    <w:rsid w:val="00F36AA3"/>
    <w:rsid w:val="00F4505D"/>
    <w:rsid w:val="00F514F6"/>
    <w:rsid w:val="00F53223"/>
    <w:rsid w:val="00F63CBE"/>
    <w:rsid w:val="00F63E78"/>
    <w:rsid w:val="00F65755"/>
    <w:rsid w:val="00F67E80"/>
    <w:rsid w:val="00F75DF8"/>
    <w:rsid w:val="00F763EC"/>
    <w:rsid w:val="00F858D7"/>
    <w:rsid w:val="00F905E6"/>
    <w:rsid w:val="00F9746A"/>
    <w:rsid w:val="00FA110B"/>
    <w:rsid w:val="00FA134C"/>
    <w:rsid w:val="00FA1590"/>
    <w:rsid w:val="00FB69D3"/>
    <w:rsid w:val="00FC0C23"/>
    <w:rsid w:val="00FC3276"/>
    <w:rsid w:val="00FC42A9"/>
    <w:rsid w:val="00FD433C"/>
    <w:rsid w:val="00FE166A"/>
    <w:rsid w:val="00FE48D9"/>
    <w:rsid w:val="00FE4DBC"/>
    <w:rsid w:val="00FF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7453F"/>
  <w15:chartTrackingRefBased/>
  <w15:docId w15:val="{33B20E9F-852A-4566-BD08-B4509575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497"/>
    <w:pPr>
      <w:keepNext/>
      <w:keepLines/>
      <w:spacing w:after="120"/>
      <w:jc w:val="center"/>
      <w:outlineLvl w:val="0"/>
    </w:pPr>
    <w:rPr>
      <w:rFonts w:asciiTheme="majorHAnsi" w:eastAsiaTheme="majorEastAsia" w:hAnsiTheme="majorHAnsi" w:cstheme="majorBidi"/>
      <w:b/>
      <w:bCs/>
      <w:color w:val="64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64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1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iCs/>
      <w:color w:val="64000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186"/>
    <w:pPr>
      <w:outlineLvl w:val="3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497"/>
    <w:rPr>
      <w:rFonts w:asciiTheme="majorHAnsi" w:eastAsiaTheme="majorEastAsia" w:hAnsiTheme="majorHAnsi" w:cstheme="majorBidi"/>
      <w:b/>
      <w:bCs/>
      <w:color w:val="64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6D34"/>
    <w:rPr>
      <w:rFonts w:asciiTheme="majorHAnsi" w:eastAsiaTheme="majorEastAsia" w:hAnsiTheme="majorHAnsi" w:cstheme="majorBidi"/>
      <w:b/>
      <w:bCs/>
      <w:color w:val="640000"/>
      <w:sz w:val="26"/>
      <w:szCs w:val="26"/>
    </w:rPr>
  </w:style>
  <w:style w:type="table" w:styleId="TableGrid">
    <w:name w:val="Table Grid"/>
    <w:basedOn w:val="TableNormal"/>
    <w:uiPriority w:val="39"/>
    <w:rsid w:val="00773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52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5153"/>
    <w:rPr>
      <w:rFonts w:asciiTheme="majorHAnsi" w:eastAsiaTheme="majorEastAsia" w:hAnsiTheme="majorHAnsi" w:cstheme="majorBidi"/>
      <w:i/>
      <w:iCs/>
      <w:color w:val="64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6186"/>
    <w:rPr>
      <w:b/>
      <w:bCs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8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8D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5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DF9"/>
  </w:style>
  <w:style w:type="paragraph" w:styleId="Footer">
    <w:name w:val="footer"/>
    <w:basedOn w:val="Normal"/>
    <w:link w:val="FooterChar"/>
    <w:uiPriority w:val="99"/>
    <w:unhideWhenUsed/>
    <w:rsid w:val="00AC5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DF9"/>
  </w:style>
  <w:style w:type="character" w:styleId="CommentReference">
    <w:name w:val="annotation reference"/>
    <w:basedOn w:val="DefaultParagraphFont"/>
    <w:uiPriority w:val="99"/>
    <w:semiHidden/>
    <w:unhideWhenUsed/>
    <w:rsid w:val="00BD7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7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7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673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41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41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4176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5A64F8"/>
    <w:pPr>
      <w:spacing w:before="240" w:after="0"/>
      <w:jc w:val="left"/>
      <w:outlineLvl w:val="9"/>
    </w:pPr>
    <w:rPr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5A64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64F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64F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A64F8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A64F8"/>
    <w:pPr>
      <w:spacing w:after="100"/>
      <w:ind w:left="660"/>
    </w:pPr>
  </w:style>
  <w:style w:type="paragraph" w:styleId="Revision">
    <w:name w:val="Revision"/>
    <w:hidden/>
    <w:uiPriority w:val="99"/>
    <w:semiHidden/>
    <w:rsid w:val="00643D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99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0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8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4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4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2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8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2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4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7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7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6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1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D42D785AD8D2439D0DB0214DCC34C0" ma:contentTypeVersion="6" ma:contentTypeDescription="Create a new document." ma:contentTypeScope="" ma:versionID="58df566e949bb2250a06d105647927ee">
  <xsd:schema xmlns:xsd="http://www.w3.org/2001/XMLSchema" xmlns:xs="http://www.w3.org/2001/XMLSchema" xmlns:p="http://schemas.microsoft.com/office/2006/metadata/properties" xmlns:ns2="a854371e-92a6-4a8f-8cc3-73198af2f8fc" xmlns:ns3="6a0af585-2dd7-440d-a1e9-1fee4e458824" targetNamespace="http://schemas.microsoft.com/office/2006/metadata/properties" ma:root="true" ma:fieldsID="2395cdaba2b46d5dde322d58a6159cae" ns2:_="" ns3:_="">
    <xsd:import namespace="a854371e-92a6-4a8f-8cc3-73198af2f8fc"/>
    <xsd:import namespace="6a0af585-2dd7-440d-a1e9-1fee4e458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4371e-92a6-4a8f-8cc3-73198af2f8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0af585-2dd7-440d-a1e9-1fee4e45882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6104A0-9A1B-4FA2-8610-73DEACEE32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DFE240-2F33-48FB-A6E2-72FF98022C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4371e-92a6-4a8f-8cc3-73198af2f8fc"/>
    <ds:schemaRef ds:uri="6a0af585-2dd7-440d-a1e9-1fee4e458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EFD9B4-86EB-493D-9B21-FA2A8E5A80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079AED2-001A-45AC-BB2B-D1A5D5ED9DF7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terms/"/>
    <ds:schemaRef ds:uri="a854371e-92a6-4a8f-8cc3-73198af2f8fc"/>
    <ds:schemaRef ds:uri="http://schemas.openxmlformats.org/package/2006/metadata/core-properties"/>
    <ds:schemaRef ds:uri="6a0af585-2dd7-440d-a1e9-1fee4e458824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Woodroffe</dc:creator>
  <cp:keywords/>
  <dc:description/>
  <cp:lastModifiedBy>Zhu, Julia (AHRQ/CFACT)</cp:lastModifiedBy>
  <cp:revision>7</cp:revision>
  <dcterms:created xsi:type="dcterms:W3CDTF">2024-06-06T17:55:00Z</dcterms:created>
  <dcterms:modified xsi:type="dcterms:W3CDTF">2024-06-06T20:45:00Z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0x010100B0D42D785AD8D2439D0DB0214DCC34C0</vt:lpwstr>
  </property>
</Properties>
</file>