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D01C" w14:textId="3E8ADDF5" w:rsidR="008A716D" w:rsidRPr="009816DB" w:rsidRDefault="008A716D" w:rsidP="0073513C">
      <w:pPr>
        <w:pStyle w:val="CoverSheetTitleBold"/>
      </w:pPr>
      <w:bookmarkStart w:id="0" w:name="Text48"/>
      <w:r w:rsidRPr="009816DB">
        <w:t>Medical Expenditure Panel Survey</w:t>
      </w:r>
      <w:r w:rsidR="00853D10">
        <w:rPr>
          <w:rFonts w:cs="Arial"/>
        </w:rPr>
        <w:t xml:space="preserve"> </w:t>
      </w:r>
      <w:r w:rsidRPr="009816DB">
        <w:t>Medical Provider Component (</w:t>
      </w:r>
      <w:r w:rsidR="00B820E5">
        <w:t>MEPS MPC</w:t>
      </w:r>
      <w:r w:rsidRPr="009816DB">
        <w:t>)</w:t>
      </w:r>
    </w:p>
    <w:p w14:paraId="564E9E1C" w14:textId="740936B6" w:rsidR="008A716D" w:rsidRPr="009816DB" w:rsidRDefault="00B535E2" w:rsidP="00B535E2">
      <w:pPr>
        <w:pStyle w:val="CoverSheetTitleBold"/>
        <w:tabs>
          <w:tab w:val="left" w:pos="8076"/>
        </w:tabs>
        <w:jc w:val="left"/>
      </w:pPr>
      <w:r>
        <w:tab/>
      </w:r>
    </w:p>
    <w:p w14:paraId="21146D25" w14:textId="0152F871" w:rsidR="008A716D" w:rsidRPr="009816DB" w:rsidRDefault="00227426" w:rsidP="00C53F77">
      <w:pPr>
        <w:pStyle w:val="CoverSheetName"/>
        <w:rPr>
          <w:rStyle w:val="CoverSheetSub-Title"/>
        </w:rPr>
      </w:pPr>
      <w:r>
        <w:rPr>
          <w:rStyle w:val="CoverSheetSub-Title"/>
        </w:rPr>
        <w:t xml:space="preserve">MPC </w:t>
      </w:r>
      <w:r w:rsidR="00C238CD">
        <w:rPr>
          <w:rStyle w:val="CoverSheetSub-Title"/>
        </w:rPr>
        <w:t xml:space="preserve">2023 </w:t>
      </w:r>
      <w:r>
        <w:rPr>
          <w:rStyle w:val="CoverSheetSub-Title"/>
        </w:rPr>
        <w:t>Cycle Consolidated SBD Sample Development, Preparation, and Data Collection Plan</w:t>
      </w:r>
    </w:p>
    <w:p w14:paraId="27ABD72B" w14:textId="77777777" w:rsidR="00E03295" w:rsidRDefault="00E03295" w:rsidP="00E03295">
      <w:pPr>
        <w:pStyle w:val="Cov-Address"/>
      </w:pPr>
    </w:p>
    <w:p w14:paraId="066A6557" w14:textId="6711A758" w:rsidR="00890E02" w:rsidRDefault="008A716D" w:rsidP="00890E02">
      <w:pPr>
        <w:pStyle w:val="Version"/>
      </w:pPr>
      <w:r w:rsidRPr="009816DB">
        <w:t>Deliverable</w:t>
      </w:r>
      <w:r w:rsidR="00890E02">
        <w:t xml:space="preserve"> </w:t>
      </w:r>
      <w:r w:rsidR="00327764">
        <w:t>OP3</w:t>
      </w:r>
      <w:r w:rsidR="00890E02">
        <w:t>-</w:t>
      </w:r>
      <w:r w:rsidR="00227426">
        <w:t>8</w:t>
      </w:r>
    </w:p>
    <w:p w14:paraId="3ABE707B" w14:textId="52420008" w:rsidR="008A716D" w:rsidRPr="009816DB" w:rsidRDefault="008A716D" w:rsidP="00890E02">
      <w:pPr>
        <w:pStyle w:val="Version"/>
      </w:pPr>
      <w:r w:rsidRPr="009816DB">
        <w:t xml:space="preserve">Version </w:t>
      </w:r>
      <w:r w:rsidR="00EE689A">
        <w:t>2</w:t>
      </w:r>
      <w:r w:rsidRPr="009816DB">
        <w:t>.</w:t>
      </w:r>
      <w:r w:rsidR="00212788">
        <w:t>0</w:t>
      </w:r>
    </w:p>
    <w:p w14:paraId="36EDE92A" w14:textId="77777777" w:rsidR="00E03295" w:rsidRDefault="00E03295" w:rsidP="00E03295">
      <w:pPr>
        <w:pStyle w:val="Cov-Address"/>
      </w:pPr>
    </w:p>
    <w:p w14:paraId="6016B8DD" w14:textId="2B4DBFD3" w:rsidR="008A716D" w:rsidRDefault="00EA047D" w:rsidP="00A46F4C">
      <w:pPr>
        <w:pStyle w:val="Cov-Date"/>
      </w:pPr>
      <w:r>
        <w:t xml:space="preserve">January </w:t>
      </w:r>
      <w:r w:rsidR="00327764">
        <w:t>2024</w:t>
      </w:r>
    </w:p>
    <w:p w14:paraId="62BED07F" w14:textId="77777777" w:rsidR="008A716D" w:rsidRPr="009816DB" w:rsidRDefault="008A716D" w:rsidP="00E03295">
      <w:pPr>
        <w:pStyle w:val="Cov-Address"/>
      </w:pPr>
    </w:p>
    <w:p w14:paraId="4D518CA6" w14:textId="77777777" w:rsidR="008A716D" w:rsidRPr="009816DB" w:rsidRDefault="008A716D" w:rsidP="0073513C">
      <w:pPr>
        <w:pStyle w:val="Cov-Address"/>
      </w:pPr>
      <w:r w:rsidRPr="009816DB">
        <w:t>Prepared for</w:t>
      </w:r>
    </w:p>
    <w:p w14:paraId="4C8DA774" w14:textId="77777777" w:rsidR="008A716D" w:rsidRPr="009816DB" w:rsidRDefault="008A716D" w:rsidP="00E03295">
      <w:pPr>
        <w:pStyle w:val="Cov-Address"/>
      </w:pPr>
    </w:p>
    <w:p w14:paraId="715DDD3C" w14:textId="77777777" w:rsidR="008A716D" w:rsidRPr="009816DB" w:rsidRDefault="008A716D" w:rsidP="0073513C">
      <w:pPr>
        <w:pStyle w:val="Cov-Address"/>
        <w:rPr>
          <w:b/>
          <w:bCs/>
        </w:rPr>
      </w:pPr>
      <w:r w:rsidRPr="009816DB">
        <w:rPr>
          <w:b/>
          <w:bCs/>
        </w:rPr>
        <w:t>Agency for Healthcare Research and Quality</w:t>
      </w:r>
    </w:p>
    <w:p w14:paraId="61971C24" w14:textId="77777777" w:rsidR="008A716D" w:rsidRPr="009816DB" w:rsidRDefault="008A716D" w:rsidP="0073513C">
      <w:pPr>
        <w:pStyle w:val="Cov-Address"/>
      </w:pPr>
      <w:r w:rsidRPr="009816DB">
        <w:t>AHRQ, Center for Financing, Access &amp; Cost Trends</w:t>
      </w:r>
    </w:p>
    <w:p w14:paraId="7D1F80A5" w14:textId="32CAE89B" w:rsidR="008A716D" w:rsidRPr="009816DB" w:rsidRDefault="00940CDD" w:rsidP="0073513C">
      <w:pPr>
        <w:pStyle w:val="Cov-Address"/>
      </w:pPr>
      <w:r>
        <w:t>5600 Fishers Lane</w:t>
      </w:r>
      <w:r w:rsidR="008A716D" w:rsidRPr="009816DB">
        <w:t xml:space="preserve"> </w:t>
      </w:r>
    </w:p>
    <w:p w14:paraId="3C97258A" w14:textId="2D4A5854" w:rsidR="008A716D" w:rsidRPr="009816DB" w:rsidRDefault="008A716D" w:rsidP="0073513C">
      <w:pPr>
        <w:pStyle w:val="Cov-Address"/>
      </w:pPr>
      <w:r w:rsidRPr="009816DB">
        <w:t>Rockville, MD 2085</w:t>
      </w:r>
      <w:r w:rsidR="00940CDD">
        <w:t>7</w:t>
      </w:r>
    </w:p>
    <w:p w14:paraId="0D87F2AE" w14:textId="77777777" w:rsidR="008A716D" w:rsidRPr="009816DB" w:rsidRDefault="008A716D" w:rsidP="0073513C">
      <w:pPr>
        <w:pStyle w:val="Cov-Address"/>
      </w:pPr>
    </w:p>
    <w:p w14:paraId="3375C4FE" w14:textId="77777777" w:rsidR="008A716D" w:rsidRPr="009816DB" w:rsidRDefault="008A716D" w:rsidP="0073513C">
      <w:pPr>
        <w:pStyle w:val="Cov-Address"/>
      </w:pPr>
      <w:r w:rsidRPr="009816DB">
        <w:t>Prepared by</w:t>
      </w:r>
    </w:p>
    <w:p w14:paraId="48131E90" w14:textId="77777777" w:rsidR="008A716D" w:rsidRPr="009816DB" w:rsidRDefault="008A716D" w:rsidP="0073513C">
      <w:pPr>
        <w:pStyle w:val="Cov-Address"/>
      </w:pPr>
    </w:p>
    <w:p w14:paraId="20884F6F" w14:textId="77777777" w:rsidR="008A716D" w:rsidRPr="00D03C74" w:rsidRDefault="008A716D" w:rsidP="0073513C">
      <w:pPr>
        <w:pStyle w:val="Cov-Address"/>
        <w:rPr>
          <w:b/>
        </w:rPr>
      </w:pPr>
      <w:r w:rsidRPr="00D03C74">
        <w:rPr>
          <w:b/>
        </w:rPr>
        <w:t>RTI International</w:t>
      </w:r>
    </w:p>
    <w:p w14:paraId="285C15FD" w14:textId="77777777" w:rsidR="008A716D" w:rsidRPr="009816DB" w:rsidRDefault="008A716D" w:rsidP="0073513C">
      <w:pPr>
        <w:pStyle w:val="Cov-Address"/>
      </w:pPr>
      <w:smartTag w:uri="urn:schemas-microsoft-com:office:smarttags" w:element="Street">
        <w:smartTag w:uri="urn:schemas-microsoft-com:office:smarttags" w:element="address">
          <w:smartTag w:uri="urn:schemas-microsoft-com:office:smarttags" w:element="PlaceType">
            <w:r w:rsidRPr="009816DB">
              <w:t>3040 Cornwallis Road</w:t>
            </w:r>
          </w:smartTag>
        </w:smartTag>
      </w:smartTag>
    </w:p>
    <w:p w14:paraId="6FC45B61" w14:textId="77777777" w:rsidR="008A716D" w:rsidRPr="009816DB" w:rsidRDefault="008A716D" w:rsidP="0073513C">
      <w:pPr>
        <w:pStyle w:val="Cov-Address"/>
      </w:pPr>
      <w:smartTag w:uri="urn:schemas-microsoft-com:office:smarttags" w:element="address">
        <w:smartTag w:uri="urn:schemas-microsoft-com:office:smarttags" w:element="Street">
          <w:smartTag w:uri="urn:schemas-microsoft-com:office:smarttags" w:element="Street">
            <w:smartTag w:uri="urn:schemas-microsoft-com:office:smarttags" w:element="address">
              <w:smartTag w:uri="urn:schemas-microsoft-com:office:smarttags" w:element="PlaceType">
                <w:r w:rsidRPr="009816DB">
                  <w:t>PO Box</w:t>
                </w:r>
              </w:smartTag>
            </w:smartTag>
          </w:smartTag>
          <w:r w:rsidRPr="009816DB">
            <w:t xml:space="preserve"> 12194</w:t>
          </w:r>
        </w:smartTag>
      </w:smartTag>
    </w:p>
    <w:p w14:paraId="5AF29B96" w14:textId="77777777" w:rsidR="008A716D" w:rsidRPr="009816DB" w:rsidRDefault="008A716D" w:rsidP="0073513C">
      <w:pPr>
        <w:pStyle w:val="Cov-Address"/>
      </w:pPr>
      <w:smartTag w:uri="urn:schemas-microsoft-com:office:smarttags" w:element="place">
        <w:smartTag w:uri="urn:schemas-microsoft-com:office:smarttags" w:element="City">
          <w:smartTag w:uri="urn:schemas-microsoft-com:office:smarttags" w:element="City">
            <w:smartTag w:uri="urn:schemas-microsoft-com:office:smarttags" w:element="PlaceType">
              <w:r w:rsidRPr="009816DB">
                <w:t>Research Triangle Park</w:t>
              </w:r>
            </w:smartTag>
          </w:smartTag>
          <w:r w:rsidRPr="009816DB">
            <w:t xml:space="preserve">, </w:t>
          </w:r>
          <w:smartTag w:uri="urn:schemas-microsoft-com:office:smarttags" w:element="State">
            <w:smartTag w:uri="urn:schemas-microsoft-com:office:smarttags" w:element="PlaceType">
              <w:r w:rsidRPr="009816DB">
                <w:t>NC</w:t>
              </w:r>
            </w:smartTag>
          </w:smartTag>
          <w:r w:rsidRPr="009816DB">
            <w:t xml:space="preserve"> </w:t>
          </w:r>
          <w:smartTag w:uri="urn:schemas-microsoft-com:office:smarttags" w:element="PostalCode">
            <w:smartTag w:uri="urn:schemas-microsoft-com:office:smarttags" w:element="PlaceType">
              <w:r w:rsidRPr="009816DB">
                <w:t>27709-2194</w:t>
              </w:r>
            </w:smartTag>
          </w:smartTag>
        </w:smartTag>
      </w:smartTag>
    </w:p>
    <w:p w14:paraId="2847B35E" w14:textId="77777777" w:rsidR="008A716D" w:rsidRPr="009816DB" w:rsidRDefault="008A716D" w:rsidP="0073513C">
      <w:pPr>
        <w:pStyle w:val="Cov-Address"/>
      </w:pPr>
    </w:p>
    <w:p w14:paraId="0DF11038" w14:textId="4A70AAED" w:rsidR="008A716D" w:rsidRPr="00227426" w:rsidRDefault="006B0EC0" w:rsidP="0073513C">
      <w:pPr>
        <w:jc w:val="right"/>
        <w:rPr>
          <w:rFonts w:ascii="Arial" w:hAnsi="Arial" w:cs="Arial"/>
          <w:sz w:val="22"/>
          <w:szCs w:val="22"/>
        </w:rPr>
      </w:pPr>
      <w:r w:rsidRPr="00227426">
        <w:rPr>
          <w:rFonts w:ascii="Arial" w:hAnsi="Arial" w:cs="Arial"/>
          <w:noProof/>
          <w:sz w:val="22"/>
          <w:szCs w:val="22"/>
        </w:rPr>
        <w:drawing>
          <wp:anchor distT="0" distB="0" distL="114300" distR="114300" simplePos="0" relativeHeight="251658240" behindDoc="0" locked="1" layoutInCell="1" allowOverlap="1" wp14:anchorId="20575170" wp14:editId="50DC0A81">
            <wp:simplePos x="0" y="0"/>
            <wp:positionH relativeFrom="column">
              <wp:posOffset>4756785</wp:posOffset>
            </wp:positionH>
            <wp:positionV relativeFrom="page">
              <wp:posOffset>8388985</wp:posOffset>
            </wp:positionV>
            <wp:extent cx="1487805" cy="945515"/>
            <wp:effectExtent l="0" t="0" r="0" b="0"/>
            <wp:wrapNone/>
            <wp:docPr id="4" name="Picture 4" descr="RTI_653_1in_tran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I_653_1in_tran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805" cy="94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6D" w:rsidRPr="00227426">
        <w:rPr>
          <w:rFonts w:ascii="Arial" w:hAnsi="Arial" w:cs="Arial"/>
          <w:sz w:val="22"/>
          <w:szCs w:val="22"/>
        </w:rPr>
        <w:t xml:space="preserve">AHRQ Contract Number </w:t>
      </w:r>
      <w:r w:rsidR="00227426" w:rsidRPr="00227426">
        <w:rPr>
          <w:rFonts w:ascii="Arial" w:hAnsi="Arial" w:cs="Arial"/>
          <w:bCs/>
          <w:sz w:val="22"/>
          <w:szCs w:val="22"/>
        </w:rPr>
        <w:t>75Q80121C00005</w:t>
      </w:r>
    </w:p>
    <w:p w14:paraId="7407DFA6" w14:textId="77777777" w:rsidR="0073513C" w:rsidRDefault="0073513C" w:rsidP="0073513C">
      <w:pPr>
        <w:pStyle w:val="TableHeading"/>
        <w:spacing w:after="120"/>
        <w:sectPr w:rsidR="0073513C" w:rsidSect="0073513C">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pPr>
    </w:p>
    <w:p w14:paraId="6E519DE9" w14:textId="77777777" w:rsidR="008A716D" w:rsidRPr="009816DB" w:rsidRDefault="008A716D" w:rsidP="0073513C">
      <w:pPr>
        <w:tabs>
          <w:tab w:val="left" w:pos="1080"/>
        </w:tabs>
      </w:pPr>
    </w:p>
    <w:p w14:paraId="4C23E430" w14:textId="77777777" w:rsidR="008A716D" w:rsidRPr="009816DB" w:rsidRDefault="008A716D" w:rsidP="0073513C">
      <w:pPr>
        <w:tabs>
          <w:tab w:val="left" w:pos="1080"/>
        </w:tabs>
      </w:pPr>
    </w:p>
    <w:p w14:paraId="6414D2D8" w14:textId="77777777" w:rsidR="00FB2B15" w:rsidRDefault="00FB2B15" w:rsidP="00FB2B15">
      <w:pPr>
        <w:tabs>
          <w:tab w:val="left" w:pos="1080"/>
        </w:tabs>
      </w:pPr>
      <w:r w:rsidRPr="00A04579">
        <w:rPr>
          <w:rFonts w:ascii="Arial" w:hAnsi="Arial" w:cs="Arial"/>
          <w:b/>
          <w:color w:val="0070C0"/>
          <w:sz w:val="28"/>
          <w:szCs w:val="28"/>
        </w:rPr>
        <w:t xml:space="preserve">This document was edited in </w:t>
      </w:r>
      <w:r>
        <w:rPr>
          <w:rFonts w:ascii="Arial" w:hAnsi="Arial" w:cs="Arial"/>
          <w:b/>
          <w:color w:val="0070C0"/>
          <w:sz w:val="28"/>
          <w:szCs w:val="28"/>
        </w:rPr>
        <w:t>December</w:t>
      </w:r>
      <w:r w:rsidRPr="00A04579">
        <w:rPr>
          <w:rFonts w:ascii="Arial" w:hAnsi="Arial" w:cs="Arial"/>
          <w:b/>
          <w:color w:val="0070C0"/>
          <w:sz w:val="28"/>
          <w:szCs w:val="28"/>
        </w:rPr>
        <w:t xml:space="preserve"> 2024 to redact potentially sensitive or proprietary information</w:t>
      </w:r>
      <w:r>
        <w:rPr>
          <w:rFonts w:ascii="Arial" w:hAnsi="Arial" w:cs="Arial"/>
          <w:b/>
          <w:sz w:val="28"/>
          <w:szCs w:val="28"/>
        </w:rPr>
        <w:t>.</w:t>
      </w:r>
    </w:p>
    <w:p w14:paraId="17F5D8B0" w14:textId="77777777" w:rsidR="008A716D" w:rsidRPr="009816DB" w:rsidRDefault="008A716D" w:rsidP="0073513C">
      <w:pPr>
        <w:tabs>
          <w:tab w:val="left" w:pos="1080"/>
        </w:tabs>
      </w:pPr>
    </w:p>
    <w:p w14:paraId="4D8683D8" w14:textId="77777777" w:rsidR="008A716D" w:rsidRPr="009816DB" w:rsidRDefault="008A716D" w:rsidP="0073513C">
      <w:pPr>
        <w:tabs>
          <w:tab w:val="left" w:pos="1080"/>
        </w:tabs>
      </w:pPr>
    </w:p>
    <w:p w14:paraId="3C7CE03E" w14:textId="77777777" w:rsidR="008A716D" w:rsidRPr="009816DB" w:rsidRDefault="008A716D" w:rsidP="0073513C">
      <w:pPr>
        <w:pStyle w:val="TableHeading"/>
        <w:spacing w:after="120"/>
      </w:pPr>
      <w:r w:rsidRPr="009816DB">
        <w:t>Revision History</w:t>
      </w:r>
    </w:p>
    <w:tbl>
      <w:tblPr>
        <w:tblW w:w="5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1083"/>
        <w:gridCol w:w="2073"/>
        <w:gridCol w:w="2618"/>
      </w:tblGrid>
      <w:tr w:rsidR="00FB2B15" w:rsidRPr="009816DB" w14:paraId="661EF5FF" w14:textId="77777777" w:rsidTr="00FB2B15">
        <w:trPr>
          <w:trHeight w:val="288"/>
        </w:trPr>
        <w:tc>
          <w:tcPr>
            <w:tcW w:w="1083" w:type="dxa"/>
            <w:shd w:val="clear" w:color="auto" w:fill="CCCCCC"/>
            <w:vAlign w:val="center"/>
          </w:tcPr>
          <w:p w14:paraId="1DB37E25" w14:textId="77777777" w:rsidR="00FB2B15" w:rsidRPr="009816DB" w:rsidRDefault="00FB2B15" w:rsidP="0073513C">
            <w:pPr>
              <w:pStyle w:val="TableHeading"/>
            </w:pPr>
            <w:r w:rsidRPr="009816DB">
              <w:t>Version</w:t>
            </w:r>
          </w:p>
        </w:tc>
        <w:tc>
          <w:tcPr>
            <w:tcW w:w="2073" w:type="dxa"/>
            <w:shd w:val="clear" w:color="auto" w:fill="CCCCCC"/>
            <w:vAlign w:val="center"/>
          </w:tcPr>
          <w:p w14:paraId="020ECDF9" w14:textId="77777777" w:rsidR="00FB2B15" w:rsidRPr="009816DB" w:rsidRDefault="00FB2B15" w:rsidP="0073513C">
            <w:pPr>
              <w:pStyle w:val="TableHeading"/>
            </w:pPr>
            <w:r w:rsidRPr="009816DB">
              <w:t>Date</w:t>
            </w:r>
          </w:p>
        </w:tc>
        <w:tc>
          <w:tcPr>
            <w:tcW w:w="2618" w:type="dxa"/>
            <w:shd w:val="clear" w:color="auto" w:fill="CCCCCC"/>
            <w:vAlign w:val="center"/>
          </w:tcPr>
          <w:p w14:paraId="0D007897" w14:textId="77777777" w:rsidR="00FB2B15" w:rsidRPr="009816DB" w:rsidRDefault="00FB2B15" w:rsidP="0073513C">
            <w:pPr>
              <w:pStyle w:val="TableHeading"/>
            </w:pPr>
            <w:r w:rsidRPr="009816DB">
              <w:t>Comments</w:t>
            </w:r>
          </w:p>
        </w:tc>
      </w:tr>
      <w:tr w:rsidR="00FB2B15" w:rsidRPr="009816DB" w14:paraId="70AA6FE9" w14:textId="77777777" w:rsidTr="00FB2B15">
        <w:trPr>
          <w:trHeight w:val="285"/>
        </w:trPr>
        <w:tc>
          <w:tcPr>
            <w:tcW w:w="1083" w:type="dxa"/>
            <w:vAlign w:val="center"/>
          </w:tcPr>
          <w:p w14:paraId="4CD030DC" w14:textId="77777777" w:rsidR="00FB2B15" w:rsidRPr="009816DB" w:rsidRDefault="00FB2B15" w:rsidP="0073513C">
            <w:pPr>
              <w:pStyle w:val="TableText"/>
            </w:pPr>
            <w:r w:rsidRPr="009816DB">
              <w:t>1.0</w:t>
            </w:r>
          </w:p>
        </w:tc>
        <w:tc>
          <w:tcPr>
            <w:tcW w:w="2073" w:type="dxa"/>
            <w:vAlign w:val="center"/>
          </w:tcPr>
          <w:p w14:paraId="1D94C6AA" w14:textId="1FF03A7E" w:rsidR="00FB2B15" w:rsidRPr="006B0EC0" w:rsidRDefault="00FB2B15" w:rsidP="00940CDD">
            <w:pPr>
              <w:pStyle w:val="TableText"/>
              <w:rPr>
                <w:lang w:val="en-US"/>
              </w:rPr>
            </w:pPr>
            <w:r>
              <w:rPr>
                <w:lang w:val="en-US"/>
              </w:rPr>
              <w:t>1/30/24</w:t>
            </w:r>
          </w:p>
        </w:tc>
        <w:tc>
          <w:tcPr>
            <w:tcW w:w="2618" w:type="dxa"/>
            <w:vAlign w:val="center"/>
          </w:tcPr>
          <w:p w14:paraId="6F963635" w14:textId="2F043884" w:rsidR="00FB2B15" w:rsidRPr="00072995" w:rsidRDefault="00FB2B15" w:rsidP="0073513C">
            <w:pPr>
              <w:pStyle w:val="TableText"/>
              <w:rPr>
                <w:lang w:val="en-US"/>
              </w:rPr>
            </w:pPr>
            <w:r>
              <w:rPr>
                <w:lang w:val="en-US"/>
              </w:rPr>
              <w:t>Updating for OP3</w:t>
            </w:r>
          </w:p>
        </w:tc>
      </w:tr>
      <w:tr w:rsidR="00FB2B15" w:rsidRPr="009816DB" w14:paraId="0FF9A25B" w14:textId="77777777" w:rsidTr="00FB2B15">
        <w:trPr>
          <w:trHeight w:val="285"/>
        </w:trPr>
        <w:tc>
          <w:tcPr>
            <w:tcW w:w="1083" w:type="dxa"/>
            <w:tcBorders>
              <w:top w:val="single" w:sz="4" w:space="0" w:color="auto"/>
              <w:left w:val="single" w:sz="4" w:space="0" w:color="auto"/>
              <w:bottom w:val="single" w:sz="4" w:space="0" w:color="auto"/>
              <w:right w:val="single" w:sz="4" w:space="0" w:color="auto"/>
            </w:tcBorders>
            <w:vAlign w:val="center"/>
          </w:tcPr>
          <w:p w14:paraId="65B0E2C1" w14:textId="233B7089" w:rsidR="00FB2B15" w:rsidRPr="009816DB" w:rsidRDefault="00FB2B15" w:rsidP="00176371">
            <w:pPr>
              <w:pStyle w:val="TableText"/>
            </w:pPr>
            <w:r>
              <w:rPr>
                <w:lang w:val="en-US"/>
              </w:rPr>
              <w:t>2</w:t>
            </w:r>
            <w:r w:rsidRPr="009816DB">
              <w:t>.0</w:t>
            </w:r>
          </w:p>
        </w:tc>
        <w:tc>
          <w:tcPr>
            <w:tcW w:w="2073" w:type="dxa"/>
            <w:tcBorders>
              <w:top w:val="single" w:sz="4" w:space="0" w:color="auto"/>
              <w:left w:val="single" w:sz="4" w:space="0" w:color="auto"/>
              <w:bottom w:val="single" w:sz="4" w:space="0" w:color="auto"/>
              <w:right w:val="single" w:sz="4" w:space="0" w:color="auto"/>
            </w:tcBorders>
            <w:vAlign w:val="center"/>
          </w:tcPr>
          <w:p w14:paraId="3E288DD5" w14:textId="2BD9D603" w:rsidR="00FB2B15" w:rsidRPr="006B0EC0" w:rsidRDefault="00FB2B15" w:rsidP="00176371">
            <w:pPr>
              <w:pStyle w:val="TableText"/>
              <w:rPr>
                <w:lang w:val="en-US"/>
              </w:rPr>
            </w:pPr>
            <w:r>
              <w:rPr>
                <w:lang w:val="en-US"/>
              </w:rPr>
              <w:t>2/14/24</w:t>
            </w:r>
          </w:p>
        </w:tc>
        <w:tc>
          <w:tcPr>
            <w:tcW w:w="2618" w:type="dxa"/>
            <w:tcBorders>
              <w:top w:val="single" w:sz="4" w:space="0" w:color="auto"/>
              <w:left w:val="single" w:sz="4" w:space="0" w:color="auto"/>
              <w:bottom w:val="single" w:sz="4" w:space="0" w:color="auto"/>
              <w:right w:val="single" w:sz="4" w:space="0" w:color="auto"/>
            </w:tcBorders>
            <w:vAlign w:val="center"/>
          </w:tcPr>
          <w:p w14:paraId="34D5FA8C" w14:textId="3B266038" w:rsidR="00FB2B15" w:rsidRPr="00072995" w:rsidRDefault="00FB2B15" w:rsidP="00176371">
            <w:pPr>
              <w:pStyle w:val="TableText"/>
              <w:rPr>
                <w:lang w:val="en-US"/>
              </w:rPr>
            </w:pPr>
            <w:r>
              <w:rPr>
                <w:lang w:val="en-US"/>
              </w:rPr>
              <w:t>Responding to AHRQ feedback</w:t>
            </w:r>
          </w:p>
        </w:tc>
      </w:tr>
    </w:tbl>
    <w:p w14:paraId="10CDDF22" w14:textId="77777777" w:rsidR="008A716D" w:rsidRPr="009816DB" w:rsidRDefault="008A716D" w:rsidP="0073513C"/>
    <w:p w14:paraId="44F5DA98" w14:textId="77777777" w:rsidR="008A716D" w:rsidRPr="009816DB" w:rsidRDefault="008A716D" w:rsidP="0073513C"/>
    <w:p w14:paraId="26CFC3E3" w14:textId="77777777" w:rsidR="008A716D" w:rsidRPr="009816DB" w:rsidRDefault="003C2B28" w:rsidP="0073513C">
      <w:pPr>
        <w:pStyle w:val="TOC0"/>
      </w:pPr>
      <w:bookmarkStart w:id="1" w:name="_Toc107116875"/>
      <w:bookmarkStart w:id="2" w:name="_Toc107116916"/>
      <w:r>
        <w:br w:type="page"/>
      </w:r>
      <w:r w:rsidR="008A716D" w:rsidRPr="009816DB">
        <w:lastRenderedPageBreak/>
        <w:t>Table of Contents</w:t>
      </w:r>
      <w:bookmarkEnd w:id="1"/>
      <w:bookmarkEnd w:id="2"/>
      <w:r w:rsidR="008A716D" w:rsidRPr="009816DB">
        <w:t xml:space="preserve"> </w:t>
      </w:r>
    </w:p>
    <w:p w14:paraId="51570FAF" w14:textId="17DDDA35" w:rsidR="00D46B96" w:rsidRDefault="0073513C">
      <w:pPr>
        <w:pStyle w:val="TOC1"/>
        <w:rPr>
          <w:rFonts w:asciiTheme="minorHAnsi" w:eastAsiaTheme="minorEastAsia" w:hAnsiTheme="minorHAnsi" w:cstheme="minorBidi"/>
          <w:kern w:val="2"/>
          <w:sz w:val="22"/>
          <w:szCs w:val="22"/>
          <w14:ligatures w14:val="standardContextual"/>
        </w:rPr>
      </w:pPr>
      <w:r>
        <w:fldChar w:fldCharType="begin"/>
      </w:r>
      <w:r>
        <w:instrText xml:space="preserve"> TOC \t "Heading 1,1,Heading 2,2,Heading 3,3" </w:instrText>
      </w:r>
      <w:r>
        <w:fldChar w:fldCharType="separate"/>
      </w:r>
      <w:r w:rsidR="00D46B96">
        <w:t>1</w:t>
      </w:r>
      <w:r w:rsidR="00D46B96">
        <w:rPr>
          <w:rFonts w:asciiTheme="minorHAnsi" w:eastAsiaTheme="minorEastAsia" w:hAnsiTheme="minorHAnsi" w:cstheme="minorBidi"/>
          <w:kern w:val="2"/>
          <w:sz w:val="22"/>
          <w:szCs w:val="22"/>
          <w14:ligatures w14:val="standardContextual"/>
        </w:rPr>
        <w:tab/>
      </w:r>
      <w:r w:rsidR="00D46B96">
        <w:t>Introduction and Overview</w:t>
      </w:r>
      <w:r w:rsidR="00D46B96">
        <w:tab/>
      </w:r>
      <w:r w:rsidR="00D46B96">
        <w:fldChar w:fldCharType="begin"/>
      </w:r>
      <w:r w:rsidR="00D46B96">
        <w:instrText xml:space="preserve"> PAGEREF _Toc188880692 \h </w:instrText>
      </w:r>
      <w:r w:rsidR="00D46B96">
        <w:fldChar w:fldCharType="separate"/>
      </w:r>
      <w:r w:rsidR="00D46B96">
        <w:t>3</w:t>
      </w:r>
      <w:r w:rsidR="00D46B96">
        <w:fldChar w:fldCharType="end"/>
      </w:r>
    </w:p>
    <w:p w14:paraId="14019DC2" w14:textId="40DB7BA1" w:rsidR="00D46B96" w:rsidRDefault="00D46B96">
      <w:pPr>
        <w:pStyle w:val="TOC1"/>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 xml:space="preserve">Sample </w:t>
      </w:r>
      <w:r w:rsidRPr="00EF63CB">
        <w:t>Development and Preparation</w:t>
      </w:r>
      <w:r>
        <w:tab/>
      </w:r>
      <w:r>
        <w:fldChar w:fldCharType="begin"/>
      </w:r>
      <w:r>
        <w:instrText xml:space="preserve"> PAGEREF _Toc188880693 \h </w:instrText>
      </w:r>
      <w:r>
        <w:fldChar w:fldCharType="separate"/>
      </w:r>
      <w:r>
        <w:t>4</w:t>
      </w:r>
      <w:r>
        <w:fldChar w:fldCharType="end"/>
      </w:r>
    </w:p>
    <w:p w14:paraId="1D0DC9EF" w14:textId="0E9F3963" w:rsidR="00D46B96" w:rsidRDefault="00D46B96">
      <w:pPr>
        <w:pStyle w:val="TOC2"/>
        <w:rPr>
          <w:rFonts w:asciiTheme="minorHAnsi" w:eastAsiaTheme="minorEastAsia" w:hAnsiTheme="minorHAnsi" w:cstheme="minorBidi"/>
          <w:kern w:val="2"/>
          <w:sz w:val="22"/>
          <w14:ligatures w14:val="standardContextual"/>
        </w:rPr>
      </w:pPr>
      <w:r>
        <w:t>2.1</w:t>
      </w:r>
      <w:r>
        <w:rPr>
          <w:rFonts w:asciiTheme="minorHAnsi" w:eastAsiaTheme="minorEastAsia" w:hAnsiTheme="minorHAnsi" w:cstheme="minorBidi"/>
          <w:kern w:val="2"/>
          <w:sz w:val="22"/>
          <w14:ligatures w14:val="standardContextual"/>
        </w:rPr>
        <w:tab/>
      </w:r>
      <w:r>
        <w:t>Identification of Potential SBD</w:t>
      </w:r>
      <w:r w:rsidRPr="00EF63CB">
        <w:t>s</w:t>
      </w:r>
      <w:r>
        <w:tab/>
      </w:r>
      <w:r>
        <w:fldChar w:fldCharType="begin"/>
      </w:r>
      <w:r>
        <w:instrText xml:space="preserve"> PAGEREF _Toc188880694 \h </w:instrText>
      </w:r>
      <w:r>
        <w:fldChar w:fldCharType="separate"/>
      </w:r>
      <w:r>
        <w:t>4</w:t>
      </w:r>
      <w:r>
        <w:fldChar w:fldCharType="end"/>
      </w:r>
    </w:p>
    <w:p w14:paraId="3508A0FA" w14:textId="1E5BFF60" w:rsidR="00D46B96" w:rsidRDefault="00D46B96">
      <w:pPr>
        <w:pStyle w:val="TOC2"/>
        <w:rPr>
          <w:rFonts w:asciiTheme="minorHAnsi" w:eastAsiaTheme="minorEastAsia" w:hAnsiTheme="minorHAnsi" w:cstheme="minorBidi"/>
          <w:kern w:val="2"/>
          <w:sz w:val="22"/>
          <w14:ligatures w14:val="standardContextual"/>
        </w:rPr>
      </w:pPr>
      <w:r>
        <w:t>2.2</w:t>
      </w:r>
      <w:r>
        <w:rPr>
          <w:rFonts w:asciiTheme="minorHAnsi" w:eastAsiaTheme="minorEastAsia" w:hAnsiTheme="minorHAnsi" w:cstheme="minorBidi"/>
          <w:kern w:val="2"/>
          <w:sz w:val="22"/>
          <w14:ligatures w14:val="standardContextual"/>
        </w:rPr>
        <w:tab/>
      </w:r>
      <w:r>
        <w:t>Collecting Contact Information and Confirming Billing Status</w:t>
      </w:r>
      <w:r>
        <w:tab/>
      </w:r>
      <w:r>
        <w:fldChar w:fldCharType="begin"/>
      </w:r>
      <w:r>
        <w:instrText xml:space="preserve"> PAGEREF _Toc188880695 \h </w:instrText>
      </w:r>
      <w:r>
        <w:fldChar w:fldCharType="separate"/>
      </w:r>
      <w:r>
        <w:t>5</w:t>
      </w:r>
      <w:r>
        <w:fldChar w:fldCharType="end"/>
      </w:r>
    </w:p>
    <w:p w14:paraId="271477C8" w14:textId="1EEAD353" w:rsidR="00D46B96" w:rsidRDefault="00D46B96">
      <w:pPr>
        <w:pStyle w:val="TOC2"/>
        <w:rPr>
          <w:rFonts w:asciiTheme="minorHAnsi" w:eastAsiaTheme="minorEastAsia" w:hAnsiTheme="minorHAnsi" w:cstheme="minorBidi"/>
          <w:kern w:val="2"/>
          <w:sz w:val="22"/>
          <w14:ligatures w14:val="standardContextual"/>
        </w:rPr>
      </w:pPr>
      <w:r w:rsidRPr="00EF63CB">
        <w:t>2.3</w:t>
      </w:r>
      <w:r>
        <w:rPr>
          <w:rFonts w:asciiTheme="minorHAnsi" w:eastAsiaTheme="minorEastAsia" w:hAnsiTheme="minorHAnsi" w:cstheme="minorBidi"/>
          <w:kern w:val="2"/>
          <w:sz w:val="22"/>
          <w14:ligatures w14:val="standardContextual"/>
        </w:rPr>
        <w:tab/>
      </w:r>
      <w:r>
        <w:t>SBD Coding</w:t>
      </w:r>
      <w:r>
        <w:tab/>
      </w:r>
      <w:r>
        <w:fldChar w:fldCharType="begin"/>
      </w:r>
      <w:r>
        <w:instrText xml:space="preserve"> PAGEREF _Toc188880696 \h </w:instrText>
      </w:r>
      <w:r>
        <w:fldChar w:fldCharType="separate"/>
      </w:r>
      <w:r>
        <w:t>7</w:t>
      </w:r>
      <w:r>
        <w:fldChar w:fldCharType="end"/>
      </w:r>
    </w:p>
    <w:p w14:paraId="5743E8C8" w14:textId="2ED54F0B" w:rsidR="00D46B96" w:rsidRDefault="00D46B96">
      <w:pPr>
        <w:pStyle w:val="TOC2"/>
        <w:rPr>
          <w:rFonts w:asciiTheme="minorHAnsi" w:eastAsiaTheme="minorEastAsia" w:hAnsiTheme="minorHAnsi" w:cstheme="minorBidi"/>
          <w:kern w:val="2"/>
          <w:sz w:val="22"/>
          <w14:ligatures w14:val="standardContextual"/>
        </w:rPr>
      </w:pPr>
      <w:r w:rsidRPr="00EF63CB">
        <w:t>2.3.1</w:t>
      </w:r>
      <w:r>
        <w:rPr>
          <w:rFonts w:asciiTheme="minorHAnsi" w:eastAsiaTheme="minorEastAsia" w:hAnsiTheme="minorHAnsi" w:cstheme="minorBidi"/>
          <w:kern w:val="2"/>
          <w:sz w:val="22"/>
          <w14:ligatures w14:val="standardContextual"/>
        </w:rPr>
        <w:tab/>
      </w:r>
      <w:r>
        <w:t xml:space="preserve">SBD </w:t>
      </w:r>
      <w:r w:rsidRPr="00EF63CB">
        <w:t xml:space="preserve">NPI </w:t>
      </w:r>
      <w:r>
        <w:t>Coding</w:t>
      </w:r>
      <w:r>
        <w:tab/>
      </w:r>
      <w:r>
        <w:fldChar w:fldCharType="begin"/>
      </w:r>
      <w:r>
        <w:instrText xml:space="preserve"> PAGEREF _Toc188880697 \h </w:instrText>
      </w:r>
      <w:r>
        <w:fldChar w:fldCharType="separate"/>
      </w:r>
      <w:r>
        <w:t>7</w:t>
      </w:r>
      <w:r>
        <w:fldChar w:fldCharType="end"/>
      </w:r>
    </w:p>
    <w:p w14:paraId="6346122D" w14:textId="37E6C797" w:rsidR="00D46B96" w:rsidRDefault="00D46B96">
      <w:pPr>
        <w:pStyle w:val="TOC2"/>
        <w:rPr>
          <w:rFonts w:asciiTheme="minorHAnsi" w:eastAsiaTheme="minorEastAsia" w:hAnsiTheme="minorHAnsi" w:cstheme="minorBidi"/>
          <w:kern w:val="2"/>
          <w:sz w:val="22"/>
          <w14:ligatures w14:val="standardContextual"/>
        </w:rPr>
      </w:pPr>
      <w:r w:rsidRPr="00EF63CB">
        <w:t>2.3.2</w:t>
      </w:r>
      <w:r>
        <w:rPr>
          <w:rFonts w:asciiTheme="minorHAnsi" w:eastAsiaTheme="minorEastAsia" w:hAnsiTheme="minorHAnsi" w:cstheme="minorBidi"/>
          <w:kern w:val="2"/>
          <w:sz w:val="22"/>
          <w14:ligatures w14:val="standardContextual"/>
        </w:rPr>
        <w:tab/>
      </w:r>
      <w:r>
        <w:t xml:space="preserve">SBD </w:t>
      </w:r>
      <w:r w:rsidRPr="00EF63CB">
        <w:t>Specialty Coding</w:t>
      </w:r>
      <w:r>
        <w:tab/>
      </w:r>
      <w:r>
        <w:fldChar w:fldCharType="begin"/>
      </w:r>
      <w:r>
        <w:instrText xml:space="preserve"> PAGEREF _Toc188880698 \h </w:instrText>
      </w:r>
      <w:r>
        <w:fldChar w:fldCharType="separate"/>
      </w:r>
      <w:r>
        <w:t>7</w:t>
      </w:r>
      <w:r>
        <w:fldChar w:fldCharType="end"/>
      </w:r>
    </w:p>
    <w:p w14:paraId="12343A2B" w14:textId="27B20819" w:rsidR="00D46B96" w:rsidRDefault="00D46B96">
      <w:pPr>
        <w:pStyle w:val="TOC2"/>
        <w:rPr>
          <w:rFonts w:asciiTheme="minorHAnsi" w:eastAsiaTheme="minorEastAsia" w:hAnsiTheme="minorHAnsi" w:cstheme="minorBidi"/>
          <w:kern w:val="2"/>
          <w:sz w:val="22"/>
          <w14:ligatures w14:val="standardContextual"/>
        </w:rPr>
      </w:pPr>
      <w:r>
        <w:t>2.4</w:t>
      </w:r>
      <w:r>
        <w:rPr>
          <w:rFonts w:asciiTheme="minorHAnsi" w:eastAsiaTheme="minorEastAsia" w:hAnsiTheme="minorHAnsi" w:cstheme="minorBidi"/>
          <w:kern w:val="2"/>
          <w:sz w:val="22"/>
          <w14:ligatures w14:val="standardContextual"/>
        </w:rPr>
        <w:tab/>
      </w:r>
      <w:r>
        <w:t>Building the SBD Sample</w:t>
      </w:r>
      <w:r w:rsidRPr="00EF63CB">
        <w:t xml:space="preserve"> and Creating Nodes</w:t>
      </w:r>
      <w:r>
        <w:tab/>
      </w:r>
      <w:r>
        <w:fldChar w:fldCharType="begin"/>
      </w:r>
      <w:r>
        <w:instrText xml:space="preserve"> PAGEREF _Toc188880699 \h </w:instrText>
      </w:r>
      <w:r>
        <w:fldChar w:fldCharType="separate"/>
      </w:r>
      <w:r>
        <w:t>8</w:t>
      </w:r>
      <w:r>
        <w:fldChar w:fldCharType="end"/>
      </w:r>
    </w:p>
    <w:p w14:paraId="78A833B9" w14:textId="2D415180" w:rsidR="00D46B96" w:rsidRDefault="00D46B96">
      <w:pPr>
        <w:pStyle w:val="TOC2"/>
        <w:rPr>
          <w:rFonts w:asciiTheme="minorHAnsi" w:eastAsiaTheme="minorEastAsia" w:hAnsiTheme="minorHAnsi" w:cstheme="minorBidi"/>
          <w:kern w:val="2"/>
          <w:sz w:val="22"/>
          <w14:ligatures w14:val="standardContextual"/>
        </w:rPr>
      </w:pPr>
      <w:r>
        <w:t>2.5</w:t>
      </w:r>
      <w:r>
        <w:rPr>
          <w:rFonts w:asciiTheme="minorHAnsi" w:eastAsiaTheme="minorEastAsia" w:hAnsiTheme="minorHAnsi" w:cstheme="minorBidi"/>
          <w:kern w:val="2"/>
          <w:sz w:val="22"/>
          <w14:ligatures w14:val="standardContextual"/>
        </w:rPr>
        <w:tab/>
      </w:r>
      <w:r>
        <w:t>Grouping the SBD Sample for Data Collection</w:t>
      </w:r>
      <w:r>
        <w:tab/>
      </w:r>
      <w:r>
        <w:fldChar w:fldCharType="begin"/>
      </w:r>
      <w:r>
        <w:instrText xml:space="preserve"> PAGEREF _Toc188880700 \h </w:instrText>
      </w:r>
      <w:r>
        <w:fldChar w:fldCharType="separate"/>
      </w:r>
      <w:r>
        <w:t>8</w:t>
      </w:r>
      <w:r>
        <w:fldChar w:fldCharType="end"/>
      </w:r>
    </w:p>
    <w:p w14:paraId="67D53192" w14:textId="2781419F" w:rsidR="00D46B96" w:rsidRDefault="00D46B96">
      <w:pPr>
        <w:pStyle w:val="TOC2"/>
        <w:rPr>
          <w:rFonts w:asciiTheme="minorHAnsi" w:eastAsiaTheme="minorEastAsia" w:hAnsiTheme="minorHAnsi" w:cstheme="minorBidi"/>
          <w:kern w:val="2"/>
          <w:sz w:val="22"/>
          <w14:ligatures w14:val="standardContextual"/>
        </w:rPr>
      </w:pPr>
      <w:r>
        <w:t>2.6</w:t>
      </w:r>
      <w:r>
        <w:rPr>
          <w:rFonts w:asciiTheme="minorHAnsi" w:eastAsiaTheme="minorEastAsia" w:hAnsiTheme="minorHAnsi" w:cstheme="minorBidi"/>
          <w:kern w:val="2"/>
          <w:sz w:val="22"/>
          <w14:ligatures w14:val="standardContextual"/>
        </w:rPr>
        <w:tab/>
      </w:r>
      <w:r>
        <w:t>Anticipating and Tracking the Size of the SBD Sample</w:t>
      </w:r>
      <w:r>
        <w:tab/>
      </w:r>
      <w:r>
        <w:fldChar w:fldCharType="begin"/>
      </w:r>
      <w:r>
        <w:instrText xml:space="preserve"> PAGEREF _Toc188880701 \h </w:instrText>
      </w:r>
      <w:r>
        <w:fldChar w:fldCharType="separate"/>
      </w:r>
      <w:r>
        <w:t>9</w:t>
      </w:r>
      <w:r>
        <w:fldChar w:fldCharType="end"/>
      </w:r>
    </w:p>
    <w:p w14:paraId="78DBA77F" w14:textId="32DD6EEC" w:rsidR="00D46B96" w:rsidRDefault="00D46B96">
      <w:pPr>
        <w:pStyle w:val="TOC2"/>
        <w:rPr>
          <w:rFonts w:asciiTheme="minorHAnsi" w:eastAsiaTheme="minorEastAsia" w:hAnsiTheme="minorHAnsi" w:cstheme="minorBidi"/>
          <w:kern w:val="2"/>
          <w:sz w:val="22"/>
          <w14:ligatures w14:val="standardContextual"/>
        </w:rPr>
      </w:pPr>
      <w:r w:rsidRPr="00EF63CB">
        <w:t>2.7</w:t>
      </w:r>
      <w:r>
        <w:rPr>
          <w:rFonts w:asciiTheme="minorHAnsi" w:eastAsiaTheme="minorEastAsia" w:hAnsiTheme="minorHAnsi" w:cstheme="minorBidi"/>
          <w:kern w:val="2"/>
          <w:sz w:val="22"/>
          <w14:ligatures w14:val="standardContextual"/>
        </w:rPr>
        <w:tab/>
      </w:r>
      <w:r w:rsidRPr="00EF63CB">
        <w:t xml:space="preserve">Finalizing a Plan for the Selection and Release of </w:t>
      </w:r>
      <w:r>
        <w:t>SBD</w:t>
      </w:r>
      <w:r w:rsidRPr="00EF63CB">
        <w:t xml:space="preserve"> Nodes</w:t>
      </w:r>
      <w:r>
        <w:tab/>
      </w:r>
      <w:r>
        <w:fldChar w:fldCharType="begin"/>
      </w:r>
      <w:r>
        <w:instrText xml:space="preserve"> PAGEREF _Toc188880702 \h </w:instrText>
      </w:r>
      <w:r>
        <w:fldChar w:fldCharType="separate"/>
      </w:r>
      <w:r>
        <w:t>9</w:t>
      </w:r>
      <w:r>
        <w:fldChar w:fldCharType="end"/>
      </w:r>
    </w:p>
    <w:p w14:paraId="1DB59DD6" w14:textId="2E0160F3" w:rsidR="00D46B96" w:rsidRDefault="00D46B96">
      <w:pPr>
        <w:pStyle w:val="TOC2"/>
        <w:rPr>
          <w:rFonts w:asciiTheme="minorHAnsi" w:eastAsiaTheme="minorEastAsia" w:hAnsiTheme="minorHAnsi" w:cstheme="minorBidi"/>
          <w:kern w:val="2"/>
          <w:sz w:val="22"/>
          <w14:ligatures w14:val="standardContextual"/>
        </w:rPr>
      </w:pPr>
      <w:r>
        <w:t>2.8</w:t>
      </w:r>
      <w:r>
        <w:rPr>
          <w:rFonts w:asciiTheme="minorHAnsi" w:eastAsiaTheme="minorEastAsia" w:hAnsiTheme="minorHAnsi" w:cstheme="minorBidi"/>
          <w:kern w:val="2"/>
          <w:sz w:val="22"/>
          <w14:ligatures w14:val="standardContextual"/>
        </w:rPr>
        <w:tab/>
      </w:r>
      <w:r>
        <w:t>Resolving Overlaps between SBD Nodes and OBD Events</w:t>
      </w:r>
      <w:r>
        <w:tab/>
      </w:r>
      <w:r>
        <w:fldChar w:fldCharType="begin"/>
      </w:r>
      <w:r>
        <w:instrText xml:space="preserve"> PAGEREF _Toc188880703 \h </w:instrText>
      </w:r>
      <w:r>
        <w:fldChar w:fldCharType="separate"/>
      </w:r>
      <w:r>
        <w:t>11</w:t>
      </w:r>
      <w:r>
        <w:fldChar w:fldCharType="end"/>
      </w:r>
    </w:p>
    <w:p w14:paraId="5B74E764" w14:textId="5F5388A7" w:rsidR="00D46B96" w:rsidRDefault="00D46B96">
      <w:pPr>
        <w:pStyle w:val="TOC2"/>
        <w:rPr>
          <w:rFonts w:asciiTheme="minorHAnsi" w:eastAsiaTheme="minorEastAsia" w:hAnsiTheme="minorHAnsi" w:cstheme="minorBidi"/>
          <w:kern w:val="2"/>
          <w:sz w:val="22"/>
          <w14:ligatures w14:val="standardContextual"/>
        </w:rPr>
      </w:pPr>
      <w:r>
        <w:t>2.9</w:t>
      </w:r>
      <w:r>
        <w:rPr>
          <w:rFonts w:asciiTheme="minorHAnsi" w:eastAsiaTheme="minorEastAsia" w:hAnsiTheme="minorHAnsi" w:cstheme="minorBidi"/>
          <w:kern w:val="2"/>
          <w:sz w:val="22"/>
          <w14:ligatures w14:val="standardContextual"/>
        </w:rPr>
        <w:tab/>
      </w:r>
      <w:r>
        <w:t>Schedule for SBD Sample Development, Preparation, and Fielding</w:t>
      </w:r>
      <w:r>
        <w:tab/>
      </w:r>
      <w:r>
        <w:fldChar w:fldCharType="begin"/>
      </w:r>
      <w:r>
        <w:instrText xml:space="preserve"> PAGEREF _Toc188880704 \h </w:instrText>
      </w:r>
      <w:r>
        <w:fldChar w:fldCharType="separate"/>
      </w:r>
      <w:r>
        <w:t>12</w:t>
      </w:r>
      <w:r>
        <w:fldChar w:fldCharType="end"/>
      </w:r>
    </w:p>
    <w:p w14:paraId="2EDDE090" w14:textId="4C9E1316" w:rsidR="00D46B96" w:rsidRDefault="00D46B96">
      <w:pPr>
        <w:pStyle w:val="TOC1"/>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Instruments and Materials</w:t>
      </w:r>
      <w:r>
        <w:tab/>
      </w:r>
      <w:r>
        <w:fldChar w:fldCharType="begin"/>
      </w:r>
      <w:r>
        <w:instrText xml:space="preserve"> PAGEREF _Toc188880705 \h </w:instrText>
      </w:r>
      <w:r>
        <w:fldChar w:fldCharType="separate"/>
      </w:r>
      <w:r>
        <w:t>14</w:t>
      </w:r>
      <w:r>
        <w:fldChar w:fldCharType="end"/>
      </w:r>
    </w:p>
    <w:p w14:paraId="10FCCA1C" w14:textId="3677BAB2" w:rsidR="00D46B96" w:rsidRDefault="00D46B96">
      <w:pPr>
        <w:pStyle w:val="TOC2"/>
        <w:rPr>
          <w:rFonts w:asciiTheme="minorHAnsi" w:eastAsiaTheme="minorEastAsia" w:hAnsiTheme="minorHAnsi" w:cstheme="minorBidi"/>
          <w:kern w:val="2"/>
          <w:sz w:val="22"/>
          <w14:ligatures w14:val="standardContextual"/>
        </w:rPr>
      </w:pPr>
      <w:r>
        <w:t>3.1</w:t>
      </w:r>
      <w:r>
        <w:rPr>
          <w:rFonts w:asciiTheme="minorHAnsi" w:eastAsiaTheme="minorEastAsia" w:hAnsiTheme="minorHAnsi" w:cstheme="minorBidi"/>
          <w:kern w:val="2"/>
          <w:sz w:val="22"/>
          <w14:ligatures w14:val="standardContextual"/>
        </w:rPr>
        <w:tab/>
      </w:r>
      <w:r w:rsidRPr="00EF63CB">
        <w:t xml:space="preserve">POC Module and </w:t>
      </w:r>
      <w:r>
        <w:t>Contact Guide</w:t>
      </w:r>
      <w:r>
        <w:tab/>
      </w:r>
      <w:r>
        <w:fldChar w:fldCharType="begin"/>
      </w:r>
      <w:r>
        <w:instrText xml:space="preserve"> PAGEREF _Toc188880706 \h </w:instrText>
      </w:r>
      <w:r>
        <w:fldChar w:fldCharType="separate"/>
      </w:r>
      <w:r>
        <w:t>14</w:t>
      </w:r>
      <w:r>
        <w:fldChar w:fldCharType="end"/>
      </w:r>
    </w:p>
    <w:p w14:paraId="4CE246D3" w14:textId="237F61FE" w:rsidR="00D46B96" w:rsidRDefault="00D46B96">
      <w:pPr>
        <w:pStyle w:val="TOC2"/>
        <w:rPr>
          <w:rFonts w:asciiTheme="minorHAnsi" w:eastAsiaTheme="minorEastAsia" w:hAnsiTheme="minorHAnsi" w:cstheme="minorBidi"/>
          <w:kern w:val="2"/>
          <w:sz w:val="22"/>
          <w14:ligatures w14:val="standardContextual"/>
        </w:rPr>
      </w:pPr>
      <w:r>
        <w:t>3.2</w:t>
      </w:r>
      <w:r>
        <w:rPr>
          <w:rFonts w:asciiTheme="minorHAnsi" w:eastAsiaTheme="minorEastAsia" w:hAnsiTheme="minorHAnsi" w:cstheme="minorBidi"/>
          <w:kern w:val="2"/>
          <w:sz w:val="22"/>
          <w14:ligatures w14:val="standardContextual"/>
        </w:rPr>
        <w:tab/>
      </w:r>
      <w:r>
        <w:t>Provider Materials</w:t>
      </w:r>
      <w:r>
        <w:tab/>
      </w:r>
      <w:r>
        <w:fldChar w:fldCharType="begin"/>
      </w:r>
      <w:r>
        <w:instrText xml:space="preserve"> PAGEREF _Toc188880707 \h </w:instrText>
      </w:r>
      <w:r>
        <w:fldChar w:fldCharType="separate"/>
      </w:r>
      <w:r>
        <w:t>14</w:t>
      </w:r>
      <w:r>
        <w:fldChar w:fldCharType="end"/>
      </w:r>
    </w:p>
    <w:p w14:paraId="1FC3DE67" w14:textId="2E93ACD1" w:rsidR="00D46B96" w:rsidRDefault="00D46B96">
      <w:pPr>
        <w:pStyle w:val="TOC2"/>
        <w:rPr>
          <w:rFonts w:asciiTheme="minorHAnsi" w:eastAsiaTheme="minorEastAsia" w:hAnsiTheme="minorHAnsi" w:cstheme="minorBidi"/>
          <w:kern w:val="2"/>
          <w:sz w:val="22"/>
          <w14:ligatures w14:val="standardContextual"/>
        </w:rPr>
      </w:pPr>
      <w:r>
        <w:t>3.3</w:t>
      </w:r>
      <w:r>
        <w:rPr>
          <w:rFonts w:asciiTheme="minorHAnsi" w:eastAsiaTheme="minorEastAsia" w:hAnsiTheme="minorHAnsi" w:cstheme="minorBidi"/>
          <w:kern w:val="2"/>
          <w:sz w:val="22"/>
          <w14:ligatures w14:val="standardContextual"/>
        </w:rPr>
        <w:tab/>
      </w:r>
      <w:r>
        <w:t>Event Form</w:t>
      </w:r>
      <w:r>
        <w:tab/>
      </w:r>
      <w:r>
        <w:fldChar w:fldCharType="begin"/>
      </w:r>
      <w:r>
        <w:instrText xml:space="preserve"> PAGEREF _Toc188880708 \h </w:instrText>
      </w:r>
      <w:r>
        <w:fldChar w:fldCharType="separate"/>
      </w:r>
      <w:r>
        <w:t>14</w:t>
      </w:r>
      <w:r>
        <w:fldChar w:fldCharType="end"/>
      </w:r>
    </w:p>
    <w:p w14:paraId="3837CF6A" w14:textId="13CCE2B8" w:rsidR="00D46B96" w:rsidRDefault="00D46B96">
      <w:pPr>
        <w:pStyle w:val="TOC2"/>
        <w:rPr>
          <w:rFonts w:asciiTheme="minorHAnsi" w:eastAsiaTheme="minorEastAsia" w:hAnsiTheme="minorHAnsi" w:cstheme="minorBidi"/>
          <w:kern w:val="2"/>
          <w:sz w:val="22"/>
          <w14:ligatures w14:val="standardContextual"/>
        </w:rPr>
      </w:pPr>
      <w:r>
        <w:t>3.4</w:t>
      </w:r>
      <w:r>
        <w:rPr>
          <w:rFonts w:asciiTheme="minorHAnsi" w:eastAsiaTheme="minorEastAsia" w:hAnsiTheme="minorHAnsi" w:cstheme="minorBidi"/>
          <w:kern w:val="2"/>
          <w:sz w:val="22"/>
          <w14:ligatures w14:val="standardContextual"/>
        </w:rPr>
        <w:tab/>
      </w:r>
      <w:r>
        <w:t>Case Management System (CMS)</w:t>
      </w:r>
      <w:r>
        <w:tab/>
      </w:r>
      <w:r>
        <w:fldChar w:fldCharType="begin"/>
      </w:r>
      <w:r>
        <w:instrText xml:space="preserve"> PAGEREF _Toc188880709 \h </w:instrText>
      </w:r>
      <w:r>
        <w:fldChar w:fldCharType="separate"/>
      </w:r>
      <w:r>
        <w:t>15</w:t>
      </w:r>
      <w:r>
        <w:fldChar w:fldCharType="end"/>
      </w:r>
    </w:p>
    <w:p w14:paraId="501CDF9C" w14:textId="79D0D7D2" w:rsidR="00D46B96" w:rsidRDefault="00D46B96">
      <w:pPr>
        <w:pStyle w:val="TOC1"/>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Staffing and Training</w:t>
      </w:r>
      <w:r>
        <w:tab/>
      </w:r>
      <w:r>
        <w:fldChar w:fldCharType="begin"/>
      </w:r>
      <w:r>
        <w:instrText xml:space="preserve"> PAGEREF _Toc188880710 \h </w:instrText>
      </w:r>
      <w:r>
        <w:fldChar w:fldCharType="separate"/>
      </w:r>
      <w:r>
        <w:t>16</w:t>
      </w:r>
      <w:r>
        <w:fldChar w:fldCharType="end"/>
      </w:r>
    </w:p>
    <w:p w14:paraId="7EBB5629" w14:textId="3ED11E8F" w:rsidR="00D46B96" w:rsidRDefault="00D46B96">
      <w:pPr>
        <w:pStyle w:val="TOC2"/>
        <w:rPr>
          <w:rFonts w:asciiTheme="minorHAnsi" w:eastAsiaTheme="minorEastAsia" w:hAnsiTheme="minorHAnsi" w:cstheme="minorBidi"/>
          <w:kern w:val="2"/>
          <w:sz w:val="22"/>
          <w14:ligatures w14:val="standardContextual"/>
        </w:rPr>
      </w:pPr>
      <w:r w:rsidRPr="00EF63CB">
        <w:t>4.1</w:t>
      </w:r>
      <w:r>
        <w:rPr>
          <w:rFonts w:asciiTheme="minorHAnsi" w:eastAsiaTheme="minorEastAsia" w:hAnsiTheme="minorHAnsi" w:cstheme="minorBidi"/>
          <w:kern w:val="2"/>
          <w:sz w:val="22"/>
          <w14:ligatures w14:val="standardContextual"/>
        </w:rPr>
        <w:tab/>
      </w:r>
      <w:r>
        <w:t>Staffing</w:t>
      </w:r>
      <w:r>
        <w:tab/>
      </w:r>
      <w:r>
        <w:fldChar w:fldCharType="begin"/>
      </w:r>
      <w:r>
        <w:instrText xml:space="preserve"> PAGEREF _Toc188880711 \h </w:instrText>
      </w:r>
      <w:r>
        <w:fldChar w:fldCharType="separate"/>
      </w:r>
      <w:r>
        <w:t>16</w:t>
      </w:r>
      <w:r>
        <w:fldChar w:fldCharType="end"/>
      </w:r>
    </w:p>
    <w:p w14:paraId="73E551B6" w14:textId="5E1D923F" w:rsidR="00D46B96" w:rsidRDefault="00D46B96">
      <w:pPr>
        <w:pStyle w:val="TOC2"/>
        <w:rPr>
          <w:rFonts w:asciiTheme="minorHAnsi" w:eastAsiaTheme="minorEastAsia" w:hAnsiTheme="minorHAnsi" w:cstheme="minorBidi"/>
          <w:kern w:val="2"/>
          <w:sz w:val="22"/>
          <w14:ligatures w14:val="standardContextual"/>
        </w:rPr>
      </w:pPr>
      <w:r w:rsidRPr="00EF63CB">
        <w:t>4.2</w:t>
      </w:r>
      <w:r>
        <w:rPr>
          <w:rFonts w:asciiTheme="minorHAnsi" w:eastAsiaTheme="minorEastAsia" w:hAnsiTheme="minorHAnsi" w:cstheme="minorBidi"/>
          <w:kern w:val="2"/>
          <w:sz w:val="22"/>
          <w14:ligatures w14:val="standardContextual"/>
        </w:rPr>
        <w:tab/>
      </w:r>
      <w:r>
        <w:t>Training</w:t>
      </w:r>
      <w:r>
        <w:tab/>
      </w:r>
      <w:r>
        <w:fldChar w:fldCharType="begin"/>
      </w:r>
      <w:r>
        <w:instrText xml:space="preserve"> PAGEREF _Toc188880712 \h </w:instrText>
      </w:r>
      <w:r>
        <w:fldChar w:fldCharType="separate"/>
      </w:r>
      <w:r>
        <w:t>16</w:t>
      </w:r>
      <w:r>
        <w:fldChar w:fldCharType="end"/>
      </w:r>
    </w:p>
    <w:p w14:paraId="3F7CA5D5" w14:textId="09724EC8" w:rsidR="00D46B96" w:rsidRDefault="00D46B96">
      <w:pPr>
        <w:pStyle w:val="TOC1"/>
        <w:rPr>
          <w:rFonts w:asciiTheme="minorHAnsi" w:eastAsiaTheme="minorEastAsia" w:hAnsiTheme="minorHAnsi" w:cstheme="minorBidi"/>
          <w:kern w:val="2"/>
          <w:sz w:val="22"/>
          <w:szCs w:val="22"/>
          <w14:ligatures w14:val="standardContextual"/>
        </w:rPr>
      </w:pPr>
      <w:r>
        <w:t>5</w:t>
      </w:r>
      <w:r>
        <w:rPr>
          <w:rFonts w:asciiTheme="minorHAnsi" w:eastAsiaTheme="minorEastAsia" w:hAnsiTheme="minorHAnsi" w:cstheme="minorBidi"/>
          <w:kern w:val="2"/>
          <w:sz w:val="22"/>
          <w:szCs w:val="22"/>
          <w14:ligatures w14:val="standardContextual"/>
        </w:rPr>
        <w:tab/>
      </w:r>
      <w:r>
        <w:t>Data Collection Specialist Procedures</w:t>
      </w:r>
      <w:r>
        <w:tab/>
      </w:r>
      <w:r>
        <w:fldChar w:fldCharType="begin"/>
      </w:r>
      <w:r>
        <w:instrText xml:space="preserve"> PAGEREF _Toc188880713 \h </w:instrText>
      </w:r>
      <w:r>
        <w:fldChar w:fldCharType="separate"/>
      </w:r>
      <w:r>
        <w:t>17</w:t>
      </w:r>
      <w:r>
        <w:fldChar w:fldCharType="end"/>
      </w:r>
    </w:p>
    <w:p w14:paraId="2BF2B9D1" w14:textId="4A25FFD1" w:rsidR="00D46B96" w:rsidRDefault="00D46B96">
      <w:pPr>
        <w:pStyle w:val="TOC2"/>
        <w:rPr>
          <w:rFonts w:asciiTheme="minorHAnsi" w:eastAsiaTheme="minorEastAsia" w:hAnsiTheme="minorHAnsi" w:cstheme="minorBidi"/>
          <w:kern w:val="2"/>
          <w:sz w:val="22"/>
          <w14:ligatures w14:val="standardContextual"/>
        </w:rPr>
      </w:pPr>
      <w:r>
        <w:t>5.1</w:t>
      </w:r>
      <w:r>
        <w:rPr>
          <w:rFonts w:asciiTheme="minorHAnsi" w:eastAsiaTheme="minorEastAsia" w:hAnsiTheme="minorHAnsi" w:cstheme="minorBidi"/>
          <w:kern w:val="2"/>
          <w:sz w:val="22"/>
          <w14:ligatures w14:val="standardContextual"/>
        </w:rPr>
        <w:tab/>
      </w:r>
      <w:r>
        <w:t>Basic Case Flow</w:t>
      </w:r>
      <w:r>
        <w:tab/>
      </w:r>
      <w:r>
        <w:fldChar w:fldCharType="begin"/>
      </w:r>
      <w:r>
        <w:instrText xml:space="preserve"> PAGEREF _Toc188880714 \h </w:instrText>
      </w:r>
      <w:r>
        <w:fldChar w:fldCharType="separate"/>
      </w:r>
      <w:r>
        <w:t>17</w:t>
      </w:r>
      <w:r>
        <w:fldChar w:fldCharType="end"/>
      </w:r>
    </w:p>
    <w:p w14:paraId="19CF4DD0" w14:textId="0843EA3C" w:rsidR="00D46B96" w:rsidRDefault="00D46B96">
      <w:pPr>
        <w:pStyle w:val="TOC1"/>
        <w:rPr>
          <w:rFonts w:asciiTheme="minorHAnsi" w:eastAsiaTheme="minorEastAsia" w:hAnsiTheme="minorHAnsi" w:cstheme="minorBidi"/>
          <w:kern w:val="2"/>
          <w:sz w:val="22"/>
          <w:szCs w:val="22"/>
          <w14:ligatures w14:val="standardContextual"/>
        </w:rPr>
      </w:pPr>
      <w:r>
        <w:t>6</w:t>
      </w:r>
      <w:r>
        <w:rPr>
          <w:rFonts w:asciiTheme="minorHAnsi" w:eastAsiaTheme="minorEastAsia" w:hAnsiTheme="minorHAnsi" w:cstheme="minorBidi"/>
          <w:kern w:val="2"/>
          <w:sz w:val="22"/>
          <w:szCs w:val="22"/>
          <w14:ligatures w14:val="standardContextual"/>
        </w:rPr>
        <w:tab/>
      </w:r>
      <w:r w:rsidRPr="00EF63CB">
        <w:t xml:space="preserve">Document Handling and </w:t>
      </w:r>
      <w:r>
        <w:t>Abstraction Procedures</w:t>
      </w:r>
      <w:r>
        <w:tab/>
      </w:r>
      <w:r>
        <w:fldChar w:fldCharType="begin"/>
      </w:r>
      <w:r>
        <w:instrText xml:space="preserve"> PAGEREF _Toc188880715 \h </w:instrText>
      </w:r>
      <w:r>
        <w:fldChar w:fldCharType="separate"/>
      </w:r>
      <w:r>
        <w:t>18</w:t>
      </w:r>
      <w:r>
        <w:fldChar w:fldCharType="end"/>
      </w:r>
    </w:p>
    <w:p w14:paraId="40E8D198" w14:textId="6C893F22" w:rsidR="00D46B96" w:rsidRDefault="00D46B96">
      <w:pPr>
        <w:pStyle w:val="TOC1"/>
        <w:rPr>
          <w:rFonts w:asciiTheme="minorHAnsi" w:eastAsiaTheme="minorEastAsia" w:hAnsiTheme="minorHAnsi" w:cstheme="minorBidi"/>
          <w:kern w:val="2"/>
          <w:sz w:val="22"/>
          <w:szCs w:val="22"/>
          <w14:ligatures w14:val="standardContextual"/>
        </w:rPr>
      </w:pPr>
      <w:r>
        <w:t>7</w:t>
      </w:r>
      <w:r>
        <w:rPr>
          <w:rFonts w:asciiTheme="minorHAnsi" w:eastAsiaTheme="minorEastAsia" w:hAnsiTheme="minorHAnsi" w:cstheme="minorBidi"/>
          <w:kern w:val="2"/>
          <w:sz w:val="22"/>
          <w:szCs w:val="22"/>
          <w14:ligatures w14:val="standardContextual"/>
        </w:rPr>
        <w:tab/>
      </w:r>
      <w:r>
        <w:t>Management Plan</w:t>
      </w:r>
      <w:r>
        <w:tab/>
      </w:r>
      <w:r>
        <w:fldChar w:fldCharType="begin"/>
      </w:r>
      <w:r>
        <w:instrText xml:space="preserve"> PAGEREF _Toc188880716 \h </w:instrText>
      </w:r>
      <w:r>
        <w:fldChar w:fldCharType="separate"/>
      </w:r>
      <w:r>
        <w:t>19</w:t>
      </w:r>
      <w:r>
        <w:fldChar w:fldCharType="end"/>
      </w:r>
    </w:p>
    <w:p w14:paraId="3EBD946D" w14:textId="73B72BAB" w:rsidR="00D46B96" w:rsidRDefault="00D46B96">
      <w:pPr>
        <w:pStyle w:val="TOC2"/>
        <w:rPr>
          <w:rFonts w:asciiTheme="minorHAnsi" w:eastAsiaTheme="minorEastAsia" w:hAnsiTheme="minorHAnsi" w:cstheme="minorBidi"/>
          <w:kern w:val="2"/>
          <w:sz w:val="22"/>
          <w14:ligatures w14:val="standardContextual"/>
        </w:rPr>
      </w:pPr>
      <w:r>
        <w:t>7.1</w:t>
      </w:r>
      <w:r>
        <w:rPr>
          <w:rFonts w:asciiTheme="minorHAnsi" w:eastAsiaTheme="minorEastAsia" w:hAnsiTheme="minorHAnsi" w:cstheme="minorBidi"/>
          <w:kern w:val="2"/>
          <w:sz w:val="22"/>
          <w14:ligatures w14:val="standardContextual"/>
        </w:rPr>
        <w:tab/>
      </w:r>
      <w:r>
        <w:t>Management</w:t>
      </w:r>
      <w:r>
        <w:tab/>
      </w:r>
      <w:r>
        <w:fldChar w:fldCharType="begin"/>
      </w:r>
      <w:r>
        <w:instrText xml:space="preserve"> PAGEREF _Toc188880717 \h </w:instrText>
      </w:r>
      <w:r>
        <w:fldChar w:fldCharType="separate"/>
      </w:r>
      <w:r>
        <w:t>19</w:t>
      </w:r>
      <w:r>
        <w:fldChar w:fldCharType="end"/>
      </w:r>
    </w:p>
    <w:p w14:paraId="09F3FC22" w14:textId="7F29570D" w:rsidR="00D46B96" w:rsidRDefault="00D46B96">
      <w:pPr>
        <w:pStyle w:val="TOC2"/>
        <w:rPr>
          <w:rFonts w:asciiTheme="minorHAnsi" w:eastAsiaTheme="minorEastAsia" w:hAnsiTheme="minorHAnsi" w:cstheme="minorBidi"/>
          <w:kern w:val="2"/>
          <w:sz w:val="22"/>
          <w14:ligatures w14:val="standardContextual"/>
        </w:rPr>
      </w:pPr>
      <w:r>
        <w:t>7.2</w:t>
      </w:r>
      <w:r>
        <w:rPr>
          <w:rFonts w:asciiTheme="minorHAnsi" w:eastAsiaTheme="minorEastAsia" w:hAnsiTheme="minorHAnsi" w:cstheme="minorBidi"/>
          <w:kern w:val="2"/>
          <w:sz w:val="22"/>
          <w14:ligatures w14:val="standardContextual"/>
        </w:rPr>
        <w:tab/>
      </w:r>
      <w:r>
        <w:t>Team Organization</w:t>
      </w:r>
      <w:r>
        <w:tab/>
      </w:r>
      <w:r>
        <w:fldChar w:fldCharType="begin"/>
      </w:r>
      <w:r>
        <w:instrText xml:space="preserve"> PAGEREF _Toc188880718 \h </w:instrText>
      </w:r>
      <w:r>
        <w:fldChar w:fldCharType="separate"/>
      </w:r>
      <w:r>
        <w:t>20</w:t>
      </w:r>
      <w:r>
        <w:fldChar w:fldCharType="end"/>
      </w:r>
    </w:p>
    <w:p w14:paraId="701C525B" w14:textId="27BAAFA8" w:rsidR="00D46B96" w:rsidRDefault="00D46B96">
      <w:pPr>
        <w:pStyle w:val="TOC2"/>
        <w:rPr>
          <w:rFonts w:asciiTheme="minorHAnsi" w:eastAsiaTheme="minorEastAsia" w:hAnsiTheme="minorHAnsi" w:cstheme="minorBidi"/>
          <w:kern w:val="2"/>
          <w:sz w:val="22"/>
          <w14:ligatures w14:val="standardContextual"/>
        </w:rPr>
      </w:pPr>
      <w:r w:rsidRPr="00EF63CB">
        <w:t>7.3</w:t>
      </w:r>
      <w:r>
        <w:rPr>
          <w:rFonts w:asciiTheme="minorHAnsi" w:eastAsiaTheme="minorEastAsia" w:hAnsiTheme="minorHAnsi" w:cstheme="minorBidi"/>
          <w:kern w:val="2"/>
          <w:sz w:val="22"/>
          <w14:ligatures w14:val="standardContextual"/>
        </w:rPr>
        <w:tab/>
      </w:r>
      <w:r w:rsidRPr="00EF63CB">
        <w:t xml:space="preserve">Remote and </w:t>
      </w:r>
      <w:r>
        <w:t>On-site Management</w:t>
      </w:r>
      <w:r>
        <w:tab/>
      </w:r>
      <w:r>
        <w:fldChar w:fldCharType="begin"/>
      </w:r>
      <w:r>
        <w:instrText xml:space="preserve"> PAGEREF _Toc188880719 \h </w:instrText>
      </w:r>
      <w:r>
        <w:fldChar w:fldCharType="separate"/>
      </w:r>
      <w:r>
        <w:t>20</w:t>
      </w:r>
      <w:r>
        <w:fldChar w:fldCharType="end"/>
      </w:r>
    </w:p>
    <w:p w14:paraId="09905B22" w14:textId="6EC88262" w:rsidR="00D46B96" w:rsidRDefault="00D46B96">
      <w:pPr>
        <w:pStyle w:val="TOC2"/>
        <w:rPr>
          <w:rFonts w:asciiTheme="minorHAnsi" w:eastAsiaTheme="minorEastAsia" w:hAnsiTheme="minorHAnsi" w:cstheme="minorBidi"/>
          <w:kern w:val="2"/>
          <w:sz w:val="22"/>
          <w14:ligatures w14:val="standardContextual"/>
        </w:rPr>
      </w:pPr>
      <w:r>
        <w:t>7.4</w:t>
      </w:r>
      <w:r>
        <w:rPr>
          <w:rFonts w:asciiTheme="minorHAnsi" w:eastAsiaTheme="minorEastAsia" w:hAnsiTheme="minorHAnsi" w:cstheme="minorBidi"/>
          <w:kern w:val="2"/>
          <w:sz w:val="22"/>
          <w14:ligatures w14:val="standardContextual"/>
        </w:rPr>
        <w:tab/>
      </w:r>
      <w:r>
        <w:t>Data Collection Schedule</w:t>
      </w:r>
      <w:r>
        <w:tab/>
      </w:r>
      <w:r>
        <w:fldChar w:fldCharType="begin"/>
      </w:r>
      <w:r>
        <w:instrText xml:space="preserve"> PAGEREF _Toc188880720 \h </w:instrText>
      </w:r>
      <w:r>
        <w:fldChar w:fldCharType="separate"/>
      </w:r>
      <w:r>
        <w:t>20</w:t>
      </w:r>
      <w:r>
        <w:fldChar w:fldCharType="end"/>
      </w:r>
    </w:p>
    <w:p w14:paraId="0204D463" w14:textId="769BC4C0" w:rsidR="00D46B96" w:rsidRDefault="00D46B96">
      <w:pPr>
        <w:pStyle w:val="TOC1"/>
        <w:rPr>
          <w:rFonts w:asciiTheme="minorHAnsi" w:eastAsiaTheme="minorEastAsia" w:hAnsiTheme="minorHAnsi" w:cstheme="minorBidi"/>
          <w:kern w:val="2"/>
          <w:sz w:val="22"/>
          <w:szCs w:val="22"/>
          <w14:ligatures w14:val="standardContextual"/>
        </w:rPr>
      </w:pPr>
      <w:r>
        <w:t>8</w:t>
      </w:r>
      <w:r>
        <w:rPr>
          <w:rFonts w:asciiTheme="minorHAnsi" w:eastAsiaTheme="minorEastAsia" w:hAnsiTheme="minorHAnsi" w:cstheme="minorBidi"/>
          <w:kern w:val="2"/>
          <w:sz w:val="22"/>
          <w:szCs w:val="22"/>
          <w14:ligatures w14:val="standardContextual"/>
        </w:rPr>
        <w:tab/>
      </w:r>
      <w:r>
        <w:t>Field Cost and Progress Reports</w:t>
      </w:r>
      <w:r>
        <w:tab/>
      </w:r>
      <w:r>
        <w:fldChar w:fldCharType="begin"/>
      </w:r>
      <w:r>
        <w:instrText xml:space="preserve"> PAGEREF _Toc188880721 \h </w:instrText>
      </w:r>
      <w:r>
        <w:fldChar w:fldCharType="separate"/>
      </w:r>
      <w:r>
        <w:t>21</w:t>
      </w:r>
      <w:r>
        <w:fldChar w:fldCharType="end"/>
      </w:r>
    </w:p>
    <w:p w14:paraId="0E5493D0" w14:textId="118E47FD" w:rsidR="00D46B96" w:rsidRDefault="00D46B96">
      <w:pPr>
        <w:pStyle w:val="TOC1"/>
        <w:rPr>
          <w:rFonts w:asciiTheme="minorHAnsi" w:eastAsiaTheme="minorEastAsia" w:hAnsiTheme="minorHAnsi" w:cstheme="minorBidi"/>
          <w:kern w:val="2"/>
          <w:sz w:val="22"/>
          <w:szCs w:val="22"/>
          <w14:ligatures w14:val="standardContextual"/>
        </w:rPr>
      </w:pPr>
      <w:r>
        <w:t>9</w:t>
      </w:r>
      <w:r>
        <w:rPr>
          <w:rFonts w:asciiTheme="minorHAnsi" w:eastAsiaTheme="minorEastAsia" w:hAnsiTheme="minorHAnsi" w:cstheme="minorBidi"/>
          <w:kern w:val="2"/>
          <w:sz w:val="22"/>
          <w:szCs w:val="22"/>
          <w14:ligatures w14:val="standardContextual"/>
        </w:rPr>
        <w:tab/>
      </w:r>
      <w:r>
        <w:t>Response Rates</w:t>
      </w:r>
      <w:r>
        <w:tab/>
      </w:r>
      <w:r>
        <w:fldChar w:fldCharType="begin"/>
      </w:r>
      <w:r>
        <w:instrText xml:space="preserve"> PAGEREF _Toc188880722 \h </w:instrText>
      </w:r>
      <w:r>
        <w:fldChar w:fldCharType="separate"/>
      </w:r>
      <w:r>
        <w:t>21</w:t>
      </w:r>
      <w:r>
        <w:fldChar w:fldCharType="end"/>
      </w:r>
    </w:p>
    <w:p w14:paraId="5DB74EBB" w14:textId="301245DA" w:rsidR="00D46B96" w:rsidRDefault="00D46B96">
      <w:pPr>
        <w:pStyle w:val="TOC2"/>
        <w:rPr>
          <w:rFonts w:asciiTheme="minorHAnsi" w:eastAsiaTheme="minorEastAsia" w:hAnsiTheme="minorHAnsi" w:cstheme="minorBidi"/>
          <w:kern w:val="2"/>
          <w:sz w:val="22"/>
          <w14:ligatures w14:val="standardContextual"/>
        </w:rPr>
      </w:pPr>
      <w:r>
        <w:t>9.1</w:t>
      </w:r>
      <w:r>
        <w:rPr>
          <w:rFonts w:asciiTheme="minorHAnsi" w:eastAsiaTheme="minorEastAsia" w:hAnsiTheme="minorHAnsi" w:cstheme="minorBidi"/>
          <w:kern w:val="2"/>
          <w:sz w:val="22"/>
          <w14:ligatures w14:val="standardContextual"/>
        </w:rPr>
        <w:tab/>
      </w:r>
      <w:r>
        <w:t>Careful Assignment/Reassignment of Work</w:t>
      </w:r>
      <w:r>
        <w:tab/>
      </w:r>
      <w:r>
        <w:fldChar w:fldCharType="begin"/>
      </w:r>
      <w:r>
        <w:instrText xml:space="preserve"> PAGEREF _Toc188880723 \h </w:instrText>
      </w:r>
      <w:r>
        <w:fldChar w:fldCharType="separate"/>
      </w:r>
      <w:r>
        <w:t>22</w:t>
      </w:r>
      <w:r>
        <w:fldChar w:fldCharType="end"/>
      </w:r>
    </w:p>
    <w:p w14:paraId="5C54474E" w14:textId="59EE0722" w:rsidR="00D46B96" w:rsidRDefault="00D46B96">
      <w:pPr>
        <w:pStyle w:val="TOC2"/>
        <w:rPr>
          <w:rFonts w:asciiTheme="minorHAnsi" w:eastAsiaTheme="minorEastAsia" w:hAnsiTheme="minorHAnsi" w:cstheme="minorBidi"/>
          <w:kern w:val="2"/>
          <w:sz w:val="22"/>
          <w14:ligatures w14:val="standardContextual"/>
        </w:rPr>
      </w:pPr>
      <w:r>
        <w:t>9.2</w:t>
      </w:r>
      <w:r>
        <w:rPr>
          <w:rFonts w:asciiTheme="minorHAnsi" w:eastAsiaTheme="minorEastAsia" w:hAnsiTheme="minorHAnsi" w:cstheme="minorBidi"/>
          <w:kern w:val="2"/>
          <w:sz w:val="22"/>
          <w14:ligatures w14:val="standardContextual"/>
        </w:rPr>
        <w:tab/>
      </w:r>
      <w:r>
        <w:t>Setting Weekly Production and Intermediate Goals</w:t>
      </w:r>
      <w:r>
        <w:tab/>
      </w:r>
      <w:r>
        <w:fldChar w:fldCharType="begin"/>
      </w:r>
      <w:r>
        <w:instrText xml:space="preserve"> PAGEREF _Toc188880724 \h </w:instrText>
      </w:r>
      <w:r>
        <w:fldChar w:fldCharType="separate"/>
      </w:r>
      <w:r>
        <w:t>22</w:t>
      </w:r>
      <w:r>
        <w:fldChar w:fldCharType="end"/>
      </w:r>
    </w:p>
    <w:p w14:paraId="28406057" w14:textId="7F9F3D1B" w:rsidR="00D46B96" w:rsidRDefault="00D46B96">
      <w:pPr>
        <w:pStyle w:val="TOC2"/>
        <w:rPr>
          <w:rFonts w:asciiTheme="minorHAnsi" w:eastAsiaTheme="minorEastAsia" w:hAnsiTheme="minorHAnsi" w:cstheme="minorBidi"/>
          <w:kern w:val="2"/>
          <w:sz w:val="22"/>
          <w14:ligatures w14:val="standardContextual"/>
        </w:rPr>
      </w:pPr>
      <w:r>
        <w:t>9.3</w:t>
      </w:r>
      <w:r>
        <w:rPr>
          <w:rFonts w:asciiTheme="minorHAnsi" w:eastAsiaTheme="minorEastAsia" w:hAnsiTheme="minorHAnsi" w:cstheme="minorBidi"/>
          <w:kern w:val="2"/>
          <w:sz w:val="22"/>
          <w14:ligatures w14:val="standardContextual"/>
        </w:rPr>
        <w:tab/>
      </w:r>
      <w:r>
        <w:t>Goal-Focused Messaging</w:t>
      </w:r>
      <w:r>
        <w:tab/>
      </w:r>
      <w:r>
        <w:fldChar w:fldCharType="begin"/>
      </w:r>
      <w:r>
        <w:instrText xml:space="preserve"> PAGEREF _Toc188880725 \h </w:instrText>
      </w:r>
      <w:r>
        <w:fldChar w:fldCharType="separate"/>
      </w:r>
      <w:r>
        <w:t>22</w:t>
      </w:r>
      <w:r>
        <w:fldChar w:fldCharType="end"/>
      </w:r>
    </w:p>
    <w:p w14:paraId="48BCBDC0" w14:textId="0D1204F1" w:rsidR="00D46B96" w:rsidRDefault="00D46B96">
      <w:pPr>
        <w:pStyle w:val="TOC2"/>
        <w:rPr>
          <w:rFonts w:asciiTheme="minorHAnsi" w:eastAsiaTheme="minorEastAsia" w:hAnsiTheme="minorHAnsi" w:cstheme="minorBidi"/>
          <w:kern w:val="2"/>
          <w:sz w:val="22"/>
          <w14:ligatures w14:val="standardContextual"/>
        </w:rPr>
      </w:pPr>
      <w:r>
        <w:t>9.4</w:t>
      </w:r>
      <w:r>
        <w:rPr>
          <w:rFonts w:asciiTheme="minorHAnsi" w:eastAsiaTheme="minorEastAsia" w:hAnsiTheme="minorHAnsi" w:cstheme="minorBidi"/>
          <w:kern w:val="2"/>
          <w:sz w:val="22"/>
          <w14:ligatures w14:val="standardContextual"/>
        </w:rPr>
        <w:tab/>
      </w:r>
      <w:r>
        <w:t>Case-Specific Strategy Development</w:t>
      </w:r>
      <w:r>
        <w:tab/>
      </w:r>
      <w:r>
        <w:fldChar w:fldCharType="begin"/>
      </w:r>
      <w:r>
        <w:instrText xml:space="preserve"> PAGEREF _Toc188880726 \h </w:instrText>
      </w:r>
      <w:r>
        <w:fldChar w:fldCharType="separate"/>
      </w:r>
      <w:r>
        <w:t>23</w:t>
      </w:r>
      <w:r>
        <w:fldChar w:fldCharType="end"/>
      </w:r>
    </w:p>
    <w:p w14:paraId="0BC847EB" w14:textId="0AA22DD8" w:rsidR="00D46B96" w:rsidRDefault="00D46B96">
      <w:pPr>
        <w:pStyle w:val="TOC2"/>
        <w:rPr>
          <w:rFonts w:asciiTheme="minorHAnsi" w:eastAsiaTheme="minorEastAsia" w:hAnsiTheme="minorHAnsi" w:cstheme="minorBidi"/>
          <w:kern w:val="2"/>
          <w:sz w:val="22"/>
          <w14:ligatures w14:val="standardContextual"/>
        </w:rPr>
      </w:pPr>
      <w:r>
        <w:t>9.5</w:t>
      </w:r>
      <w:r>
        <w:rPr>
          <w:rFonts w:asciiTheme="minorHAnsi" w:eastAsiaTheme="minorEastAsia" w:hAnsiTheme="minorHAnsi" w:cstheme="minorBidi"/>
          <w:kern w:val="2"/>
          <w:sz w:val="22"/>
          <w14:ligatures w14:val="standardContextual"/>
        </w:rPr>
        <w:tab/>
      </w:r>
      <w:r>
        <w:t>Focus on Large Providers</w:t>
      </w:r>
      <w:r>
        <w:tab/>
      </w:r>
      <w:r>
        <w:fldChar w:fldCharType="begin"/>
      </w:r>
      <w:r>
        <w:instrText xml:space="preserve"> PAGEREF _Toc188880727 \h </w:instrText>
      </w:r>
      <w:r>
        <w:fldChar w:fldCharType="separate"/>
      </w:r>
      <w:r>
        <w:t>23</w:t>
      </w:r>
      <w:r>
        <w:fldChar w:fldCharType="end"/>
      </w:r>
    </w:p>
    <w:p w14:paraId="1D7BBBB2" w14:textId="49FB6330" w:rsidR="00D46B96" w:rsidRDefault="00D46B96">
      <w:pPr>
        <w:pStyle w:val="TOC2"/>
        <w:rPr>
          <w:rFonts w:asciiTheme="minorHAnsi" w:eastAsiaTheme="minorEastAsia" w:hAnsiTheme="minorHAnsi" w:cstheme="minorBidi"/>
          <w:kern w:val="2"/>
          <w:sz w:val="22"/>
          <w14:ligatures w14:val="standardContextual"/>
        </w:rPr>
      </w:pPr>
      <w:r>
        <w:t>9.6</w:t>
      </w:r>
      <w:r>
        <w:rPr>
          <w:rFonts w:asciiTheme="minorHAnsi" w:eastAsiaTheme="minorEastAsia" w:hAnsiTheme="minorHAnsi" w:cstheme="minorBidi"/>
          <w:kern w:val="2"/>
          <w:sz w:val="22"/>
          <w14:ligatures w14:val="standardContextual"/>
        </w:rPr>
        <w:tab/>
      </w:r>
      <w:r>
        <w:t>Costs of Providing Records</w:t>
      </w:r>
      <w:r>
        <w:tab/>
      </w:r>
      <w:r>
        <w:fldChar w:fldCharType="begin"/>
      </w:r>
      <w:r>
        <w:instrText xml:space="preserve"> PAGEREF _Toc188880728 \h </w:instrText>
      </w:r>
      <w:r>
        <w:fldChar w:fldCharType="separate"/>
      </w:r>
      <w:r>
        <w:t>24</w:t>
      </w:r>
      <w:r>
        <w:fldChar w:fldCharType="end"/>
      </w:r>
    </w:p>
    <w:p w14:paraId="54C683A1" w14:textId="2EDC4D6B" w:rsidR="001B68EB" w:rsidRDefault="0073513C" w:rsidP="00376491">
      <w:pPr>
        <w:pStyle w:val="Heading2"/>
        <w:numPr>
          <w:ilvl w:val="0"/>
          <w:numId w:val="0"/>
        </w:numPr>
        <w:ind w:left="720"/>
      </w:pPr>
      <w:r>
        <w:fldChar w:fldCharType="end"/>
      </w:r>
    </w:p>
    <w:p w14:paraId="32B65C13" w14:textId="77777777" w:rsidR="00A72E60" w:rsidRPr="00A72E60" w:rsidRDefault="00A72E60" w:rsidP="00A72E60">
      <w:pPr>
        <w:rPr>
          <w:lang w:val="x-none" w:eastAsia="x-none"/>
        </w:rPr>
      </w:pPr>
    </w:p>
    <w:p w14:paraId="785124CE" w14:textId="77777777" w:rsidR="008A716D" w:rsidRPr="009816DB" w:rsidRDefault="008A716D" w:rsidP="0073513C">
      <w:pPr>
        <w:pStyle w:val="Heading1"/>
      </w:pPr>
      <w:bookmarkStart w:id="3" w:name="_Toc326235166"/>
      <w:bookmarkStart w:id="4" w:name="_Toc188880692"/>
      <w:bookmarkEnd w:id="0"/>
      <w:r w:rsidRPr="009816DB">
        <w:lastRenderedPageBreak/>
        <w:t>Introduction and Overview</w:t>
      </w:r>
      <w:bookmarkEnd w:id="3"/>
      <w:bookmarkEnd w:id="4"/>
    </w:p>
    <w:p w14:paraId="67F151CC" w14:textId="3B6FDDEC" w:rsidR="00D035DC" w:rsidRPr="002E584D" w:rsidRDefault="008A716D" w:rsidP="002A32AD">
      <w:pPr>
        <w:rPr>
          <w:rFonts w:ascii="Times New Roman" w:hAnsi="Times New Roman"/>
          <w:szCs w:val="24"/>
        </w:rPr>
      </w:pPr>
      <w:r w:rsidRPr="002E584D">
        <w:rPr>
          <w:rFonts w:ascii="Times New Roman" w:hAnsi="Times New Roman"/>
          <w:szCs w:val="24"/>
        </w:rPr>
        <w:t xml:space="preserve">This document describes </w:t>
      </w:r>
      <w:r w:rsidR="003D79CE">
        <w:rPr>
          <w:rFonts w:ascii="Times New Roman" w:hAnsi="Times New Roman"/>
          <w:szCs w:val="24"/>
        </w:rPr>
        <w:t>the</w:t>
      </w:r>
      <w:r w:rsidRPr="002E584D">
        <w:rPr>
          <w:rFonts w:ascii="Times New Roman" w:hAnsi="Times New Roman"/>
          <w:szCs w:val="24"/>
        </w:rPr>
        <w:t xml:space="preserve"> data collection plan for the </w:t>
      </w:r>
      <w:r w:rsidR="00C238CD" w:rsidRPr="002E584D">
        <w:rPr>
          <w:rFonts w:ascii="Times New Roman" w:hAnsi="Times New Roman"/>
          <w:szCs w:val="24"/>
        </w:rPr>
        <w:t>20</w:t>
      </w:r>
      <w:r w:rsidR="00C238CD">
        <w:rPr>
          <w:rFonts w:ascii="Times New Roman" w:hAnsi="Times New Roman"/>
          <w:szCs w:val="24"/>
        </w:rPr>
        <w:t>23</w:t>
      </w:r>
      <w:r w:rsidR="00C238CD" w:rsidRPr="002E584D">
        <w:rPr>
          <w:rFonts w:ascii="Times New Roman" w:hAnsi="Times New Roman"/>
          <w:szCs w:val="24"/>
        </w:rPr>
        <w:t xml:space="preserve"> </w:t>
      </w:r>
      <w:r w:rsidRPr="002E584D">
        <w:rPr>
          <w:rFonts w:ascii="Times New Roman" w:hAnsi="Times New Roman"/>
          <w:szCs w:val="24"/>
        </w:rPr>
        <w:t>Medical Expenditure Panel Survey Medical Provider Component (MEPS</w:t>
      </w:r>
      <w:r w:rsidR="00B820E5" w:rsidRPr="002E584D">
        <w:rPr>
          <w:rFonts w:ascii="Times New Roman" w:hAnsi="Times New Roman"/>
          <w:szCs w:val="24"/>
        </w:rPr>
        <w:t xml:space="preserve"> </w:t>
      </w:r>
      <w:r w:rsidRPr="002E584D">
        <w:rPr>
          <w:rFonts w:ascii="Times New Roman" w:hAnsi="Times New Roman"/>
          <w:szCs w:val="24"/>
        </w:rPr>
        <w:t xml:space="preserve">MPC) for hospital healthcare providers not included in the hospital bill. </w:t>
      </w:r>
      <w:r w:rsidR="00F8039E">
        <w:rPr>
          <w:rFonts w:ascii="Times New Roman" w:hAnsi="Times New Roman"/>
          <w:szCs w:val="24"/>
        </w:rPr>
        <w:t>For</w:t>
      </w:r>
      <w:r w:rsidR="000D794E">
        <w:rPr>
          <w:rFonts w:ascii="Times New Roman" w:hAnsi="Times New Roman"/>
          <w:szCs w:val="24"/>
        </w:rPr>
        <w:t xml:space="preserve"> the</w:t>
      </w:r>
      <w:r w:rsidR="00F8039E">
        <w:rPr>
          <w:rFonts w:ascii="Times New Roman" w:hAnsi="Times New Roman"/>
          <w:szCs w:val="24"/>
        </w:rPr>
        <w:t xml:space="preserve"> MEPS MPC, t</w:t>
      </w:r>
      <w:r w:rsidRPr="002E584D">
        <w:rPr>
          <w:rFonts w:ascii="Times New Roman" w:hAnsi="Times New Roman"/>
          <w:szCs w:val="24"/>
        </w:rPr>
        <w:t xml:space="preserve">hese healthcare providers are also </w:t>
      </w:r>
      <w:r w:rsidR="00F8039E">
        <w:rPr>
          <w:rFonts w:ascii="Times New Roman" w:hAnsi="Times New Roman"/>
          <w:szCs w:val="24"/>
        </w:rPr>
        <w:t>referred to</w:t>
      </w:r>
      <w:r w:rsidR="00F8039E" w:rsidRPr="002E584D">
        <w:rPr>
          <w:rFonts w:ascii="Times New Roman" w:hAnsi="Times New Roman"/>
          <w:szCs w:val="24"/>
        </w:rPr>
        <w:t xml:space="preserve"> </w:t>
      </w:r>
      <w:r w:rsidRPr="002E584D">
        <w:rPr>
          <w:rFonts w:ascii="Times New Roman" w:hAnsi="Times New Roman"/>
          <w:szCs w:val="24"/>
        </w:rPr>
        <w:t xml:space="preserve">as separately billing doctors (SBDs). </w:t>
      </w:r>
      <w:r w:rsidR="003D79CE">
        <w:rPr>
          <w:rFonts w:ascii="Times New Roman" w:hAnsi="Times New Roman"/>
          <w:szCs w:val="24"/>
        </w:rPr>
        <w:t>P</w:t>
      </w:r>
      <w:r w:rsidRPr="002E584D">
        <w:rPr>
          <w:rFonts w:ascii="Times New Roman" w:hAnsi="Times New Roman"/>
          <w:szCs w:val="24"/>
        </w:rPr>
        <w:t xml:space="preserve">rocedures are </w:t>
      </w:r>
      <w:r w:rsidR="00890E02" w:rsidRPr="002E584D">
        <w:rPr>
          <w:rFonts w:ascii="Times New Roman" w:hAnsi="Times New Roman"/>
          <w:szCs w:val="24"/>
        </w:rPr>
        <w:t>designed to maintain comparability</w:t>
      </w:r>
      <w:r w:rsidRPr="002E584D">
        <w:rPr>
          <w:rFonts w:ascii="Times New Roman" w:hAnsi="Times New Roman"/>
          <w:szCs w:val="24"/>
        </w:rPr>
        <w:t xml:space="preserve"> with prior rounds of MEPS</w:t>
      </w:r>
      <w:r w:rsidR="00B820E5" w:rsidRPr="002E584D">
        <w:rPr>
          <w:rFonts w:ascii="Times New Roman" w:hAnsi="Times New Roman"/>
          <w:szCs w:val="24"/>
        </w:rPr>
        <w:t xml:space="preserve"> </w:t>
      </w:r>
      <w:r w:rsidRPr="002E584D">
        <w:rPr>
          <w:rFonts w:ascii="Times New Roman" w:hAnsi="Times New Roman"/>
          <w:szCs w:val="24"/>
        </w:rPr>
        <w:t xml:space="preserve">MPC and incorporate planned improvements for </w:t>
      </w:r>
      <w:r w:rsidR="00C238CD" w:rsidRPr="002E584D">
        <w:rPr>
          <w:rFonts w:ascii="Times New Roman" w:hAnsi="Times New Roman"/>
          <w:szCs w:val="24"/>
        </w:rPr>
        <w:t>20</w:t>
      </w:r>
      <w:r w:rsidR="00C238CD">
        <w:rPr>
          <w:rFonts w:ascii="Times New Roman" w:hAnsi="Times New Roman"/>
          <w:szCs w:val="24"/>
        </w:rPr>
        <w:t>23</w:t>
      </w:r>
      <w:r w:rsidRPr="002E584D">
        <w:rPr>
          <w:rFonts w:ascii="Times New Roman" w:hAnsi="Times New Roman"/>
          <w:szCs w:val="24"/>
        </w:rPr>
        <w:t>.</w:t>
      </w:r>
      <w:r w:rsidR="00285B29" w:rsidRPr="002E584D">
        <w:rPr>
          <w:rFonts w:ascii="Times New Roman" w:hAnsi="Times New Roman"/>
          <w:szCs w:val="24"/>
        </w:rPr>
        <w:t xml:space="preserve"> </w:t>
      </w:r>
    </w:p>
    <w:p w14:paraId="7EBC1EB2" w14:textId="77777777" w:rsidR="00F85F35" w:rsidRPr="002E584D" w:rsidRDefault="00F85F35" w:rsidP="002A32AD">
      <w:pPr>
        <w:rPr>
          <w:rFonts w:ascii="Times New Roman" w:hAnsi="Times New Roman"/>
          <w:szCs w:val="24"/>
        </w:rPr>
      </w:pPr>
    </w:p>
    <w:p w14:paraId="448E034C" w14:textId="06FBBB3D" w:rsidR="002A32AD" w:rsidRPr="002E584D" w:rsidRDefault="00285B29" w:rsidP="002A32AD">
      <w:pPr>
        <w:rPr>
          <w:rFonts w:ascii="Times New Roman" w:hAnsi="Times New Roman"/>
          <w:szCs w:val="24"/>
        </w:rPr>
      </w:pPr>
      <w:r w:rsidRPr="002E584D">
        <w:rPr>
          <w:rFonts w:ascii="Times New Roman" w:hAnsi="Times New Roman"/>
          <w:szCs w:val="24"/>
        </w:rPr>
        <w:t>This is a preliminary plan</w:t>
      </w:r>
      <w:r w:rsidR="00D035DC" w:rsidRPr="002E584D">
        <w:rPr>
          <w:rFonts w:ascii="Times New Roman" w:hAnsi="Times New Roman"/>
          <w:szCs w:val="24"/>
        </w:rPr>
        <w:t xml:space="preserve"> and includes enhancements to procedures used in </w:t>
      </w:r>
      <w:r w:rsidR="00C238CD" w:rsidRPr="002E584D">
        <w:rPr>
          <w:rFonts w:ascii="Times New Roman" w:hAnsi="Times New Roman"/>
          <w:szCs w:val="24"/>
        </w:rPr>
        <w:t>20</w:t>
      </w:r>
      <w:r w:rsidR="00C238CD">
        <w:rPr>
          <w:rFonts w:ascii="Times New Roman" w:hAnsi="Times New Roman"/>
          <w:szCs w:val="24"/>
        </w:rPr>
        <w:t>22</w:t>
      </w:r>
      <w:r w:rsidR="00C238CD" w:rsidRPr="002E584D">
        <w:rPr>
          <w:rFonts w:ascii="Times New Roman" w:hAnsi="Times New Roman"/>
          <w:szCs w:val="24"/>
        </w:rPr>
        <w:t xml:space="preserve"> </w:t>
      </w:r>
      <w:r w:rsidR="00D035DC" w:rsidRPr="002E584D">
        <w:rPr>
          <w:rFonts w:ascii="Times New Roman" w:hAnsi="Times New Roman"/>
          <w:szCs w:val="24"/>
        </w:rPr>
        <w:t>in the area</w:t>
      </w:r>
      <w:r w:rsidR="00FB32A1" w:rsidRPr="002E584D">
        <w:rPr>
          <w:rFonts w:ascii="Times New Roman" w:hAnsi="Times New Roman"/>
          <w:szCs w:val="24"/>
        </w:rPr>
        <w:t>s</w:t>
      </w:r>
      <w:r w:rsidR="0073110E">
        <w:rPr>
          <w:rFonts w:ascii="Times New Roman" w:hAnsi="Times New Roman"/>
          <w:szCs w:val="24"/>
        </w:rPr>
        <w:t xml:space="preserve"> of</w:t>
      </w:r>
      <w:r w:rsidR="00D035DC" w:rsidRPr="002E584D">
        <w:rPr>
          <w:rFonts w:ascii="Times New Roman" w:hAnsi="Times New Roman"/>
          <w:szCs w:val="24"/>
        </w:rPr>
        <w:t xml:space="preserve"> </w:t>
      </w:r>
      <w:r w:rsidR="006B0DA5">
        <w:rPr>
          <w:rFonts w:ascii="Times New Roman" w:hAnsi="Times New Roman"/>
          <w:szCs w:val="24"/>
        </w:rPr>
        <w:t>quality control</w:t>
      </w:r>
      <w:r w:rsidR="006B0DA5" w:rsidRPr="002E584D">
        <w:rPr>
          <w:rFonts w:ascii="Times New Roman" w:hAnsi="Times New Roman"/>
          <w:szCs w:val="24"/>
        </w:rPr>
        <w:t xml:space="preserve"> </w:t>
      </w:r>
      <w:r w:rsidR="00D035DC" w:rsidRPr="002E584D">
        <w:rPr>
          <w:rFonts w:ascii="Times New Roman" w:hAnsi="Times New Roman"/>
          <w:szCs w:val="24"/>
        </w:rPr>
        <w:t>in the confirmation of separately billing status and collection of SBD contact information</w:t>
      </w:r>
      <w:r w:rsidR="00D035DC" w:rsidRPr="002E584D">
        <w:rPr>
          <w:rFonts w:ascii="Times New Roman" w:hAnsi="Times New Roman"/>
          <w:b/>
          <w:i/>
          <w:szCs w:val="24"/>
        </w:rPr>
        <w:t>,</w:t>
      </w:r>
      <w:r w:rsidR="00D035DC" w:rsidRPr="002E584D">
        <w:rPr>
          <w:rFonts w:ascii="Times New Roman" w:hAnsi="Times New Roman"/>
          <w:szCs w:val="24"/>
        </w:rPr>
        <w:t xml:space="preserve"> the SBD training </w:t>
      </w:r>
      <w:proofErr w:type="gramStart"/>
      <w:r w:rsidR="00D035DC" w:rsidRPr="002E584D">
        <w:rPr>
          <w:rFonts w:ascii="Times New Roman" w:hAnsi="Times New Roman"/>
          <w:szCs w:val="24"/>
        </w:rPr>
        <w:t>programs</w:t>
      </w:r>
      <w:r w:rsidR="007A37B9" w:rsidRPr="002E584D">
        <w:rPr>
          <w:rFonts w:ascii="Times New Roman" w:hAnsi="Times New Roman"/>
          <w:szCs w:val="24"/>
        </w:rPr>
        <w:t xml:space="preserve"> </w:t>
      </w:r>
      <w:r w:rsidR="00D035DC" w:rsidRPr="002E584D">
        <w:rPr>
          <w:rFonts w:ascii="Times New Roman" w:hAnsi="Times New Roman"/>
          <w:szCs w:val="24"/>
        </w:rPr>
        <w:t>,</w:t>
      </w:r>
      <w:proofErr w:type="gramEnd"/>
      <w:r w:rsidR="00D035DC" w:rsidRPr="002E584D">
        <w:rPr>
          <w:rFonts w:ascii="Times New Roman" w:hAnsi="Times New Roman"/>
          <w:szCs w:val="24"/>
        </w:rPr>
        <w:t xml:space="preserve"> and the plan for management of large SBD providers</w:t>
      </w:r>
      <w:r w:rsidR="007A37B9" w:rsidRPr="002E584D">
        <w:rPr>
          <w:rFonts w:ascii="Times New Roman" w:hAnsi="Times New Roman"/>
          <w:szCs w:val="24"/>
        </w:rPr>
        <w:t xml:space="preserve"> </w:t>
      </w:r>
      <w:r w:rsidR="002A32AD" w:rsidRPr="002E584D">
        <w:rPr>
          <w:rFonts w:ascii="Times New Roman" w:hAnsi="Times New Roman"/>
          <w:szCs w:val="24"/>
        </w:rPr>
        <w:t xml:space="preserve">. </w:t>
      </w:r>
      <w:r w:rsidR="006B0DA5">
        <w:rPr>
          <w:rFonts w:ascii="Times New Roman" w:hAnsi="Times New Roman"/>
          <w:szCs w:val="24"/>
        </w:rPr>
        <w:t>Further discussion may be required on</w:t>
      </w:r>
      <w:r w:rsidR="002A32AD" w:rsidRPr="002E584D">
        <w:rPr>
          <w:rFonts w:ascii="Times New Roman" w:hAnsi="Times New Roman"/>
          <w:szCs w:val="24"/>
        </w:rPr>
        <w:t xml:space="preserve"> AHRQ’s objectives for SBD</w:t>
      </w:r>
      <w:r w:rsidR="006B0DA5">
        <w:rPr>
          <w:rFonts w:ascii="Times New Roman" w:hAnsi="Times New Roman"/>
          <w:szCs w:val="24"/>
        </w:rPr>
        <w:t xml:space="preserve"> to refine</w:t>
      </w:r>
      <w:r w:rsidR="006B0DA5" w:rsidRPr="002E584D">
        <w:rPr>
          <w:rFonts w:ascii="Times New Roman" w:hAnsi="Times New Roman"/>
          <w:szCs w:val="24"/>
        </w:rPr>
        <w:t xml:space="preserve"> </w:t>
      </w:r>
      <w:r w:rsidR="00F327A5">
        <w:rPr>
          <w:rFonts w:ascii="Times New Roman" w:hAnsi="Times New Roman"/>
          <w:szCs w:val="24"/>
        </w:rPr>
        <w:t>the</w:t>
      </w:r>
      <w:r w:rsidR="002A32AD" w:rsidRPr="002E584D">
        <w:rPr>
          <w:rFonts w:ascii="Times New Roman" w:hAnsi="Times New Roman"/>
          <w:szCs w:val="24"/>
        </w:rPr>
        <w:t xml:space="preserve"> </w:t>
      </w:r>
      <w:r w:rsidR="00D035DC" w:rsidRPr="002E584D">
        <w:rPr>
          <w:rFonts w:ascii="Times New Roman" w:hAnsi="Times New Roman"/>
          <w:szCs w:val="24"/>
        </w:rPr>
        <w:t>final SBD Data Collection P</w:t>
      </w:r>
      <w:r w:rsidR="002A32AD" w:rsidRPr="002E584D">
        <w:rPr>
          <w:rFonts w:ascii="Times New Roman" w:hAnsi="Times New Roman"/>
          <w:szCs w:val="24"/>
        </w:rPr>
        <w:t xml:space="preserve">lan to those objectives. Following preliminary discussions with AHRQ, areas in which further discussion and revision for the </w:t>
      </w:r>
      <w:r w:rsidR="00C238CD" w:rsidRPr="002E584D">
        <w:rPr>
          <w:rFonts w:ascii="Times New Roman" w:hAnsi="Times New Roman"/>
          <w:szCs w:val="24"/>
        </w:rPr>
        <w:t>20</w:t>
      </w:r>
      <w:r w:rsidR="00C238CD">
        <w:rPr>
          <w:rFonts w:ascii="Times New Roman" w:hAnsi="Times New Roman"/>
          <w:szCs w:val="24"/>
        </w:rPr>
        <w:t>23</w:t>
      </w:r>
      <w:r w:rsidR="00C238CD" w:rsidRPr="002E584D">
        <w:rPr>
          <w:rFonts w:ascii="Times New Roman" w:hAnsi="Times New Roman"/>
          <w:szCs w:val="24"/>
        </w:rPr>
        <w:t xml:space="preserve"> </w:t>
      </w:r>
      <w:r w:rsidR="002A32AD" w:rsidRPr="002E584D">
        <w:rPr>
          <w:rFonts w:ascii="Times New Roman" w:hAnsi="Times New Roman"/>
          <w:szCs w:val="24"/>
        </w:rPr>
        <w:t xml:space="preserve">cycle may be warranted include the following:  </w:t>
      </w:r>
    </w:p>
    <w:p w14:paraId="6930AD41" w14:textId="77777777" w:rsidR="002A32AD" w:rsidRPr="002E584D" w:rsidRDefault="002A32AD" w:rsidP="002A32AD">
      <w:pPr>
        <w:pStyle w:val="ListParagraph"/>
        <w:ind w:left="1800"/>
        <w:rPr>
          <w:rFonts w:ascii="Times New Roman" w:hAnsi="Times New Roman"/>
          <w:szCs w:val="24"/>
        </w:rPr>
      </w:pPr>
    </w:p>
    <w:p w14:paraId="4B2F8BD1" w14:textId="054E45FB" w:rsidR="00B95B92" w:rsidRPr="002E584D" w:rsidRDefault="00B95B92" w:rsidP="00621506">
      <w:pPr>
        <w:pStyle w:val="ListParagraph"/>
        <w:numPr>
          <w:ilvl w:val="0"/>
          <w:numId w:val="39"/>
        </w:numPr>
        <w:rPr>
          <w:rFonts w:ascii="Times New Roman" w:hAnsi="Times New Roman"/>
          <w:szCs w:val="24"/>
        </w:rPr>
      </w:pPr>
      <w:r w:rsidRPr="002E584D">
        <w:rPr>
          <w:rFonts w:ascii="Times New Roman" w:hAnsi="Times New Roman"/>
          <w:szCs w:val="24"/>
          <w:u w:val="single"/>
        </w:rPr>
        <w:t>Data collection schedule:</w:t>
      </w:r>
      <w:r w:rsidRPr="002E584D">
        <w:rPr>
          <w:rFonts w:ascii="Times New Roman" w:hAnsi="Times New Roman"/>
          <w:szCs w:val="24"/>
          <w:lang w:eastAsia="x-none"/>
        </w:rPr>
        <w:t xml:space="preserve"> Due to the scope of </w:t>
      </w:r>
      <w:r w:rsidR="002D0913">
        <w:rPr>
          <w:rFonts w:ascii="Times New Roman" w:hAnsi="Times New Roman"/>
          <w:szCs w:val="24"/>
          <w:lang w:eastAsia="x-none"/>
        </w:rPr>
        <w:t xml:space="preserve">work for </w:t>
      </w:r>
      <w:r w:rsidRPr="002E584D">
        <w:rPr>
          <w:rFonts w:ascii="Times New Roman" w:hAnsi="Times New Roman"/>
          <w:szCs w:val="24"/>
          <w:lang w:eastAsia="x-none"/>
        </w:rPr>
        <w:t xml:space="preserve">the </w:t>
      </w:r>
      <w:r w:rsidR="00C238CD" w:rsidRPr="002E584D">
        <w:rPr>
          <w:rFonts w:ascii="Times New Roman" w:hAnsi="Times New Roman"/>
          <w:szCs w:val="24"/>
          <w:lang w:eastAsia="x-none"/>
        </w:rPr>
        <w:t>20</w:t>
      </w:r>
      <w:r w:rsidR="00C238CD">
        <w:rPr>
          <w:rFonts w:ascii="Times New Roman" w:hAnsi="Times New Roman"/>
          <w:szCs w:val="24"/>
          <w:lang w:eastAsia="x-none"/>
        </w:rPr>
        <w:t>23</w:t>
      </w:r>
      <w:r w:rsidR="00C238CD" w:rsidRPr="002E584D">
        <w:rPr>
          <w:rFonts w:ascii="Times New Roman" w:hAnsi="Times New Roman"/>
          <w:szCs w:val="24"/>
          <w:lang w:eastAsia="x-none"/>
        </w:rPr>
        <w:t xml:space="preserve"> </w:t>
      </w:r>
      <w:r w:rsidRPr="002E584D">
        <w:rPr>
          <w:rFonts w:ascii="Times New Roman" w:hAnsi="Times New Roman"/>
          <w:szCs w:val="24"/>
          <w:lang w:eastAsia="x-none"/>
        </w:rPr>
        <w:t xml:space="preserve">SBD cycle, and </w:t>
      </w:r>
      <w:r w:rsidR="006677C7">
        <w:rPr>
          <w:rFonts w:ascii="Times New Roman" w:hAnsi="Times New Roman"/>
          <w:szCs w:val="24"/>
          <w:lang w:eastAsia="x-none"/>
        </w:rPr>
        <w:t>the</w:t>
      </w:r>
      <w:r w:rsidR="006677C7" w:rsidRPr="002E584D">
        <w:rPr>
          <w:rFonts w:ascii="Times New Roman" w:hAnsi="Times New Roman"/>
          <w:szCs w:val="24"/>
          <w:lang w:eastAsia="x-none"/>
        </w:rPr>
        <w:t xml:space="preserve"> </w:t>
      </w:r>
      <w:r w:rsidRPr="002E584D">
        <w:rPr>
          <w:rFonts w:ascii="Times New Roman" w:hAnsi="Times New Roman"/>
          <w:szCs w:val="24"/>
          <w:lang w:eastAsia="x-none"/>
        </w:rPr>
        <w:t>expected retention rate of Hospital, Home Health, Institution, and HMO staff,</w:t>
      </w:r>
      <w:r w:rsidR="00827F07">
        <w:rPr>
          <w:rFonts w:ascii="Times New Roman" w:hAnsi="Times New Roman"/>
          <w:szCs w:val="24"/>
          <w:lang w:eastAsia="x-none"/>
        </w:rPr>
        <w:t xml:space="preserve"> the MPC team</w:t>
      </w:r>
      <w:r w:rsidRPr="002E584D">
        <w:rPr>
          <w:rFonts w:ascii="Times New Roman" w:hAnsi="Times New Roman"/>
          <w:szCs w:val="24"/>
          <w:lang w:eastAsia="x-none"/>
        </w:rPr>
        <w:t xml:space="preserve"> expect</w:t>
      </w:r>
      <w:r w:rsidR="00F327A5">
        <w:rPr>
          <w:rFonts w:ascii="Times New Roman" w:hAnsi="Times New Roman"/>
          <w:szCs w:val="24"/>
          <w:lang w:eastAsia="x-none"/>
        </w:rPr>
        <w:t>s</w:t>
      </w:r>
      <w:r w:rsidRPr="002E584D">
        <w:rPr>
          <w:rFonts w:ascii="Times New Roman" w:hAnsi="Times New Roman"/>
          <w:szCs w:val="24"/>
          <w:lang w:eastAsia="x-none"/>
        </w:rPr>
        <w:t xml:space="preserve"> </w:t>
      </w:r>
      <w:r w:rsidR="00CD1C9A">
        <w:rPr>
          <w:rFonts w:ascii="Times New Roman" w:hAnsi="Times New Roman"/>
          <w:szCs w:val="24"/>
          <w:lang w:eastAsia="x-none"/>
        </w:rPr>
        <w:t>SBD data collection will have sufficient DCSs and management staff</w:t>
      </w:r>
      <w:r w:rsidRPr="002E584D">
        <w:rPr>
          <w:rFonts w:ascii="Times New Roman" w:hAnsi="Times New Roman"/>
          <w:szCs w:val="24"/>
          <w:lang w:eastAsia="x-none"/>
        </w:rPr>
        <w:t xml:space="preserve"> </w:t>
      </w:r>
      <w:r w:rsidR="00233BE6">
        <w:rPr>
          <w:rFonts w:ascii="Times New Roman" w:hAnsi="Times New Roman"/>
          <w:szCs w:val="24"/>
          <w:lang w:eastAsia="x-none"/>
        </w:rPr>
        <w:t xml:space="preserve">from the </w:t>
      </w:r>
      <w:r w:rsidR="00C238CD">
        <w:rPr>
          <w:rFonts w:ascii="Times New Roman" w:hAnsi="Times New Roman"/>
          <w:szCs w:val="24"/>
          <w:lang w:eastAsia="x-none"/>
        </w:rPr>
        <w:t xml:space="preserve">2023 </w:t>
      </w:r>
      <w:r w:rsidR="00233BE6">
        <w:rPr>
          <w:rFonts w:ascii="Times New Roman" w:hAnsi="Times New Roman"/>
          <w:szCs w:val="24"/>
          <w:lang w:eastAsia="x-none"/>
        </w:rPr>
        <w:t xml:space="preserve">non-SBD data collection </w:t>
      </w:r>
      <w:r w:rsidR="00853D10">
        <w:rPr>
          <w:rFonts w:ascii="Times New Roman" w:hAnsi="Times New Roman"/>
          <w:szCs w:val="24"/>
          <w:lang w:eastAsia="x-none"/>
        </w:rPr>
        <w:t xml:space="preserve">effort </w:t>
      </w:r>
      <w:r w:rsidR="00CD1C9A">
        <w:rPr>
          <w:rFonts w:ascii="Times New Roman" w:hAnsi="Times New Roman"/>
          <w:szCs w:val="24"/>
          <w:lang w:eastAsia="x-none"/>
        </w:rPr>
        <w:t xml:space="preserve">to complete all planned activity. As such it will not be necessary </w:t>
      </w:r>
      <w:r w:rsidRPr="002E584D">
        <w:rPr>
          <w:rFonts w:ascii="Times New Roman" w:hAnsi="Times New Roman"/>
          <w:szCs w:val="24"/>
          <w:lang w:eastAsia="x-none"/>
        </w:rPr>
        <w:t xml:space="preserve">to introduce any new-to-project staff </w:t>
      </w:r>
      <w:r w:rsidR="00233BE6">
        <w:rPr>
          <w:rFonts w:ascii="Times New Roman" w:hAnsi="Times New Roman"/>
          <w:szCs w:val="24"/>
          <w:lang w:eastAsia="x-none"/>
        </w:rPr>
        <w:t>as part of</w:t>
      </w:r>
      <w:r w:rsidR="00233BE6" w:rsidRPr="002E584D">
        <w:rPr>
          <w:rFonts w:ascii="Times New Roman" w:hAnsi="Times New Roman"/>
          <w:szCs w:val="24"/>
          <w:lang w:eastAsia="x-none"/>
        </w:rPr>
        <w:t xml:space="preserve"> </w:t>
      </w:r>
      <w:r w:rsidRPr="002E584D">
        <w:rPr>
          <w:rFonts w:ascii="Times New Roman" w:hAnsi="Times New Roman"/>
          <w:szCs w:val="24"/>
          <w:lang w:eastAsia="x-none"/>
        </w:rPr>
        <w:t xml:space="preserve">the </w:t>
      </w:r>
      <w:r w:rsidR="00C238CD" w:rsidRPr="002E584D">
        <w:rPr>
          <w:rFonts w:ascii="Times New Roman" w:hAnsi="Times New Roman"/>
          <w:szCs w:val="24"/>
          <w:lang w:eastAsia="x-none"/>
        </w:rPr>
        <w:t>20</w:t>
      </w:r>
      <w:r w:rsidR="00C238CD">
        <w:rPr>
          <w:rFonts w:ascii="Times New Roman" w:hAnsi="Times New Roman"/>
          <w:szCs w:val="24"/>
          <w:lang w:eastAsia="x-none"/>
        </w:rPr>
        <w:t>23</w:t>
      </w:r>
      <w:r w:rsidR="00C238CD" w:rsidRPr="002E584D">
        <w:rPr>
          <w:rFonts w:ascii="Times New Roman" w:hAnsi="Times New Roman"/>
          <w:szCs w:val="24"/>
          <w:lang w:eastAsia="x-none"/>
        </w:rPr>
        <w:t xml:space="preserve"> </w:t>
      </w:r>
      <w:r w:rsidRPr="002E584D">
        <w:rPr>
          <w:rFonts w:ascii="Times New Roman" w:hAnsi="Times New Roman"/>
          <w:szCs w:val="24"/>
          <w:lang w:eastAsia="x-none"/>
        </w:rPr>
        <w:t xml:space="preserve">SBD cycle. </w:t>
      </w:r>
      <w:r w:rsidR="002D0913">
        <w:rPr>
          <w:rFonts w:ascii="Times New Roman" w:hAnsi="Times New Roman"/>
          <w:szCs w:val="24"/>
          <w:lang w:eastAsia="x-none"/>
        </w:rPr>
        <w:t>This is consistent with plan</w:t>
      </w:r>
      <w:r w:rsidR="000D72DF">
        <w:rPr>
          <w:rFonts w:ascii="Times New Roman" w:hAnsi="Times New Roman"/>
          <w:szCs w:val="24"/>
          <w:lang w:eastAsia="x-none"/>
        </w:rPr>
        <w:t>s</w:t>
      </w:r>
      <w:r w:rsidR="002D0913">
        <w:rPr>
          <w:rFonts w:ascii="Times New Roman" w:hAnsi="Times New Roman"/>
          <w:szCs w:val="24"/>
          <w:lang w:eastAsia="x-none"/>
        </w:rPr>
        <w:t xml:space="preserve"> for the 2017</w:t>
      </w:r>
      <w:r w:rsidR="000D72DF">
        <w:rPr>
          <w:rFonts w:ascii="Times New Roman" w:hAnsi="Times New Roman"/>
          <w:szCs w:val="24"/>
          <w:lang w:eastAsia="x-none"/>
        </w:rPr>
        <w:t>-</w:t>
      </w:r>
      <w:r w:rsidR="00C238CD">
        <w:rPr>
          <w:rFonts w:ascii="Times New Roman" w:hAnsi="Times New Roman"/>
          <w:szCs w:val="24"/>
          <w:lang w:eastAsia="x-none"/>
        </w:rPr>
        <w:t xml:space="preserve">2022 </w:t>
      </w:r>
      <w:r w:rsidR="002D0913">
        <w:rPr>
          <w:rFonts w:ascii="Times New Roman" w:hAnsi="Times New Roman"/>
          <w:szCs w:val="24"/>
          <w:lang w:eastAsia="x-none"/>
        </w:rPr>
        <w:t>cycle</w:t>
      </w:r>
      <w:r w:rsidR="000D72DF">
        <w:rPr>
          <w:rFonts w:ascii="Times New Roman" w:hAnsi="Times New Roman"/>
          <w:szCs w:val="24"/>
          <w:lang w:eastAsia="x-none"/>
        </w:rPr>
        <w:t>s</w:t>
      </w:r>
      <w:r w:rsidR="002D0913">
        <w:rPr>
          <w:rFonts w:ascii="Times New Roman" w:hAnsi="Times New Roman"/>
          <w:szCs w:val="24"/>
          <w:lang w:eastAsia="x-none"/>
        </w:rPr>
        <w:t xml:space="preserve">. </w:t>
      </w:r>
      <w:r w:rsidRPr="002E584D">
        <w:rPr>
          <w:rFonts w:ascii="Times New Roman" w:hAnsi="Times New Roman"/>
          <w:szCs w:val="24"/>
          <w:lang w:eastAsia="x-none"/>
        </w:rPr>
        <w:t xml:space="preserve">However, staffing needs </w:t>
      </w:r>
      <w:r w:rsidR="006B0DA5">
        <w:rPr>
          <w:rFonts w:ascii="Times New Roman" w:hAnsi="Times New Roman"/>
          <w:szCs w:val="24"/>
          <w:lang w:eastAsia="x-none"/>
        </w:rPr>
        <w:t xml:space="preserve">will be assessed </w:t>
      </w:r>
      <w:r w:rsidRPr="002E584D">
        <w:rPr>
          <w:rFonts w:ascii="Times New Roman" w:hAnsi="Times New Roman"/>
          <w:szCs w:val="24"/>
          <w:lang w:eastAsia="x-none"/>
        </w:rPr>
        <w:t>throughout the data collection year and should a new-to-project training be necessary due to unforeseen staffing challenges</w:t>
      </w:r>
      <w:r w:rsidR="006B0DA5">
        <w:rPr>
          <w:rFonts w:ascii="Times New Roman" w:hAnsi="Times New Roman"/>
          <w:szCs w:val="24"/>
          <w:lang w:eastAsia="x-none"/>
        </w:rPr>
        <w:t xml:space="preserve"> for discussion </w:t>
      </w:r>
      <w:r w:rsidRPr="002E584D">
        <w:rPr>
          <w:rFonts w:ascii="Times New Roman" w:hAnsi="Times New Roman"/>
          <w:szCs w:val="24"/>
          <w:lang w:eastAsia="x-none"/>
        </w:rPr>
        <w:t xml:space="preserve">with AHRQ.  </w:t>
      </w:r>
    </w:p>
    <w:p w14:paraId="6504E7CA" w14:textId="77777777" w:rsidR="00B95B92" w:rsidRPr="002E584D" w:rsidRDefault="00B95B92" w:rsidP="00B95B92">
      <w:pPr>
        <w:rPr>
          <w:rFonts w:ascii="Times New Roman" w:hAnsi="Times New Roman"/>
          <w:szCs w:val="24"/>
        </w:rPr>
      </w:pPr>
    </w:p>
    <w:p w14:paraId="4167C12A" w14:textId="5C346D7E" w:rsidR="00E31251" w:rsidRPr="002E584D" w:rsidRDefault="00621506" w:rsidP="00B95B92">
      <w:pPr>
        <w:pStyle w:val="ListParagraph"/>
        <w:numPr>
          <w:ilvl w:val="0"/>
          <w:numId w:val="39"/>
        </w:numPr>
        <w:rPr>
          <w:rFonts w:ascii="Times New Roman" w:hAnsi="Times New Roman"/>
          <w:szCs w:val="24"/>
        </w:rPr>
      </w:pPr>
      <w:r w:rsidRPr="002E584D">
        <w:rPr>
          <w:rFonts w:ascii="Times New Roman" w:hAnsi="Times New Roman"/>
          <w:szCs w:val="24"/>
          <w:u w:val="single"/>
        </w:rPr>
        <w:t>Large Provider</w:t>
      </w:r>
      <w:r w:rsidRPr="002E584D">
        <w:rPr>
          <w:rFonts w:ascii="Times New Roman" w:hAnsi="Times New Roman"/>
          <w:szCs w:val="24"/>
        </w:rPr>
        <w:t xml:space="preserve">: </w:t>
      </w:r>
      <w:r w:rsidR="00E31251" w:rsidRPr="002E584D">
        <w:rPr>
          <w:rFonts w:ascii="Times New Roman" w:hAnsi="Times New Roman"/>
          <w:szCs w:val="24"/>
        </w:rPr>
        <w:t xml:space="preserve">For the </w:t>
      </w:r>
      <w:r w:rsidR="00C238CD" w:rsidRPr="002E584D">
        <w:rPr>
          <w:rFonts w:ascii="Times New Roman" w:hAnsi="Times New Roman"/>
          <w:szCs w:val="24"/>
        </w:rPr>
        <w:t>20</w:t>
      </w:r>
      <w:r w:rsidR="00C238CD">
        <w:rPr>
          <w:rFonts w:ascii="Times New Roman" w:hAnsi="Times New Roman"/>
          <w:szCs w:val="24"/>
        </w:rPr>
        <w:t>23</w:t>
      </w:r>
      <w:r w:rsidR="00C238CD" w:rsidRPr="002E584D">
        <w:rPr>
          <w:rFonts w:ascii="Times New Roman" w:hAnsi="Times New Roman"/>
          <w:szCs w:val="24"/>
        </w:rPr>
        <w:t xml:space="preserve"> </w:t>
      </w:r>
      <w:r w:rsidR="00E31251" w:rsidRPr="002E584D">
        <w:rPr>
          <w:rFonts w:ascii="Times New Roman" w:hAnsi="Times New Roman"/>
          <w:szCs w:val="24"/>
        </w:rPr>
        <w:t>cycle, designation</w:t>
      </w:r>
      <w:r w:rsidR="006B0DA5">
        <w:rPr>
          <w:rFonts w:ascii="Times New Roman" w:hAnsi="Times New Roman"/>
          <w:szCs w:val="24"/>
        </w:rPr>
        <w:t>s</w:t>
      </w:r>
      <w:r w:rsidR="00E31251" w:rsidRPr="002E584D">
        <w:rPr>
          <w:rFonts w:ascii="Times New Roman" w:hAnsi="Times New Roman"/>
          <w:szCs w:val="24"/>
        </w:rPr>
        <w:t xml:space="preserve"> for </w:t>
      </w:r>
      <w:r w:rsidR="005D6681">
        <w:rPr>
          <w:rFonts w:ascii="Times New Roman" w:hAnsi="Times New Roman"/>
          <w:szCs w:val="24"/>
        </w:rPr>
        <w:t>C</w:t>
      </w:r>
      <w:r w:rsidR="00E31251" w:rsidRPr="002E584D">
        <w:rPr>
          <w:rFonts w:ascii="Times New Roman" w:hAnsi="Times New Roman"/>
          <w:szCs w:val="24"/>
        </w:rPr>
        <w:t xml:space="preserve">ategory 1 and 2 SBD providers/billers </w:t>
      </w:r>
      <w:r w:rsidR="006B0DA5">
        <w:rPr>
          <w:rFonts w:ascii="Times New Roman" w:hAnsi="Times New Roman"/>
          <w:szCs w:val="24"/>
        </w:rPr>
        <w:t xml:space="preserve">will be completed in similar fashion to </w:t>
      </w:r>
      <w:r w:rsidR="00E31251" w:rsidRPr="002E584D">
        <w:rPr>
          <w:rFonts w:ascii="Times New Roman" w:hAnsi="Times New Roman"/>
          <w:szCs w:val="24"/>
        </w:rPr>
        <w:t xml:space="preserve">the </w:t>
      </w:r>
      <w:r w:rsidR="00C238CD" w:rsidRPr="002E584D">
        <w:rPr>
          <w:rFonts w:ascii="Times New Roman" w:hAnsi="Times New Roman"/>
          <w:szCs w:val="24"/>
        </w:rPr>
        <w:t>20</w:t>
      </w:r>
      <w:r w:rsidR="00C238CD">
        <w:rPr>
          <w:rFonts w:ascii="Times New Roman" w:hAnsi="Times New Roman"/>
          <w:szCs w:val="24"/>
        </w:rPr>
        <w:t>23</w:t>
      </w:r>
      <w:r w:rsidR="00C238CD" w:rsidRPr="002E584D">
        <w:rPr>
          <w:rFonts w:ascii="Times New Roman" w:hAnsi="Times New Roman"/>
          <w:szCs w:val="24"/>
        </w:rPr>
        <w:t xml:space="preserve"> </w:t>
      </w:r>
      <w:r w:rsidR="00E31251" w:rsidRPr="002E584D">
        <w:rPr>
          <w:rFonts w:ascii="Times New Roman" w:hAnsi="Times New Roman"/>
          <w:szCs w:val="24"/>
        </w:rPr>
        <w:t>cycle non</w:t>
      </w:r>
      <w:r w:rsidR="00892102">
        <w:rPr>
          <w:rFonts w:ascii="Times New Roman" w:hAnsi="Times New Roman"/>
          <w:szCs w:val="24"/>
        </w:rPr>
        <w:t>-</w:t>
      </w:r>
      <w:r w:rsidR="00E31251" w:rsidRPr="002E584D">
        <w:rPr>
          <w:rFonts w:ascii="Times New Roman" w:hAnsi="Times New Roman"/>
          <w:szCs w:val="24"/>
        </w:rPr>
        <w:t>SBD providers.</w:t>
      </w:r>
      <w:r w:rsidR="00A254C9" w:rsidRPr="002E584D">
        <w:rPr>
          <w:rFonts w:ascii="Times New Roman" w:hAnsi="Times New Roman"/>
          <w:szCs w:val="24"/>
        </w:rPr>
        <w:t xml:space="preserve"> Recategorization may take place based on </w:t>
      </w:r>
      <w:r w:rsidR="00C238CD" w:rsidRPr="002E584D">
        <w:rPr>
          <w:rFonts w:ascii="Times New Roman" w:hAnsi="Times New Roman"/>
          <w:szCs w:val="24"/>
        </w:rPr>
        <w:t>20</w:t>
      </w:r>
      <w:r w:rsidR="00C238CD">
        <w:rPr>
          <w:rFonts w:ascii="Times New Roman" w:hAnsi="Times New Roman"/>
          <w:szCs w:val="24"/>
        </w:rPr>
        <w:t xml:space="preserve">22 </w:t>
      </w:r>
      <w:r w:rsidR="00A254C9" w:rsidRPr="002E584D">
        <w:rPr>
          <w:rFonts w:ascii="Times New Roman" w:hAnsi="Times New Roman"/>
          <w:szCs w:val="24"/>
        </w:rPr>
        <w:t xml:space="preserve">nodes/pairs, participation status, and </w:t>
      </w:r>
      <w:r w:rsidR="006B0DA5" w:rsidRPr="002E584D">
        <w:rPr>
          <w:rFonts w:ascii="Times New Roman" w:hAnsi="Times New Roman"/>
          <w:szCs w:val="24"/>
        </w:rPr>
        <w:t>20</w:t>
      </w:r>
      <w:r w:rsidR="006B0DA5">
        <w:rPr>
          <w:rFonts w:ascii="Times New Roman" w:hAnsi="Times New Roman"/>
          <w:szCs w:val="24"/>
        </w:rPr>
        <w:t>2</w:t>
      </w:r>
      <w:r w:rsidR="000D794E">
        <w:rPr>
          <w:rFonts w:ascii="Times New Roman" w:hAnsi="Times New Roman"/>
          <w:szCs w:val="24"/>
        </w:rPr>
        <w:t>2</w:t>
      </w:r>
      <w:r w:rsidR="006B0DA5" w:rsidRPr="002E584D">
        <w:rPr>
          <w:rFonts w:ascii="Times New Roman" w:hAnsi="Times New Roman"/>
          <w:szCs w:val="24"/>
        </w:rPr>
        <w:t xml:space="preserve"> </w:t>
      </w:r>
      <w:r w:rsidR="00A254C9" w:rsidRPr="002E584D">
        <w:rPr>
          <w:rFonts w:ascii="Times New Roman" w:hAnsi="Times New Roman"/>
          <w:szCs w:val="24"/>
        </w:rPr>
        <w:t>completion rates.</w:t>
      </w:r>
      <w:r w:rsidR="00EA4B73" w:rsidRPr="002E584D">
        <w:rPr>
          <w:rFonts w:ascii="Times New Roman" w:hAnsi="Times New Roman"/>
          <w:szCs w:val="24"/>
        </w:rPr>
        <w:t xml:space="preserve"> Providers or billers are defined as a </w:t>
      </w:r>
      <w:r w:rsidR="00FB1F8D">
        <w:rPr>
          <w:rFonts w:ascii="Times New Roman" w:hAnsi="Times New Roman"/>
          <w:szCs w:val="24"/>
        </w:rPr>
        <w:t>C</w:t>
      </w:r>
      <w:r w:rsidR="00EA4B73" w:rsidRPr="002E584D">
        <w:rPr>
          <w:rFonts w:ascii="Times New Roman" w:hAnsi="Times New Roman"/>
          <w:szCs w:val="24"/>
        </w:rPr>
        <w:t>ategory 1 or 2 band because they are among the largest providers or billers in the sample based on total number of nodes. A provider or biller is</w:t>
      </w:r>
      <w:r w:rsidR="00A36A93">
        <w:rPr>
          <w:rFonts w:ascii="Times New Roman" w:hAnsi="Times New Roman"/>
          <w:szCs w:val="24"/>
        </w:rPr>
        <w:t xml:space="preserve"> generally</w:t>
      </w:r>
      <w:r w:rsidR="00EA4B73" w:rsidRPr="002E584D">
        <w:rPr>
          <w:rFonts w:ascii="Times New Roman" w:hAnsi="Times New Roman"/>
          <w:szCs w:val="24"/>
        </w:rPr>
        <w:t xml:space="preserve"> designated as </w:t>
      </w:r>
      <w:r w:rsidR="00FB1F8D">
        <w:rPr>
          <w:rFonts w:ascii="Times New Roman" w:hAnsi="Times New Roman"/>
          <w:szCs w:val="24"/>
        </w:rPr>
        <w:t>C</w:t>
      </w:r>
      <w:r w:rsidR="00EA4B73" w:rsidRPr="002E584D">
        <w:rPr>
          <w:rFonts w:ascii="Times New Roman" w:hAnsi="Times New Roman"/>
          <w:szCs w:val="24"/>
        </w:rPr>
        <w:t xml:space="preserve">ategory 1 if it was among the largest bands </w:t>
      </w:r>
      <w:r w:rsidR="00E32CF2">
        <w:rPr>
          <w:rFonts w:ascii="Times New Roman" w:hAnsi="Times New Roman"/>
          <w:szCs w:val="24"/>
        </w:rPr>
        <w:t xml:space="preserve">(based on the number of </w:t>
      </w:r>
      <w:r w:rsidR="000D794E">
        <w:rPr>
          <w:rFonts w:ascii="Times New Roman" w:hAnsi="Times New Roman"/>
          <w:szCs w:val="24"/>
        </w:rPr>
        <w:t>nodes</w:t>
      </w:r>
      <w:r w:rsidR="00E32CF2">
        <w:rPr>
          <w:rFonts w:ascii="Times New Roman" w:hAnsi="Times New Roman"/>
          <w:szCs w:val="24"/>
        </w:rPr>
        <w:t xml:space="preserve">) </w:t>
      </w:r>
      <w:r w:rsidR="00EA4B73" w:rsidRPr="002E584D">
        <w:rPr>
          <w:rFonts w:ascii="Times New Roman" w:hAnsi="Times New Roman"/>
          <w:szCs w:val="24"/>
        </w:rPr>
        <w:t xml:space="preserve">and the previous cycle’s node completion rate was especially low (typically under 50%) or if working the band was especially complex or difficult. A provider or biller is </w:t>
      </w:r>
      <w:r w:rsidR="00A36A93">
        <w:rPr>
          <w:rFonts w:ascii="Times New Roman" w:hAnsi="Times New Roman"/>
          <w:szCs w:val="24"/>
        </w:rPr>
        <w:t xml:space="preserve">generally </w:t>
      </w:r>
      <w:r w:rsidR="00EA4B73" w:rsidRPr="002E584D">
        <w:rPr>
          <w:rFonts w:ascii="Times New Roman" w:hAnsi="Times New Roman"/>
          <w:szCs w:val="24"/>
        </w:rPr>
        <w:t xml:space="preserve">designated as </w:t>
      </w:r>
      <w:r w:rsidR="00FB1F8D">
        <w:rPr>
          <w:rFonts w:ascii="Times New Roman" w:hAnsi="Times New Roman"/>
          <w:szCs w:val="24"/>
        </w:rPr>
        <w:t>C</w:t>
      </w:r>
      <w:r w:rsidR="00EA4B73" w:rsidRPr="002E584D">
        <w:rPr>
          <w:rFonts w:ascii="Times New Roman" w:hAnsi="Times New Roman"/>
          <w:szCs w:val="24"/>
        </w:rPr>
        <w:t>ategory 2 if it was among the largest bands</w:t>
      </w:r>
      <w:r w:rsidR="00E32CF2">
        <w:rPr>
          <w:rFonts w:ascii="Times New Roman" w:hAnsi="Times New Roman"/>
          <w:szCs w:val="24"/>
        </w:rPr>
        <w:t xml:space="preserve"> (again based on the number of </w:t>
      </w:r>
      <w:r w:rsidR="000D794E">
        <w:rPr>
          <w:rFonts w:ascii="Times New Roman" w:hAnsi="Times New Roman"/>
          <w:szCs w:val="24"/>
        </w:rPr>
        <w:t>nodes</w:t>
      </w:r>
      <w:r w:rsidR="00E32CF2">
        <w:rPr>
          <w:rFonts w:ascii="Times New Roman" w:hAnsi="Times New Roman"/>
          <w:szCs w:val="24"/>
        </w:rPr>
        <w:t>)</w:t>
      </w:r>
      <w:r w:rsidR="00EA4B73" w:rsidRPr="002E584D">
        <w:rPr>
          <w:rFonts w:ascii="Times New Roman" w:hAnsi="Times New Roman"/>
          <w:szCs w:val="24"/>
        </w:rPr>
        <w:t>, but the completion rate was high (typically no lower than 50%) and working the band was straightforward.</w:t>
      </w:r>
      <w:r w:rsidR="00D925F2">
        <w:rPr>
          <w:rFonts w:ascii="Times New Roman" w:hAnsi="Times New Roman"/>
          <w:szCs w:val="24"/>
        </w:rPr>
        <w:t xml:space="preserve"> </w:t>
      </w:r>
      <w:r w:rsidR="0025112F">
        <w:rPr>
          <w:rFonts w:ascii="Times New Roman" w:hAnsi="Times New Roman"/>
          <w:szCs w:val="24"/>
        </w:rPr>
        <w:t xml:space="preserve">Bands defined as </w:t>
      </w:r>
      <w:proofErr w:type="gramStart"/>
      <w:r w:rsidR="00FB1F8D">
        <w:rPr>
          <w:rFonts w:ascii="Times New Roman" w:hAnsi="Times New Roman"/>
          <w:szCs w:val="24"/>
        </w:rPr>
        <w:t>C</w:t>
      </w:r>
      <w:r w:rsidR="0025112F">
        <w:rPr>
          <w:rFonts w:ascii="Times New Roman" w:hAnsi="Times New Roman"/>
          <w:szCs w:val="24"/>
        </w:rPr>
        <w:t>ategory</w:t>
      </w:r>
      <w:proofErr w:type="gramEnd"/>
      <w:r w:rsidR="0025112F">
        <w:rPr>
          <w:rFonts w:ascii="Times New Roman" w:hAnsi="Times New Roman"/>
          <w:szCs w:val="24"/>
        </w:rPr>
        <w:t xml:space="preserve"> 1 or 2 may remain at their current designation despite higher completion rates or lower sizes</w:t>
      </w:r>
      <w:r w:rsidR="00E112AF">
        <w:rPr>
          <w:rFonts w:ascii="Times New Roman" w:hAnsi="Times New Roman"/>
          <w:szCs w:val="24"/>
        </w:rPr>
        <w:t xml:space="preserve"> though </w:t>
      </w:r>
      <w:r w:rsidR="0025112F">
        <w:rPr>
          <w:rFonts w:ascii="Times New Roman" w:hAnsi="Times New Roman"/>
          <w:szCs w:val="24"/>
        </w:rPr>
        <w:t>an established pattern over at least two cycles may be necessary</w:t>
      </w:r>
      <w:r w:rsidR="00D925F2">
        <w:rPr>
          <w:rFonts w:ascii="Times New Roman" w:hAnsi="Times New Roman"/>
          <w:szCs w:val="24"/>
        </w:rPr>
        <w:t>,</w:t>
      </w:r>
      <w:r w:rsidR="0025112F">
        <w:rPr>
          <w:rFonts w:ascii="Times New Roman" w:hAnsi="Times New Roman"/>
          <w:szCs w:val="24"/>
        </w:rPr>
        <w:t xml:space="preserve"> prior to recategorization to minimize the effects of anomalous cycles.</w:t>
      </w:r>
    </w:p>
    <w:p w14:paraId="3EF25EC5" w14:textId="77777777" w:rsidR="00A80BED" w:rsidRPr="00C729FA" w:rsidRDefault="00A80BED" w:rsidP="00E0418B">
      <w:pPr>
        <w:pStyle w:val="ListParagraph"/>
        <w:ind w:left="2520"/>
        <w:rPr>
          <w:rFonts w:ascii="Times New Roman" w:hAnsi="Times New Roman"/>
          <w:szCs w:val="24"/>
        </w:rPr>
      </w:pPr>
    </w:p>
    <w:p w14:paraId="1941DD09" w14:textId="44B232B6" w:rsidR="00FB32A1" w:rsidRPr="00C729FA" w:rsidRDefault="00FB32A1" w:rsidP="00B61229">
      <w:pPr>
        <w:pStyle w:val="ListParagraph"/>
        <w:ind w:left="1800"/>
        <w:rPr>
          <w:rFonts w:ascii="Times New Roman" w:hAnsi="Times New Roman"/>
          <w:sz w:val="20"/>
        </w:rPr>
      </w:pPr>
    </w:p>
    <w:p w14:paraId="119D693E" w14:textId="29217342" w:rsidR="00C729FA" w:rsidRPr="00C729FA" w:rsidRDefault="00C729FA" w:rsidP="00C729FA">
      <w:pPr>
        <w:rPr>
          <w:rFonts w:ascii="Times New Roman" w:hAnsi="Times New Roman"/>
          <w:szCs w:val="24"/>
        </w:rPr>
      </w:pPr>
      <w:bookmarkStart w:id="5" w:name="_Hlk89954457"/>
      <w:r w:rsidRPr="00C729FA">
        <w:rPr>
          <w:rFonts w:ascii="Times New Roman" w:hAnsi="Times New Roman"/>
          <w:szCs w:val="24"/>
        </w:rPr>
        <w:t xml:space="preserve">In addition, a glossary of frequently used MEPS MPC acronyms is included as Appendix </w:t>
      </w:r>
      <w:r>
        <w:rPr>
          <w:rFonts w:ascii="Times New Roman" w:hAnsi="Times New Roman"/>
          <w:szCs w:val="24"/>
        </w:rPr>
        <w:t>A</w:t>
      </w:r>
      <w:r w:rsidRPr="00C729FA">
        <w:rPr>
          <w:rFonts w:ascii="Times New Roman" w:hAnsi="Times New Roman"/>
          <w:szCs w:val="24"/>
        </w:rPr>
        <w:t xml:space="preserve">. </w:t>
      </w:r>
    </w:p>
    <w:bookmarkEnd w:id="5"/>
    <w:p w14:paraId="0350531A" w14:textId="3B90BDE6" w:rsidR="00F85118" w:rsidRPr="00C729FA" w:rsidRDefault="00F85118" w:rsidP="00C729FA">
      <w:pPr>
        <w:rPr>
          <w:rFonts w:ascii="Verdana" w:hAnsi="Verdana"/>
          <w:sz w:val="20"/>
        </w:rPr>
      </w:pPr>
    </w:p>
    <w:p w14:paraId="3AD1F5E7" w14:textId="1DB337D8" w:rsidR="00F85118" w:rsidRDefault="00F85118" w:rsidP="00B61229">
      <w:pPr>
        <w:pStyle w:val="ListParagraph"/>
        <w:ind w:left="1800"/>
        <w:rPr>
          <w:rFonts w:ascii="Verdana" w:hAnsi="Verdana"/>
          <w:sz w:val="20"/>
        </w:rPr>
      </w:pPr>
    </w:p>
    <w:p w14:paraId="7F721256" w14:textId="5E76DAAA" w:rsidR="00F85118" w:rsidRDefault="00F85118" w:rsidP="00B61229">
      <w:pPr>
        <w:pStyle w:val="ListParagraph"/>
        <w:ind w:left="1800"/>
        <w:rPr>
          <w:rFonts w:ascii="Verdana" w:hAnsi="Verdana"/>
          <w:sz w:val="20"/>
        </w:rPr>
      </w:pPr>
    </w:p>
    <w:p w14:paraId="10AFA49F" w14:textId="1D4E7E8B" w:rsidR="00F85118" w:rsidRDefault="00F85118" w:rsidP="00B61229">
      <w:pPr>
        <w:pStyle w:val="ListParagraph"/>
        <w:ind w:left="1800"/>
        <w:rPr>
          <w:rFonts w:ascii="Verdana" w:hAnsi="Verdana"/>
          <w:sz w:val="20"/>
        </w:rPr>
      </w:pPr>
    </w:p>
    <w:p w14:paraId="6759614D" w14:textId="62FA1DDA" w:rsidR="00F85118" w:rsidRDefault="00F85118" w:rsidP="00B61229">
      <w:pPr>
        <w:pStyle w:val="ListParagraph"/>
        <w:ind w:left="1800"/>
        <w:rPr>
          <w:rFonts w:ascii="Verdana" w:hAnsi="Verdana"/>
          <w:sz w:val="20"/>
        </w:rPr>
      </w:pPr>
    </w:p>
    <w:p w14:paraId="3058130E" w14:textId="6D40875C" w:rsidR="00F85118" w:rsidRDefault="00F85118" w:rsidP="00B61229">
      <w:pPr>
        <w:pStyle w:val="ListParagraph"/>
        <w:ind w:left="1800"/>
        <w:rPr>
          <w:rFonts w:ascii="Verdana" w:hAnsi="Verdana"/>
          <w:sz w:val="20"/>
        </w:rPr>
      </w:pPr>
    </w:p>
    <w:p w14:paraId="37536489" w14:textId="77777777" w:rsidR="008A716D" w:rsidRPr="009816DB" w:rsidRDefault="008A716D" w:rsidP="0073513C">
      <w:pPr>
        <w:pStyle w:val="Heading1"/>
      </w:pPr>
      <w:bookmarkStart w:id="6" w:name="_Toc326235167"/>
      <w:bookmarkStart w:id="7" w:name="_Toc188880693"/>
      <w:r w:rsidRPr="009816DB">
        <w:lastRenderedPageBreak/>
        <w:t xml:space="preserve">Sample </w:t>
      </w:r>
      <w:r>
        <w:rPr>
          <w:lang w:val="en-US"/>
        </w:rPr>
        <w:t>Development and Preparation</w:t>
      </w:r>
      <w:bookmarkEnd w:id="6"/>
      <w:bookmarkEnd w:id="7"/>
    </w:p>
    <w:p w14:paraId="1544BFE0" w14:textId="41FB1B2E" w:rsidR="008A716D" w:rsidRPr="009816DB" w:rsidRDefault="008A716D" w:rsidP="0073513C">
      <w:pPr>
        <w:pStyle w:val="BodyText"/>
      </w:pPr>
      <w:r w:rsidRPr="009816DB">
        <w:t>The SBD sample consist</w:t>
      </w:r>
      <w:r>
        <w:t>s</w:t>
      </w:r>
      <w:r w:rsidRPr="009816DB">
        <w:t xml:space="preserve"> of physicians or other medical service providers, reported by hospitals or institutions</w:t>
      </w:r>
      <w:r>
        <w:t xml:space="preserve"> as providing</w:t>
      </w:r>
      <w:r w:rsidRPr="009816DB">
        <w:t xml:space="preserve"> services during a hospital-based or institution-based event. These events often result in charges from physicians</w:t>
      </w:r>
      <w:r>
        <w:t xml:space="preserve"> and other healthcare providers</w:t>
      </w:r>
      <w:r w:rsidRPr="009816DB">
        <w:t xml:space="preserve"> who may or may not have direct patient contact (e.g., pathologists or radiologists are often not seen by patients) and whose fees are not included in the hospital or institution charge. These charges are a key part of hospital or institution event costs, and this information can only be obtained from the MPC.</w:t>
      </w:r>
    </w:p>
    <w:p w14:paraId="0981C1A1" w14:textId="73292E66" w:rsidR="008A716D" w:rsidRPr="00953F94" w:rsidRDefault="008A716D" w:rsidP="00B820E5">
      <w:pPr>
        <w:pStyle w:val="BodyText"/>
        <w:rPr>
          <w:lang w:val="en-US"/>
        </w:rPr>
      </w:pPr>
      <w:r w:rsidRPr="009816DB">
        <w:t xml:space="preserve">The sample of SBDs is created during the </w:t>
      </w:r>
      <w:r w:rsidR="00B820E5">
        <w:t>MEPS MPC</w:t>
      </w:r>
      <w:r w:rsidRPr="009816DB">
        <w:t xml:space="preserve"> non-SBD data collection, through the processes of </w:t>
      </w:r>
      <w:r w:rsidRPr="0073513C">
        <w:t>c</w:t>
      </w:r>
      <w:r w:rsidRPr="009816DB">
        <w:t xml:space="preserve">ompleting event forms with </w:t>
      </w:r>
      <w:r w:rsidR="00B820E5">
        <w:rPr>
          <w:lang w:val="en-US"/>
        </w:rPr>
        <w:t>H</w:t>
      </w:r>
      <w:proofErr w:type="spellStart"/>
      <w:r w:rsidRPr="009816DB">
        <w:t>ospital</w:t>
      </w:r>
      <w:proofErr w:type="spellEnd"/>
      <w:r w:rsidRPr="009816DB">
        <w:t xml:space="preserve"> and </w:t>
      </w:r>
      <w:r w:rsidR="00B820E5">
        <w:rPr>
          <w:lang w:val="en-US"/>
        </w:rPr>
        <w:t>I</w:t>
      </w:r>
      <w:proofErr w:type="spellStart"/>
      <w:r w:rsidRPr="009816DB">
        <w:t>nstitution</w:t>
      </w:r>
      <w:proofErr w:type="spellEnd"/>
      <w:r w:rsidRPr="009816DB">
        <w:t xml:space="preserve"> providers, SBD coding, and subsequent </w:t>
      </w:r>
      <w:r w:rsidR="00D43BC2">
        <w:rPr>
          <w:lang w:val="en-US"/>
        </w:rPr>
        <w:t>de</w:t>
      </w:r>
      <w:r w:rsidR="00D43BC2" w:rsidRPr="009816DB">
        <w:t xml:space="preserve">duplication </w:t>
      </w:r>
      <w:r w:rsidRPr="009816DB">
        <w:t>and preparation of the SBD sample file.</w:t>
      </w:r>
      <w:r w:rsidR="0073513C">
        <w:rPr>
          <w:lang w:val="en-US"/>
        </w:rPr>
        <w:t xml:space="preserve"> </w:t>
      </w:r>
      <w:r w:rsidRPr="009816DB">
        <w:t xml:space="preserve">Below </w:t>
      </w:r>
      <w:r w:rsidR="00F327A5">
        <w:rPr>
          <w:lang w:val="en-US"/>
        </w:rPr>
        <w:t>are</w:t>
      </w:r>
      <w:r w:rsidRPr="009816DB">
        <w:t xml:space="preserve"> key points of the generation </w:t>
      </w:r>
      <w:r>
        <w:rPr>
          <w:lang w:val="en-US"/>
        </w:rPr>
        <w:t xml:space="preserve">and preparation </w:t>
      </w:r>
      <w:r w:rsidRPr="009816DB">
        <w:t>of the SBD sample</w:t>
      </w:r>
      <w:r>
        <w:rPr>
          <w:lang w:val="en-US"/>
        </w:rPr>
        <w:t>.</w:t>
      </w:r>
    </w:p>
    <w:p w14:paraId="51EDFB61" w14:textId="53A8AEBB" w:rsidR="008A716D" w:rsidRPr="003C2B28" w:rsidRDefault="0073513C" w:rsidP="003C2B28">
      <w:pPr>
        <w:pStyle w:val="Heading2"/>
      </w:pPr>
      <w:bookmarkStart w:id="8" w:name="_Toc188880694"/>
      <w:r w:rsidRPr="003C2B28">
        <w:t xml:space="preserve">Identification of Potential </w:t>
      </w:r>
      <w:r w:rsidR="008A716D" w:rsidRPr="003C2B28">
        <w:t>SBD</w:t>
      </w:r>
      <w:r w:rsidR="00376491">
        <w:rPr>
          <w:lang w:val="en-US"/>
        </w:rPr>
        <w:t>s</w:t>
      </w:r>
      <w:bookmarkEnd w:id="8"/>
    </w:p>
    <w:p w14:paraId="31D1936D" w14:textId="0FBBA062" w:rsidR="008A716D" w:rsidRDefault="008A716D" w:rsidP="00A43D29">
      <w:pPr>
        <w:pStyle w:val="BodyText"/>
        <w:rPr>
          <w:lang w:val="en-US"/>
        </w:rPr>
      </w:pPr>
      <w:r w:rsidRPr="009816DB">
        <w:t xml:space="preserve">As noted above, the </w:t>
      </w:r>
      <w:r w:rsidR="00CD1C9A">
        <w:rPr>
          <w:lang w:val="en-US"/>
        </w:rPr>
        <w:t>MEPS MPC</w:t>
      </w:r>
      <w:r w:rsidR="00CD1C9A" w:rsidRPr="009816DB">
        <w:t xml:space="preserve"> </w:t>
      </w:r>
      <w:r w:rsidRPr="009816DB">
        <w:t>data collection specialists (DCSs) and abstractors generate the sample of SBDs when collecting data from hospitals or institutions during non-SBD data collection for</w:t>
      </w:r>
      <w:r w:rsidR="00C052BF">
        <w:rPr>
          <w:lang w:val="en-US"/>
        </w:rPr>
        <w:t xml:space="preserve"> the</w:t>
      </w:r>
      <w:r w:rsidR="00CD1C9A">
        <w:rPr>
          <w:lang w:val="en-US"/>
        </w:rPr>
        <w:t xml:space="preserve"> </w:t>
      </w:r>
      <w:r w:rsidR="00B820E5">
        <w:t>MEPS MPC</w:t>
      </w:r>
      <w:r w:rsidRPr="009816DB">
        <w:t xml:space="preserve">. </w:t>
      </w:r>
    </w:p>
    <w:p w14:paraId="5011989C" w14:textId="56204B53" w:rsidR="008A716D" w:rsidRDefault="008A716D" w:rsidP="0073513C">
      <w:pPr>
        <w:pStyle w:val="BodyText"/>
        <w:rPr>
          <w:color w:val="000000"/>
          <w:lang w:val="en-US"/>
        </w:rPr>
      </w:pPr>
      <w:r w:rsidRPr="001D2B89">
        <w:t xml:space="preserve">First, the DCS will </w:t>
      </w:r>
      <w:r>
        <w:rPr>
          <w:lang w:val="en-US"/>
        </w:rPr>
        <w:t xml:space="preserve">concurrently </w:t>
      </w:r>
      <w:r>
        <w:t xml:space="preserve">identify contacts for </w:t>
      </w:r>
      <w:r w:rsidRPr="001D2B89">
        <w:t>medical records</w:t>
      </w:r>
      <w:r w:rsidR="00900E1B">
        <w:rPr>
          <w:lang w:val="en-US"/>
        </w:rPr>
        <w:t xml:space="preserve"> (MR)</w:t>
      </w:r>
      <w:r>
        <w:t xml:space="preserve">, </w:t>
      </w:r>
      <w:r w:rsidRPr="001D2B89">
        <w:t>patient account</w:t>
      </w:r>
      <w:r>
        <w:t>s</w:t>
      </w:r>
      <w:r w:rsidR="00900E1B">
        <w:rPr>
          <w:lang w:val="en-US"/>
        </w:rPr>
        <w:t xml:space="preserve"> (PA)</w:t>
      </w:r>
      <w:r w:rsidRPr="001D2B89">
        <w:t xml:space="preserve">, </w:t>
      </w:r>
      <w:r>
        <w:t>and administrative offices</w:t>
      </w:r>
      <w:r>
        <w:rPr>
          <w:lang w:val="en-US"/>
        </w:rPr>
        <w:t xml:space="preserve"> and record this information in the contact guide</w:t>
      </w:r>
      <w:r w:rsidRPr="009816DB">
        <w:rPr>
          <w:color w:val="000000"/>
        </w:rPr>
        <w:t xml:space="preserve">. </w:t>
      </w:r>
      <w:r>
        <w:rPr>
          <w:color w:val="000000"/>
          <w:lang w:val="en-US"/>
        </w:rPr>
        <w:t xml:space="preserve">As contacts are established, </w:t>
      </w:r>
      <w:r w:rsidR="00F327A5">
        <w:rPr>
          <w:color w:val="000000"/>
          <w:lang w:val="en-US"/>
        </w:rPr>
        <w:t>the DCS</w:t>
      </w:r>
      <w:r w:rsidRPr="009816DB">
        <w:rPr>
          <w:color w:val="000000"/>
        </w:rPr>
        <w:t xml:space="preserve"> will then send authorization forms </w:t>
      </w:r>
      <w:r w:rsidR="00D14866">
        <w:rPr>
          <w:color w:val="000000"/>
          <w:lang w:val="en-US"/>
        </w:rPr>
        <w:t>(AFs)</w:t>
      </w:r>
      <w:r w:rsidR="007702B4">
        <w:rPr>
          <w:color w:val="000000"/>
          <w:lang w:val="en-US"/>
        </w:rPr>
        <w:t xml:space="preserve"> </w:t>
      </w:r>
      <w:r w:rsidRPr="009816DB">
        <w:rPr>
          <w:color w:val="000000"/>
        </w:rPr>
        <w:t xml:space="preserve">to the </w:t>
      </w:r>
      <w:r w:rsidR="00900E1B">
        <w:rPr>
          <w:color w:val="000000"/>
          <w:lang w:val="en-US"/>
        </w:rPr>
        <w:t>MR</w:t>
      </w:r>
      <w:r w:rsidRPr="009816DB">
        <w:rPr>
          <w:color w:val="000000"/>
        </w:rPr>
        <w:t xml:space="preserve"> department</w:t>
      </w:r>
      <w:r>
        <w:rPr>
          <w:color w:val="000000"/>
          <w:lang w:val="en-US"/>
        </w:rPr>
        <w:t xml:space="preserve"> and </w:t>
      </w:r>
      <w:r w:rsidR="00900E1B">
        <w:rPr>
          <w:color w:val="000000"/>
          <w:lang w:val="en-US"/>
        </w:rPr>
        <w:t>PA</w:t>
      </w:r>
      <w:r>
        <w:rPr>
          <w:color w:val="000000"/>
          <w:lang w:val="en-US"/>
        </w:rPr>
        <w:t xml:space="preserve"> department</w:t>
      </w:r>
      <w:r w:rsidRPr="009816DB">
        <w:rPr>
          <w:color w:val="000000"/>
        </w:rPr>
        <w:t xml:space="preserve">, </w:t>
      </w:r>
      <w:r>
        <w:rPr>
          <w:color w:val="000000"/>
          <w:lang w:val="en-US"/>
        </w:rPr>
        <w:t xml:space="preserve">confirm receipt of these </w:t>
      </w:r>
      <w:r w:rsidR="00D14866">
        <w:rPr>
          <w:color w:val="000000"/>
          <w:lang w:val="en-US"/>
        </w:rPr>
        <w:t>AFs</w:t>
      </w:r>
      <w:r>
        <w:rPr>
          <w:color w:val="000000"/>
          <w:lang w:val="en-US"/>
        </w:rPr>
        <w:t>, and request copies of the medical, billing, and payment records.</w:t>
      </w:r>
      <w:r w:rsidR="0073513C">
        <w:rPr>
          <w:color w:val="000000"/>
          <w:lang w:val="en-US"/>
        </w:rPr>
        <w:t xml:space="preserve"> </w:t>
      </w:r>
    </w:p>
    <w:p w14:paraId="4E18749C" w14:textId="1F647530" w:rsidR="008A716D" w:rsidRDefault="008A716D" w:rsidP="0073513C">
      <w:pPr>
        <w:pStyle w:val="BodyText"/>
      </w:pPr>
      <w:r>
        <w:t xml:space="preserve">Once records have been received, abstractors will record information from the records </w:t>
      </w:r>
      <w:proofErr w:type="spellStart"/>
      <w:r w:rsidR="003D79CE">
        <w:rPr>
          <w:lang w:val="en-US"/>
        </w:rPr>
        <w:t>i</w:t>
      </w:r>
      <w:r>
        <w:t>nto</w:t>
      </w:r>
      <w:proofErr w:type="spellEnd"/>
      <w:r>
        <w:t xml:space="preserve"> </w:t>
      </w:r>
      <w:r w:rsidR="00B41C85">
        <w:rPr>
          <w:lang w:val="en-US"/>
        </w:rPr>
        <w:t xml:space="preserve">electronic </w:t>
      </w:r>
      <w:r>
        <w:t>abstraction notes forms, recontact the points of contact about missing or ambiguous information, and</w:t>
      </w:r>
      <w:r w:rsidR="00B41C85">
        <w:rPr>
          <w:lang w:val="en-US"/>
        </w:rPr>
        <w:t xml:space="preserve"> then</w:t>
      </w:r>
      <w:r>
        <w:t xml:space="preserve"> the data from the abstraction notes form</w:t>
      </w:r>
      <w:r w:rsidR="00B41C85">
        <w:rPr>
          <w:lang w:val="en-US"/>
        </w:rPr>
        <w:t xml:space="preserve"> is programmatically transferred</w:t>
      </w:r>
      <w:r>
        <w:t xml:space="preserve"> into the event form.</w:t>
      </w:r>
      <w:r w:rsidR="0073513C">
        <w:t xml:space="preserve"> </w:t>
      </w:r>
    </w:p>
    <w:p w14:paraId="1B3E59A5" w14:textId="72B81C83" w:rsidR="008A716D" w:rsidRDefault="008A716D" w:rsidP="00B820E5">
      <w:pPr>
        <w:pStyle w:val="BodyText"/>
        <w:rPr>
          <w:lang w:val="en-US"/>
        </w:rPr>
      </w:pPr>
      <w:r>
        <w:t xml:space="preserve">In the </w:t>
      </w:r>
      <w:r w:rsidR="00900E1B">
        <w:rPr>
          <w:lang w:val="en-US"/>
        </w:rPr>
        <w:t>MR</w:t>
      </w:r>
      <w:r>
        <w:t xml:space="preserve"> section of the event form</w:t>
      </w:r>
      <w:r w:rsidR="0067433E">
        <w:rPr>
          <w:lang w:val="en-US"/>
        </w:rPr>
        <w:t>,</w:t>
      </w:r>
      <w:r>
        <w:t xml:space="preserve"> t</w:t>
      </w:r>
      <w:r w:rsidRPr="009816DB">
        <w:t xml:space="preserve">he DCS or </w:t>
      </w:r>
      <w:r w:rsidR="00624DF1">
        <w:rPr>
          <w:lang w:val="en-US"/>
        </w:rPr>
        <w:t>a</w:t>
      </w:r>
      <w:proofErr w:type="spellStart"/>
      <w:r w:rsidRPr="009816DB">
        <w:t>bstractor</w:t>
      </w:r>
      <w:proofErr w:type="spellEnd"/>
      <w:r w:rsidRPr="009816DB">
        <w:t xml:space="preserve"> will </w:t>
      </w:r>
      <w:r w:rsidR="008B6EAB">
        <w:rPr>
          <w:lang w:val="en-US"/>
        </w:rPr>
        <w:t>record</w:t>
      </w:r>
      <w:r w:rsidRPr="009816DB">
        <w:t xml:space="preserve"> four key pieces of information from the hospital or institution </w:t>
      </w:r>
      <w:r w:rsidR="00900E1B">
        <w:rPr>
          <w:lang w:val="en-US"/>
        </w:rPr>
        <w:t>MR</w:t>
      </w:r>
      <w:r w:rsidRPr="009816DB">
        <w:t xml:space="preserve">: </w:t>
      </w:r>
      <w:r w:rsidR="005D6681">
        <w:rPr>
          <w:lang w:val="en-US"/>
        </w:rPr>
        <w:t>D</w:t>
      </w:r>
      <w:r w:rsidRPr="009816DB">
        <w:t xml:space="preserve">ate(s) of </w:t>
      </w:r>
      <w:r w:rsidR="005D6681">
        <w:rPr>
          <w:lang w:val="en-US"/>
        </w:rPr>
        <w:t>S</w:t>
      </w:r>
      <w:proofErr w:type="spellStart"/>
      <w:r w:rsidRPr="009816DB">
        <w:t>ervice</w:t>
      </w:r>
      <w:proofErr w:type="spellEnd"/>
      <w:r>
        <w:rPr>
          <w:lang w:val="en-US"/>
        </w:rPr>
        <w:t>;</w:t>
      </w:r>
      <w:r w:rsidRPr="009816DB">
        <w:t xml:space="preserve"> </w:t>
      </w:r>
      <w:r w:rsidR="005D6681">
        <w:rPr>
          <w:lang w:val="en-US"/>
        </w:rPr>
        <w:t>E</w:t>
      </w:r>
      <w:r w:rsidRPr="009816DB">
        <w:t xml:space="preserve">vent </w:t>
      </w:r>
      <w:r w:rsidR="005D6681">
        <w:rPr>
          <w:lang w:val="en-US"/>
        </w:rPr>
        <w:t>T</w:t>
      </w:r>
      <w:proofErr w:type="spellStart"/>
      <w:r w:rsidRPr="009816DB">
        <w:t>ype</w:t>
      </w:r>
      <w:proofErr w:type="spellEnd"/>
      <w:r w:rsidRPr="009816DB">
        <w:t xml:space="preserve"> (ER, outpatient, inpatient)</w:t>
      </w:r>
      <w:r>
        <w:rPr>
          <w:lang w:val="en-US"/>
        </w:rPr>
        <w:t>;</w:t>
      </w:r>
      <w:r w:rsidRPr="009816DB">
        <w:t xml:space="preserve"> </w:t>
      </w:r>
      <w:r w:rsidR="005D6681">
        <w:rPr>
          <w:lang w:val="en-US"/>
        </w:rPr>
        <w:t>D</w:t>
      </w:r>
      <w:proofErr w:type="spellStart"/>
      <w:r w:rsidRPr="009816DB">
        <w:t>iagnoses</w:t>
      </w:r>
      <w:proofErr w:type="spellEnd"/>
      <w:r w:rsidRPr="009816DB">
        <w:t xml:space="preserve"> (the International Classification of Diseases (</w:t>
      </w:r>
      <w:r w:rsidR="00F85F35">
        <w:rPr>
          <w:lang w:val="en-US"/>
        </w:rPr>
        <w:t>ICD-10</w:t>
      </w:r>
      <w:r w:rsidRPr="009816DB">
        <w:t>) codes)</w:t>
      </w:r>
      <w:r>
        <w:rPr>
          <w:lang w:val="en-US"/>
        </w:rPr>
        <w:t>;</w:t>
      </w:r>
      <w:r w:rsidRPr="009816DB">
        <w:t xml:space="preserve"> and</w:t>
      </w:r>
      <w:r>
        <w:rPr>
          <w:lang w:val="en-US"/>
        </w:rPr>
        <w:t xml:space="preserve"> information about</w:t>
      </w:r>
      <w:r w:rsidRPr="009816DB">
        <w:t xml:space="preserve"> any health professionals who saw the patient during the hospital or institution event and who charged for services separately from the hospital’s or institution’s billing (SBDs). </w:t>
      </w:r>
      <w:r>
        <w:rPr>
          <w:lang w:val="en-US"/>
        </w:rPr>
        <w:t xml:space="preserve">This </w:t>
      </w:r>
      <w:r w:rsidR="00285B29">
        <w:rPr>
          <w:lang w:val="en-US"/>
        </w:rPr>
        <w:t xml:space="preserve">SBD </w:t>
      </w:r>
      <w:r>
        <w:rPr>
          <w:lang w:val="en-US"/>
        </w:rPr>
        <w:t xml:space="preserve">information can include </w:t>
      </w:r>
      <w:r w:rsidRPr="009816DB">
        <w:t>the</w:t>
      </w:r>
      <w:r>
        <w:rPr>
          <w:lang w:val="en-US"/>
        </w:rPr>
        <w:t xml:space="preserve"> provider’s</w:t>
      </w:r>
      <w:r w:rsidRPr="009816DB">
        <w:t xml:space="preserve"> name</w:t>
      </w:r>
      <w:r>
        <w:rPr>
          <w:lang w:val="en-US"/>
        </w:rPr>
        <w:t>,</w:t>
      </w:r>
      <w:r w:rsidRPr="009816DB">
        <w:t xml:space="preserve"> </w:t>
      </w:r>
      <w:r>
        <w:rPr>
          <w:lang w:val="en-US"/>
        </w:rPr>
        <w:t xml:space="preserve">the provider’s practice name, </w:t>
      </w:r>
      <w:r w:rsidRPr="009816DB">
        <w:t>special</w:t>
      </w:r>
      <w:r>
        <w:rPr>
          <w:lang w:val="en-US"/>
        </w:rPr>
        <w:t xml:space="preserve">ty, role, and </w:t>
      </w:r>
      <w:r w:rsidR="0019347D">
        <w:rPr>
          <w:lang w:val="en-US"/>
        </w:rPr>
        <w:t xml:space="preserve">National Provider </w:t>
      </w:r>
      <w:r w:rsidR="0019347D" w:rsidRPr="003C319E">
        <w:t>Identifier</w:t>
      </w:r>
      <w:r w:rsidR="0019347D">
        <w:rPr>
          <w:lang w:val="en-US"/>
        </w:rPr>
        <w:t xml:space="preserve"> (</w:t>
      </w:r>
      <w:r>
        <w:rPr>
          <w:lang w:val="en-US"/>
        </w:rPr>
        <w:t>NPI</w:t>
      </w:r>
      <w:r w:rsidR="0019347D">
        <w:rPr>
          <w:lang w:val="en-US"/>
        </w:rPr>
        <w:t>)</w:t>
      </w:r>
      <w:r>
        <w:rPr>
          <w:lang w:val="en-US"/>
        </w:rPr>
        <w:t>, depending on the level of detail present in the records.</w:t>
      </w:r>
      <w:r w:rsidR="0073513C">
        <w:rPr>
          <w:lang w:val="en-US"/>
        </w:rPr>
        <w:t xml:space="preserve"> </w:t>
      </w:r>
      <w:r>
        <w:rPr>
          <w:lang w:val="en-US"/>
        </w:rPr>
        <w:t xml:space="preserve">In </w:t>
      </w:r>
      <w:proofErr w:type="spellStart"/>
      <w:r>
        <w:rPr>
          <w:lang w:val="en-US"/>
        </w:rPr>
        <w:t>t</w:t>
      </w:r>
      <w:r w:rsidRPr="009816DB">
        <w:t>he</w:t>
      </w:r>
      <w:proofErr w:type="spellEnd"/>
      <w:r w:rsidRPr="009816DB">
        <w:t xml:space="preserve"> </w:t>
      </w:r>
      <w:r w:rsidR="00900E1B">
        <w:rPr>
          <w:lang w:val="en-US"/>
        </w:rPr>
        <w:t>PA</w:t>
      </w:r>
      <w:r w:rsidRPr="009816DB">
        <w:t xml:space="preserve"> section of the </w:t>
      </w:r>
      <w:r>
        <w:t>event form</w:t>
      </w:r>
      <w:r>
        <w:rPr>
          <w:lang w:val="en-US"/>
        </w:rPr>
        <w:t>, the DCS</w:t>
      </w:r>
      <w:r w:rsidRPr="009816DB">
        <w:t xml:space="preserve"> will </w:t>
      </w:r>
      <w:r>
        <w:rPr>
          <w:lang w:val="en-US"/>
        </w:rPr>
        <w:t>record</w:t>
      </w:r>
      <w:r w:rsidRPr="009816DB">
        <w:t xml:space="preserve"> the services provided, charges, and sources and amounts of payment as well as the reason for any discrepancy between charge and payment data for </w:t>
      </w:r>
      <w:r w:rsidRPr="00C20489">
        <w:t>each event identified.</w:t>
      </w:r>
      <w:r w:rsidR="00D4187E" w:rsidRPr="00C20489">
        <w:rPr>
          <w:lang w:val="en-US"/>
        </w:rPr>
        <w:t xml:space="preserve"> Note that </w:t>
      </w:r>
      <w:r w:rsidR="004C2C5D">
        <w:rPr>
          <w:lang w:val="en-US"/>
        </w:rPr>
        <w:t>a few</w:t>
      </w:r>
      <w:r w:rsidR="004C2C5D" w:rsidRPr="00C20489">
        <w:rPr>
          <w:lang w:val="en-US"/>
        </w:rPr>
        <w:t xml:space="preserve"> </w:t>
      </w:r>
      <w:r w:rsidR="00D4187E" w:rsidRPr="00C20489">
        <w:rPr>
          <w:lang w:val="en-US"/>
        </w:rPr>
        <w:t>hospitals are excluded from the SBD identification process</w:t>
      </w:r>
      <w:r w:rsidR="00F25E69" w:rsidRPr="00C20489">
        <w:rPr>
          <w:lang w:val="en-US"/>
        </w:rPr>
        <w:t>; appropriate steps will be provided to</w:t>
      </w:r>
      <w:r w:rsidR="007F6351" w:rsidRPr="00C20489">
        <w:rPr>
          <w:lang w:val="en-US"/>
        </w:rPr>
        <w:t xml:space="preserve"> the</w:t>
      </w:r>
      <w:r w:rsidR="00F25E69" w:rsidRPr="00C20489">
        <w:rPr>
          <w:lang w:val="en-US"/>
        </w:rPr>
        <w:t xml:space="preserve"> DCS on how </w:t>
      </w:r>
      <w:r w:rsidR="007F6351" w:rsidRPr="00C20489">
        <w:rPr>
          <w:lang w:val="en-US"/>
        </w:rPr>
        <w:t xml:space="preserve">to </w:t>
      </w:r>
      <w:r w:rsidR="00F25E69" w:rsidRPr="00C20489">
        <w:rPr>
          <w:lang w:val="en-US"/>
        </w:rPr>
        <w:t xml:space="preserve">handle </w:t>
      </w:r>
      <w:r w:rsidR="007F6351" w:rsidRPr="00C20489">
        <w:rPr>
          <w:lang w:val="en-US"/>
        </w:rPr>
        <w:t>this work</w:t>
      </w:r>
      <w:r w:rsidR="00F25E69" w:rsidRPr="00C20489">
        <w:rPr>
          <w:lang w:val="en-US"/>
        </w:rPr>
        <w:t>.</w:t>
      </w:r>
      <w:r w:rsidR="00D4187E">
        <w:rPr>
          <w:lang w:val="en-US"/>
        </w:rPr>
        <w:t xml:space="preserve"> </w:t>
      </w:r>
    </w:p>
    <w:p w14:paraId="4201C1AB" w14:textId="1C2ABDE9" w:rsidR="008A716D" w:rsidRDefault="008A716D" w:rsidP="001F3620">
      <w:pPr>
        <w:pStyle w:val="BodyText"/>
        <w:spacing w:before="240"/>
        <w:rPr>
          <w:lang w:val="en-US"/>
        </w:rPr>
      </w:pPr>
      <w:r>
        <w:t xml:space="preserve">Because it is critical that </w:t>
      </w:r>
      <w:r w:rsidR="00323B11">
        <w:rPr>
          <w:lang w:val="en-US"/>
        </w:rPr>
        <w:t xml:space="preserve">the </w:t>
      </w:r>
      <w:r>
        <w:t xml:space="preserve">MPC identify and contact all SBDs who provided care to the patient while in the hospital or institution but bill separately, </w:t>
      </w:r>
      <w:r w:rsidR="00827F07">
        <w:rPr>
          <w:lang w:val="en-US"/>
        </w:rPr>
        <w:t>the MPC team</w:t>
      </w:r>
      <w:r>
        <w:t xml:space="preserve"> designed the </w:t>
      </w:r>
      <w:r w:rsidR="000F2646" w:rsidRPr="009816DB">
        <w:t xml:space="preserve">Integrated Data Collection System </w:t>
      </w:r>
      <w:r w:rsidR="000F2646">
        <w:rPr>
          <w:lang w:val="en-US"/>
        </w:rPr>
        <w:t>(</w:t>
      </w:r>
      <w:r>
        <w:t>IDCS</w:t>
      </w:r>
      <w:r w:rsidR="000F2646">
        <w:rPr>
          <w:lang w:val="en-US"/>
        </w:rPr>
        <w:t>)</w:t>
      </w:r>
      <w:r>
        <w:t xml:space="preserve"> to facilitate complete and accurate collection of this information. There are diagnoses for which certain SBDs would be expected.</w:t>
      </w:r>
      <w:r w:rsidR="0073513C">
        <w:t xml:space="preserve"> </w:t>
      </w:r>
      <w:r>
        <w:t>If one of these diagnoses is recorded</w:t>
      </w:r>
      <w:r w:rsidR="00B820E5">
        <w:rPr>
          <w:lang w:val="en-US"/>
        </w:rPr>
        <w:t>,</w:t>
      </w:r>
      <w:r>
        <w:t xml:space="preserve"> the system will review the types of SBDs captured, and if an SBD of that type was not captured it will prompt staff to ask about those specific types of SBDs.</w:t>
      </w:r>
      <w:r w:rsidR="0073513C">
        <w:t xml:space="preserve"> </w:t>
      </w:r>
      <w:r>
        <w:t xml:space="preserve">In addition to designing the event form to prompt the DCS or abstractor to enter complete and valid information as described above, the system performs a cross-check using the Current Procedural Terminology (CPT)-4 codes obtained from the billing records. CPT-4 codes make up a coding system for procedures and services performed by physicians and other providers which is widely used for reporting medical procedures for insurance billing and statistical purposes. Each procedure or service is identified with a unique five-digit code published in the </w:t>
      </w:r>
      <w:r>
        <w:lastRenderedPageBreak/>
        <w:t xml:space="preserve">Physicians’ Current Procedural Terminology – Fourth Edition (CPT-4). The system cross-checks the CPT-4 codes and </w:t>
      </w:r>
      <w:r>
        <w:rPr>
          <w:rFonts w:ascii="TimesNewRomanPSMT" w:hAnsi="TimesNewRomanPSMT"/>
        </w:rPr>
        <w:t xml:space="preserve">an expected list of the type of SBDs associated with the procedures captured against the actual list of SBDs obtained. For example, a surgery procedure would cause the system to check for three SBDs: a surgeon, anesthesiologist and pathologist. If any of these types of SBDs were not recorded for the </w:t>
      </w:r>
      <w:r w:rsidR="00B820E5">
        <w:rPr>
          <w:rFonts w:ascii="TimesNewRomanPSMT" w:hAnsi="TimesNewRomanPSMT"/>
          <w:lang w:val="en-US"/>
        </w:rPr>
        <w:t>e</w:t>
      </w:r>
      <w:r>
        <w:rPr>
          <w:rFonts w:ascii="TimesNewRomanPSMT" w:hAnsi="TimesNewRomanPSMT"/>
        </w:rPr>
        <w:t xml:space="preserve">vent, a data retrieval code is activated to indicate that </w:t>
      </w:r>
      <w:r w:rsidR="00900E1B">
        <w:rPr>
          <w:rFonts w:ascii="TimesNewRomanPSMT" w:hAnsi="TimesNewRomanPSMT"/>
          <w:lang w:val="en-US"/>
        </w:rPr>
        <w:t>MR</w:t>
      </w:r>
      <w:r>
        <w:rPr>
          <w:rFonts w:ascii="TimesNewRomanPSMT" w:hAnsi="TimesNewRomanPSMT"/>
        </w:rPr>
        <w:t xml:space="preserve"> needs to be recontacted to </w:t>
      </w:r>
      <w:r>
        <w:rPr>
          <w:rFonts w:ascii="TimesNewRomanPSMT" w:hAnsi="TimesNewRomanPSMT"/>
          <w:lang w:val="en-US"/>
        </w:rPr>
        <w:t xml:space="preserve">determine if </w:t>
      </w:r>
      <w:r>
        <w:rPr>
          <w:rFonts w:ascii="TimesNewRomanPSMT" w:hAnsi="TimesNewRomanPSMT"/>
        </w:rPr>
        <w:t>SBDs</w:t>
      </w:r>
      <w:r w:rsidR="00F327A5">
        <w:rPr>
          <w:rFonts w:ascii="TimesNewRomanPSMT" w:hAnsi="TimesNewRomanPSMT"/>
          <w:lang w:val="en-US"/>
        </w:rPr>
        <w:t xml:space="preserve"> are missing</w:t>
      </w:r>
      <w:r>
        <w:rPr>
          <w:rFonts w:ascii="TimesNewRomanPSMT" w:hAnsi="TimesNewRomanPSMT"/>
          <w:lang w:val="en-US"/>
        </w:rPr>
        <w:t>, and collect this information, as appropriate</w:t>
      </w:r>
      <w:r>
        <w:rPr>
          <w:rFonts w:ascii="TimesNewRomanPSMT" w:hAnsi="TimesNewRomanPSMT"/>
        </w:rPr>
        <w:t>.</w:t>
      </w:r>
      <w:r w:rsidR="0073513C">
        <w:rPr>
          <w:rFonts w:ascii="TimesNewRomanPSMT" w:hAnsi="TimesNewRomanPSMT"/>
        </w:rPr>
        <w:t xml:space="preserve"> </w:t>
      </w:r>
      <w:r>
        <w:rPr>
          <w:rFonts w:ascii="TimesNewRomanPSMT" w:hAnsi="TimesNewRomanPSMT"/>
        </w:rPr>
        <w:t>This SBD triggering mechanism helps minimize missed SBD charges because the expected SBDs are identified as soon as the billing record data are entered.</w:t>
      </w:r>
      <w:r w:rsidR="0073513C">
        <w:rPr>
          <w:rFonts w:ascii="TimesNewRomanPSMT" w:hAnsi="TimesNewRomanPSMT"/>
        </w:rPr>
        <w:t xml:space="preserve"> </w:t>
      </w:r>
      <w:r w:rsidR="00F327A5">
        <w:rPr>
          <w:rFonts w:ascii="TimesNewRomanPSMT" w:hAnsi="TimesNewRomanPSMT"/>
          <w:lang w:val="en-US"/>
        </w:rPr>
        <w:t>This is</w:t>
      </w:r>
      <w:r>
        <w:rPr>
          <w:rFonts w:ascii="TimesNewRomanPSMT" w:hAnsi="TimesNewRomanPSMT"/>
        </w:rPr>
        <w:t xml:space="preserve"> cover</w:t>
      </w:r>
      <w:r w:rsidR="00F327A5">
        <w:rPr>
          <w:rFonts w:ascii="TimesNewRomanPSMT" w:hAnsi="TimesNewRomanPSMT"/>
          <w:lang w:val="en-US"/>
        </w:rPr>
        <w:t>ed</w:t>
      </w:r>
      <w:r>
        <w:rPr>
          <w:rFonts w:ascii="TimesNewRomanPSMT" w:hAnsi="TimesNewRomanPSMT"/>
        </w:rPr>
        <w:t xml:space="preserve"> in depth </w:t>
      </w:r>
      <w:r>
        <w:t xml:space="preserve">in the </w:t>
      </w:r>
      <w:r w:rsidR="00B820E5">
        <w:rPr>
          <w:lang w:val="en-US"/>
        </w:rPr>
        <w:t>H</w:t>
      </w:r>
      <w:proofErr w:type="spellStart"/>
      <w:r>
        <w:t>ospital</w:t>
      </w:r>
      <w:proofErr w:type="spellEnd"/>
      <w:r>
        <w:t xml:space="preserve"> and</w:t>
      </w:r>
      <w:r w:rsidR="00010EB9">
        <w:rPr>
          <w:lang w:val="en-US"/>
        </w:rPr>
        <w:t xml:space="preserve"> </w:t>
      </w:r>
      <w:r w:rsidR="001F3620">
        <w:rPr>
          <w:lang w:val="en-US"/>
        </w:rPr>
        <w:t>I</w:t>
      </w:r>
      <w:proofErr w:type="spellStart"/>
      <w:r>
        <w:t>nstitution</w:t>
      </w:r>
      <w:proofErr w:type="spellEnd"/>
      <w:r>
        <w:t xml:space="preserve"> provider </w:t>
      </w:r>
      <w:r w:rsidR="00F85F35">
        <w:rPr>
          <w:lang w:val="en-US"/>
        </w:rPr>
        <w:t xml:space="preserve">abstraction </w:t>
      </w:r>
      <w:r>
        <w:t>training for the non-SBD data collection.</w:t>
      </w:r>
    </w:p>
    <w:p w14:paraId="45D56954" w14:textId="2EC451E9" w:rsidR="00406F30" w:rsidRPr="00406F30" w:rsidRDefault="002852C9" w:rsidP="001F3620">
      <w:pPr>
        <w:pStyle w:val="BodyText"/>
        <w:spacing w:before="240"/>
        <w:rPr>
          <w:lang w:val="en-US"/>
        </w:rPr>
      </w:pPr>
      <w:bookmarkStart w:id="9" w:name="_Hlk535588780"/>
      <w:r>
        <w:rPr>
          <w:lang w:val="en-US"/>
        </w:rPr>
        <w:t xml:space="preserve">A random 10% of </w:t>
      </w:r>
      <w:r w:rsidR="00043F17">
        <w:rPr>
          <w:lang w:val="en-US"/>
        </w:rPr>
        <w:t>H</w:t>
      </w:r>
      <w:r>
        <w:rPr>
          <w:lang w:val="en-US"/>
        </w:rPr>
        <w:t xml:space="preserve">ospital and </w:t>
      </w:r>
      <w:r w:rsidR="00043F17">
        <w:rPr>
          <w:lang w:val="en-US"/>
        </w:rPr>
        <w:t>I</w:t>
      </w:r>
      <w:r>
        <w:rPr>
          <w:lang w:val="en-US"/>
        </w:rPr>
        <w:t>nstitution events and all high</w:t>
      </w:r>
      <w:r w:rsidR="00043F17">
        <w:rPr>
          <w:lang w:val="en-US"/>
        </w:rPr>
        <w:t>-</w:t>
      </w:r>
      <w:r>
        <w:rPr>
          <w:lang w:val="en-US"/>
        </w:rPr>
        <w:t xml:space="preserve">dollar events are selected for </w:t>
      </w:r>
      <w:proofErr w:type="spellStart"/>
      <w:r>
        <w:rPr>
          <w:lang w:val="en-US"/>
        </w:rPr>
        <w:t>reabstraction</w:t>
      </w:r>
      <w:proofErr w:type="spellEnd"/>
      <w:r w:rsidR="00B164A1">
        <w:rPr>
          <w:lang w:val="en-US"/>
        </w:rPr>
        <w:t>, as well as the first five completed events for each newly trained abstractor</w:t>
      </w:r>
      <w:r>
        <w:rPr>
          <w:lang w:val="en-US"/>
        </w:rPr>
        <w:t xml:space="preserve">. </w:t>
      </w:r>
      <w:r w:rsidR="009C4E5A">
        <w:rPr>
          <w:lang w:val="en-US"/>
        </w:rPr>
        <w:t xml:space="preserve">Since the 2017 cycle, </w:t>
      </w:r>
      <w:r w:rsidR="00B164A1">
        <w:rPr>
          <w:lang w:val="en-US"/>
        </w:rPr>
        <w:t xml:space="preserve">SBD errors </w:t>
      </w:r>
      <w:r w:rsidR="009C4E5A">
        <w:rPr>
          <w:lang w:val="en-US"/>
        </w:rPr>
        <w:t xml:space="preserve">have not been included in the overall error rate.  </w:t>
      </w:r>
    </w:p>
    <w:bookmarkEnd w:id="9"/>
    <w:p w14:paraId="586F95D6" w14:textId="62596073" w:rsidR="009B6E04" w:rsidRPr="009B6E04" w:rsidRDefault="009B6E04" w:rsidP="000C710C">
      <w:pPr>
        <w:pStyle w:val="BodyText"/>
        <w:spacing w:before="240"/>
        <w:rPr>
          <w:lang w:val="en-US"/>
        </w:rPr>
      </w:pPr>
      <w:r>
        <w:rPr>
          <w:lang w:val="en-US"/>
        </w:rPr>
        <w:t xml:space="preserve">As </w:t>
      </w:r>
      <w:r w:rsidR="005D6681">
        <w:rPr>
          <w:lang w:val="en-US"/>
        </w:rPr>
        <w:t>H</w:t>
      </w:r>
      <w:r>
        <w:rPr>
          <w:lang w:val="en-US"/>
        </w:rPr>
        <w:t xml:space="preserve">ospital events are collected, there is a possibility of collecting </w:t>
      </w:r>
      <w:r w:rsidR="001A3C09">
        <w:rPr>
          <w:lang w:val="en-US"/>
        </w:rPr>
        <w:t>duplicate events between patient-provider pairs for the same patient.</w:t>
      </w:r>
      <w:r w:rsidR="004918EA">
        <w:rPr>
          <w:lang w:val="en-US"/>
        </w:rPr>
        <w:t xml:space="preserve"> </w:t>
      </w:r>
      <w:r w:rsidR="001A3C09">
        <w:rPr>
          <w:lang w:val="en-US"/>
        </w:rPr>
        <w:t>If these events have SBDs, then it is possible for duplicate SBD nodes to be created if the SBD sample is built before the duplicated events have been deleted.</w:t>
      </w:r>
      <w:r w:rsidR="004918EA">
        <w:rPr>
          <w:lang w:val="en-US"/>
        </w:rPr>
        <w:t xml:space="preserve"> </w:t>
      </w:r>
      <w:r w:rsidR="00437521">
        <w:rPr>
          <w:lang w:val="en-US"/>
        </w:rPr>
        <w:t>Since the</w:t>
      </w:r>
      <w:r w:rsidR="00A46F4C">
        <w:rPr>
          <w:lang w:val="en-US"/>
        </w:rPr>
        <w:t xml:space="preserve"> 2012</w:t>
      </w:r>
      <w:r w:rsidR="00010EB9">
        <w:rPr>
          <w:lang w:val="en-US"/>
        </w:rPr>
        <w:t xml:space="preserve"> </w:t>
      </w:r>
      <w:r w:rsidR="00A46F4C">
        <w:rPr>
          <w:lang w:val="en-US"/>
        </w:rPr>
        <w:t xml:space="preserve">cycle, </w:t>
      </w:r>
      <w:r w:rsidR="001A3C09">
        <w:rPr>
          <w:lang w:val="en-US"/>
        </w:rPr>
        <w:t xml:space="preserve">duplicated </w:t>
      </w:r>
      <w:r w:rsidR="005D6681">
        <w:rPr>
          <w:lang w:val="en-US"/>
        </w:rPr>
        <w:t>H</w:t>
      </w:r>
      <w:r w:rsidR="001A3C09">
        <w:rPr>
          <w:lang w:val="en-US"/>
        </w:rPr>
        <w:t xml:space="preserve">ospital events </w:t>
      </w:r>
      <w:r w:rsidR="00437521">
        <w:rPr>
          <w:lang w:val="en-US"/>
        </w:rPr>
        <w:t xml:space="preserve">are identified and resolved </w:t>
      </w:r>
      <w:r w:rsidR="001A3C09">
        <w:rPr>
          <w:lang w:val="en-US"/>
        </w:rPr>
        <w:t xml:space="preserve">to </w:t>
      </w:r>
      <w:r w:rsidR="007B72AF">
        <w:rPr>
          <w:lang w:val="en-US"/>
        </w:rPr>
        <w:t>reduce the amount</w:t>
      </w:r>
      <w:r w:rsidR="0071589E">
        <w:rPr>
          <w:lang w:val="en-US"/>
        </w:rPr>
        <w:t xml:space="preserve"> </w:t>
      </w:r>
      <w:r w:rsidR="001A3C09">
        <w:rPr>
          <w:lang w:val="en-US"/>
        </w:rPr>
        <w:t>being built into the SBD sample.</w:t>
      </w:r>
    </w:p>
    <w:p w14:paraId="4BD40EFB" w14:textId="77777777" w:rsidR="008A716D" w:rsidRDefault="00E03295" w:rsidP="003C2B28">
      <w:pPr>
        <w:pStyle w:val="Heading2"/>
      </w:pPr>
      <w:bookmarkStart w:id="10" w:name="_Toc188880695"/>
      <w:r w:rsidRPr="00674CB4">
        <w:t>Collecting Contact Information</w:t>
      </w:r>
      <w:r>
        <w:t xml:space="preserve"> and Confirming Billing Status</w:t>
      </w:r>
      <w:bookmarkEnd w:id="10"/>
    </w:p>
    <w:p w14:paraId="6F4CCED7" w14:textId="7609B86B" w:rsidR="00390382" w:rsidRDefault="008A716D" w:rsidP="000C710C">
      <w:pPr>
        <w:pStyle w:val="BodyText"/>
        <w:rPr>
          <w:lang w:val="en-US"/>
        </w:rPr>
      </w:pPr>
      <w:r>
        <w:t>As abstractors identify potential SBDs in the medical and billing records, they are trained to record any contact information that is contained within these records</w:t>
      </w:r>
      <w:r w:rsidR="00643398">
        <w:rPr>
          <w:lang w:val="en-US"/>
        </w:rPr>
        <w:t xml:space="preserve"> in the data retrieval form.</w:t>
      </w:r>
      <w:r w:rsidR="0073513C">
        <w:t xml:space="preserve"> </w:t>
      </w:r>
      <w:r>
        <w:t>Next</w:t>
      </w:r>
      <w:r w:rsidR="00BB4ECF">
        <w:rPr>
          <w:lang w:val="en-US"/>
        </w:rPr>
        <w:t>,</w:t>
      </w:r>
      <w:r>
        <w:t xml:space="preserve"> </w:t>
      </w:r>
      <w:r w:rsidR="00B85D3B">
        <w:rPr>
          <w:lang w:val="en-US"/>
        </w:rPr>
        <w:t>staff</w:t>
      </w:r>
      <w:r w:rsidR="00B85D3B">
        <w:t xml:space="preserve"> </w:t>
      </w:r>
      <w:r>
        <w:t>will check the host hospital website to collect contact information that may not have been present in the records including NPI; business practice name; business practice address, city, state, and zip.</w:t>
      </w:r>
      <w:r w:rsidR="0073513C">
        <w:t xml:space="preserve"> </w:t>
      </w:r>
      <w:r w:rsidR="00B85D3B">
        <w:rPr>
          <w:lang w:val="en-US"/>
        </w:rPr>
        <w:t>Staff</w:t>
      </w:r>
      <w:r w:rsidR="00B85D3B">
        <w:t xml:space="preserve"> </w:t>
      </w:r>
      <w:r>
        <w:t>will record this information in the A</w:t>
      </w:r>
      <w:r w:rsidR="00B85D3B">
        <w:rPr>
          <w:lang w:val="en-US"/>
        </w:rPr>
        <w:t xml:space="preserve">dministrative </w:t>
      </w:r>
      <w:r>
        <w:t>O</w:t>
      </w:r>
      <w:r w:rsidR="00B85D3B">
        <w:rPr>
          <w:lang w:val="en-US"/>
        </w:rPr>
        <w:t>ffice (AO)</w:t>
      </w:r>
      <w:r>
        <w:t xml:space="preserve"> portion of the contact guide.</w:t>
      </w:r>
      <w:r w:rsidR="0073513C">
        <w:t xml:space="preserve"> </w:t>
      </w:r>
      <w:r w:rsidR="00B85D3B">
        <w:rPr>
          <w:lang w:val="en-US"/>
        </w:rPr>
        <w:t>Staff</w:t>
      </w:r>
      <w:r w:rsidR="00B85D3B">
        <w:t xml:space="preserve"> </w:t>
      </w:r>
      <w:r>
        <w:t xml:space="preserve">will then contact the hospital to clarify </w:t>
      </w:r>
      <w:proofErr w:type="gramStart"/>
      <w:r>
        <w:t>whether or not</w:t>
      </w:r>
      <w:proofErr w:type="gramEnd"/>
      <w:r>
        <w:t xml:space="preserve"> the provider bills separately.</w:t>
      </w:r>
      <w:r w:rsidR="0073513C">
        <w:t xml:space="preserve"> </w:t>
      </w:r>
      <w:r>
        <w:t xml:space="preserve">If the provider does bill separately or if their billing status cannot be determined, </w:t>
      </w:r>
      <w:r w:rsidR="00B85D3B">
        <w:rPr>
          <w:lang w:val="en-US"/>
        </w:rPr>
        <w:t>staff</w:t>
      </w:r>
      <w:r>
        <w:t xml:space="preserve"> will confirm or collect the business practice contact information, determine and record whether or not the provider uses a billing service, and record billing service contact information (billing service name, phone number, street, city, state, and zip), if applicable.</w:t>
      </w:r>
      <w:r w:rsidR="0073513C">
        <w:t xml:space="preserve"> </w:t>
      </w:r>
      <w:r>
        <w:t>If the provider does not bill separately</w:t>
      </w:r>
      <w:r w:rsidR="00615E36">
        <w:rPr>
          <w:lang w:val="en-US"/>
        </w:rPr>
        <w:t>,</w:t>
      </w:r>
      <w:r>
        <w:t xml:space="preserve"> no further action is taken; the provider will not be </w:t>
      </w:r>
      <w:r w:rsidR="0026579B">
        <w:rPr>
          <w:lang w:val="en-US"/>
        </w:rPr>
        <w:t>fielded</w:t>
      </w:r>
      <w:r w:rsidR="0026579B">
        <w:t xml:space="preserve"> </w:t>
      </w:r>
      <w:r>
        <w:t>in the SBD sample.</w:t>
      </w:r>
      <w:r w:rsidR="004918EA">
        <w:rPr>
          <w:lang w:val="en-US"/>
        </w:rPr>
        <w:t xml:space="preserve"> </w:t>
      </w:r>
    </w:p>
    <w:p w14:paraId="04B353E9" w14:textId="19D60847" w:rsidR="008067E7" w:rsidRDefault="00390382" w:rsidP="000C710C">
      <w:pPr>
        <w:pStyle w:val="BodyText"/>
        <w:rPr>
          <w:lang w:val="en-US"/>
        </w:rPr>
      </w:pPr>
      <w:r>
        <w:rPr>
          <w:lang w:val="en-US"/>
        </w:rPr>
        <w:t xml:space="preserve">As in </w:t>
      </w:r>
      <w:r w:rsidR="00043F17">
        <w:rPr>
          <w:lang w:val="en-US"/>
        </w:rPr>
        <w:t xml:space="preserve">the </w:t>
      </w:r>
      <w:r w:rsidR="00D85890">
        <w:rPr>
          <w:lang w:val="en-US"/>
        </w:rPr>
        <w:t>previous</w:t>
      </w:r>
      <w:r w:rsidR="005B3109">
        <w:rPr>
          <w:lang w:val="en-US"/>
        </w:rPr>
        <w:t xml:space="preserve"> </w:t>
      </w:r>
      <w:r w:rsidR="00043F17">
        <w:rPr>
          <w:lang w:val="en-US"/>
        </w:rPr>
        <w:t>cycle</w:t>
      </w:r>
      <w:r w:rsidR="005B3109">
        <w:rPr>
          <w:lang w:val="en-US"/>
        </w:rPr>
        <w:t>s</w:t>
      </w:r>
      <w:r>
        <w:rPr>
          <w:lang w:val="en-US"/>
        </w:rPr>
        <w:t xml:space="preserve">, </w:t>
      </w:r>
      <w:r w:rsidR="00F327A5">
        <w:rPr>
          <w:lang w:val="en-US"/>
        </w:rPr>
        <w:t>the production team</w:t>
      </w:r>
      <w:r>
        <w:rPr>
          <w:lang w:val="en-US"/>
        </w:rPr>
        <w:t xml:space="preserve"> ha</w:t>
      </w:r>
      <w:r w:rsidR="00F327A5">
        <w:rPr>
          <w:lang w:val="en-US"/>
        </w:rPr>
        <w:t>s</w:t>
      </w:r>
      <w:r>
        <w:rPr>
          <w:lang w:val="en-US"/>
        </w:rPr>
        <w:t xml:space="preserve"> established weekly production goals for the collection and finalization of billing status and contact information for SBDs. This ensures that </w:t>
      </w:r>
      <w:r w:rsidR="00F327A5">
        <w:rPr>
          <w:lang w:val="en-US"/>
        </w:rPr>
        <w:t>staff</w:t>
      </w:r>
      <w:r w:rsidR="00043F17">
        <w:rPr>
          <w:lang w:val="en-US"/>
        </w:rPr>
        <w:t xml:space="preserve"> </w:t>
      </w:r>
      <w:r>
        <w:rPr>
          <w:lang w:val="en-US"/>
        </w:rPr>
        <w:t xml:space="preserve">will keep up with the AO work throughout the field period, maximizing the proportion of the SBD sample that will be available to be selected and fielded in the first two months of the field period. </w:t>
      </w:r>
      <w:r w:rsidR="00827F07">
        <w:rPr>
          <w:lang w:val="en-US"/>
        </w:rPr>
        <w:t>The MPC team</w:t>
      </w:r>
      <w:r>
        <w:rPr>
          <w:lang w:val="en-US"/>
        </w:rPr>
        <w:t xml:space="preserve"> will monitor AO production against goals both at a project level and at the individual DCS level. </w:t>
      </w:r>
      <w:bookmarkStart w:id="11" w:name="_Hlk502675967"/>
      <w:r>
        <w:rPr>
          <w:lang w:val="en-US"/>
        </w:rPr>
        <w:t xml:space="preserve">In addition, due to the importance of getting clear feedback from the </w:t>
      </w:r>
      <w:r w:rsidR="007702B4">
        <w:rPr>
          <w:lang w:val="en-US"/>
        </w:rPr>
        <w:t xml:space="preserve">point of contact (POC) </w:t>
      </w:r>
      <w:r>
        <w:rPr>
          <w:lang w:val="en-US"/>
        </w:rPr>
        <w:t xml:space="preserve">on the separately billing status of each potential SBD, </w:t>
      </w:r>
      <w:r w:rsidR="00827F07">
        <w:rPr>
          <w:lang w:val="en-US"/>
        </w:rPr>
        <w:t>the MPC team</w:t>
      </w:r>
      <w:r>
        <w:rPr>
          <w:lang w:val="en-US"/>
        </w:rPr>
        <w:t xml:space="preserve"> will monitor the percentage of each DCS’ weekly abstraction work that they finalized as separately billing status unknown. </w:t>
      </w:r>
      <w:r w:rsidR="008067E7">
        <w:rPr>
          <w:lang w:val="en-US"/>
        </w:rPr>
        <w:t xml:space="preserve">DCS are expected to achieve a clear yes or no for at least 85% of their weekly AO work and will receive performance counseling and retraining if they fail to consistently achieve </w:t>
      </w:r>
      <w:r w:rsidR="00043F17">
        <w:rPr>
          <w:lang w:val="en-US"/>
        </w:rPr>
        <w:t xml:space="preserve">on </w:t>
      </w:r>
      <w:r w:rsidR="008067E7">
        <w:rPr>
          <w:lang w:val="en-US"/>
        </w:rPr>
        <w:t>this metric.</w:t>
      </w:r>
      <w:bookmarkEnd w:id="11"/>
    </w:p>
    <w:p w14:paraId="70A811E7" w14:textId="6545469C" w:rsidR="00390382" w:rsidRDefault="00390382" w:rsidP="000C710C">
      <w:pPr>
        <w:pStyle w:val="BodyText"/>
        <w:rPr>
          <w:lang w:val="en-US"/>
        </w:rPr>
      </w:pPr>
      <w:r>
        <w:rPr>
          <w:lang w:val="en-US"/>
        </w:rPr>
        <w:t xml:space="preserve">Both web searches and interactions with POCs are subject to silent monitoring. Monitors will evaluate staff on the following </w:t>
      </w:r>
      <w:r w:rsidRPr="00394643">
        <w:rPr>
          <w:lang w:val="en-US"/>
        </w:rPr>
        <w:t>dimensions:</w:t>
      </w:r>
    </w:p>
    <w:p w14:paraId="345D61E3" w14:textId="0DE5FFDC" w:rsidR="00394643" w:rsidRPr="00394643" w:rsidRDefault="00394643" w:rsidP="00394643">
      <w:pPr>
        <w:pStyle w:val="BodyText"/>
        <w:numPr>
          <w:ilvl w:val="0"/>
          <w:numId w:val="26"/>
        </w:numPr>
        <w:rPr>
          <w:lang w:val="en-US"/>
        </w:rPr>
      </w:pPr>
      <w:r>
        <w:rPr>
          <w:lang w:val="en-US"/>
        </w:rPr>
        <w:t xml:space="preserve">When researching providers, </w:t>
      </w:r>
      <w:r w:rsidRPr="00394643">
        <w:rPr>
          <w:lang w:val="en-US"/>
        </w:rPr>
        <w:t>use</w:t>
      </w:r>
      <w:r>
        <w:rPr>
          <w:lang w:val="en-US"/>
        </w:rPr>
        <w:t>d</w:t>
      </w:r>
      <w:r w:rsidRPr="00394643">
        <w:rPr>
          <w:lang w:val="en-US"/>
        </w:rPr>
        <w:t xml:space="preserve"> only </w:t>
      </w:r>
      <w:r>
        <w:rPr>
          <w:lang w:val="en-US"/>
        </w:rPr>
        <w:t>project-</w:t>
      </w:r>
      <w:r w:rsidRPr="00394643">
        <w:rPr>
          <w:lang w:val="en-US"/>
        </w:rPr>
        <w:t>approved websites</w:t>
      </w:r>
      <w:r w:rsidR="00EE689A">
        <w:rPr>
          <w:lang w:val="en-US"/>
        </w:rPr>
        <w:t>, including the host hospital’s website, the NPI Directory, and WebMD.</w:t>
      </w:r>
      <w:r w:rsidRPr="00394643">
        <w:rPr>
          <w:lang w:val="en-US"/>
        </w:rPr>
        <w:t xml:space="preserve"> </w:t>
      </w:r>
    </w:p>
    <w:p w14:paraId="7D81086B" w14:textId="324F075B" w:rsidR="00394643" w:rsidRPr="00394643" w:rsidRDefault="00394643" w:rsidP="00394643">
      <w:pPr>
        <w:pStyle w:val="BodyText"/>
        <w:numPr>
          <w:ilvl w:val="0"/>
          <w:numId w:val="26"/>
        </w:numPr>
        <w:rPr>
          <w:lang w:val="en-US"/>
        </w:rPr>
      </w:pPr>
      <w:r w:rsidRPr="00394643">
        <w:rPr>
          <w:lang w:val="en-US"/>
        </w:rPr>
        <w:t>Organize</w:t>
      </w:r>
      <w:r>
        <w:rPr>
          <w:lang w:val="en-US"/>
        </w:rPr>
        <w:t>d</w:t>
      </w:r>
      <w:r w:rsidRPr="00394643">
        <w:rPr>
          <w:lang w:val="en-US"/>
        </w:rPr>
        <w:t xml:space="preserve"> physicians by specialty </w:t>
      </w:r>
      <w:proofErr w:type="gramStart"/>
      <w:r w:rsidRPr="00394643">
        <w:rPr>
          <w:lang w:val="en-US"/>
        </w:rPr>
        <w:t>in order to</w:t>
      </w:r>
      <w:proofErr w:type="gramEnd"/>
      <w:r w:rsidRPr="00394643">
        <w:rPr>
          <w:lang w:val="en-US"/>
        </w:rPr>
        <w:t xml:space="preserve"> work them most efficiently.</w:t>
      </w:r>
    </w:p>
    <w:p w14:paraId="5A2CF199" w14:textId="733A168D" w:rsidR="00394643" w:rsidRPr="00394643" w:rsidRDefault="00394643" w:rsidP="00394643">
      <w:pPr>
        <w:pStyle w:val="BodyText"/>
        <w:numPr>
          <w:ilvl w:val="0"/>
          <w:numId w:val="26"/>
        </w:numPr>
        <w:rPr>
          <w:lang w:val="en-US"/>
        </w:rPr>
      </w:pPr>
      <w:r>
        <w:rPr>
          <w:lang w:val="en-US"/>
        </w:rPr>
        <w:lastRenderedPageBreak/>
        <w:t>Confirmed</w:t>
      </w:r>
      <w:r w:rsidRPr="00394643">
        <w:rPr>
          <w:lang w:val="en-US"/>
        </w:rPr>
        <w:t xml:space="preserve"> findings with a live call to the appropriate POC.</w:t>
      </w:r>
    </w:p>
    <w:p w14:paraId="093D56D3" w14:textId="3BAC679B" w:rsidR="00394643" w:rsidRPr="00394643" w:rsidRDefault="00394643" w:rsidP="00394643">
      <w:pPr>
        <w:pStyle w:val="BodyText"/>
        <w:numPr>
          <w:ilvl w:val="0"/>
          <w:numId w:val="26"/>
        </w:numPr>
        <w:rPr>
          <w:lang w:val="en-US"/>
        </w:rPr>
      </w:pPr>
      <w:r w:rsidRPr="00394643">
        <w:rPr>
          <w:lang w:val="en-US"/>
        </w:rPr>
        <w:t>Use</w:t>
      </w:r>
      <w:r>
        <w:rPr>
          <w:lang w:val="en-US"/>
        </w:rPr>
        <w:t>d</w:t>
      </w:r>
      <w:r w:rsidRPr="00394643">
        <w:rPr>
          <w:lang w:val="en-US"/>
        </w:rPr>
        <w:t xml:space="preserve"> the exact </w:t>
      </w:r>
      <w:r w:rsidR="005D6681">
        <w:rPr>
          <w:lang w:val="en-US"/>
        </w:rPr>
        <w:t>L</w:t>
      </w:r>
      <w:r w:rsidRPr="00394643">
        <w:rPr>
          <w:lang w:val="en-US"/>
        </w:rPr>
        <w:t xml:space="preserve">ocation of </w:t>
      </w:r>
      <w:r w:rsidR="005D6681">
        <w:rPr>
          <w:lang w:val="en-US"/>
        </w:rPr>
        <w:t>S</w:t>
      </w:r>
      <w:r w:rsidRPr="00394643">
        <w:rPr>
          <w:lang w:val="en-US"/>
        </w:rPr>
        <w:t>ervice in probing - "Do you handle billing for Dr. Jones when he provides services at General Hospital?"</w:t>
      </w:r>
    </w:p>
    <w:p w14:paraId="113880C5" w14:textId="5A5C76BC" w:rsidR="00394643" w:rsidRPr="00394643" w:rsidRDefault="00394643" w:rsidP="00394643">
      <w:pPr>
        <w:pStyle w:val="BodyText"/>
        <w:numPr>
          <w:ilvl w:val="0"/>
          <w:numId w:val="26"/>
        </w:numPr>
        <w:rPr>
          <w:lang w:val="en-US"/>
        </w:rPr>
      </w:pPr>
      <w:r w:rsidRPr="00394643">
        <w:rPr>
          <w:lang w:val="en-US"/>
        </w:rPr>
        <w:t>Use</w:t>
      </w:r>
      <w:r>
        <w:rPr>
          <w:lang w:val="en-US"/>
        </w:rPr>
        <w:t>d</w:t>
      </w:r>
      <w:r w:rsidRPr="00394643">
        <w:rPr>
          <w:lang w:val="en-US"/>
        </w:rPr>
        <w:t xml:space="preserve"> the actual doctor's name, rather than specialty, when confirming that a POC handles their billing (</w:t>
      </w:r>
      <w:r w:rsidR="00CD1C9A">
        <w:rPr>
          <w:lang w:val="en-US"/>
        </w:rPr>
        <w:t xml:space="preserve">e.g., </w:t>
      </w:r>
      <w:r w:rsidRPr="00394643">
        <w:rPr>
          <w:lang w:val="en-US"/>
        </w:rPr>
        <w:t xml:space="preserve">"Do you handle radiology billing for Dr. Smith when he provides </w:t>
      </w:r>
      <w:r>
        <w:rPr>
          <w:lang w:val="en-US"/>
        </w:rPr>
        <w:t>services at General Hospital?")</w:t>
      </w:r>
      <w:r w:rsidR="00CD1C9A">
        <w:rPr>
          <w:lang w:val="en-US"/>
        </w:rPr>
        <w:t>.</w:t>
      </w:r>
    </w:p>
    <w:p w14:paraId="0D191CA1" w14:textId="2843E410" w:rsidR="008067E7" w:rsidRDefault="00394643" w:rsidP="000C710C">
      <w:pPr>
        <w:pStyle w:val="BodyText"/>
        <w:numPr>
          <w:ilvl w:val="0"/>
          <w:numId w:val="26"/>
        </w:numPr>
        <w:rPr>
          <w:lang w:val="en-US"/>
        </w:rPr>
      </w:pPr>
      <w:r w:rsidRPr="00394643">
        <w:rPr>
          <w:lang w:val="en-US"/>
        </w:rPr>
        <w:t>Confirm</w:t>
      </w:r>
      <w:r>
        <w:rPr>
          <w:lang w:val="en-US"/>
        </w:rPr>
        <w:t>ed</w:t>
      </w:r>
      <w:r w:rsidRPr="00394643">
        <w:rPr>
          <w:lang w:val="en-US"/>
        </w:rPr>
        <w:t xml:space="preserve"> that the POC handled the physician's billing for the entire correct year. If they did not handle it for the entire year, determine which month(s) they handle</w:t>
      </w:r>
      <w:r w:rsidR="00C6195B">
        <w:rPr>
          <w:lang w:val="en-US"/>
        </w:rPr>
        <w:t>d</w:t>
      </w:r>
      <w:r w:rsidRPr="00394643">
        <w:rPr>
          <w:lang w:val="en-US"/>
        </w:rPr>
        <w:t xml:space="preserve"> it.</w:t>
      </w:r>
    </w:p>
    <w:p w14:paraId="71A74E29" w14:textId="5A30A559" w:rsidR="00394643" w:rsidRPr="00394643" w:rsidRDefault="00394643" w:rsidP="003B0E65">
      <w:pPr>
        <w:pStyle w:val="ExhibitTitle"/>
        <w:rPr>
          <w:lang w:val="en-US"/>
        </w:rPr>
      </w:pPr>
    </w:p>
    <w:p w14:paraId="790E4624" w14:textId="4F910484" w:rsidR="0038759E" w:rsidRDefault="00175786" w:rsidP="004A1429">
      <w:r w:rsidRPr="00043F17">
        <w:rPr>
          <w:rFonts w:ascii="Times New Roman" w:hAnsi="Times New Roman"/>
        </w:rPr>
        <w:t xml:space="preserve">The </w:t>
      </w:r>
      <w:r w:rsidR="00B41C85">
        <w:rPr>
          <w:rFonts w:ascii="Times New Roman" w:hAnsi="Times New Roman"/>
        </w:rPr>
        <w:t xml:space="preserve">SBD contact </w:t>
      </w:r>
      <w:r w:rsidRPr="00043F17">
        <w:rPr>
          <w:rFonts w:ascii="Times New Roman" w:hAnsi="Times New Roman"/>
        </w:rPr>
        <w:t xml:space="preserve">information </w:t>
      </w:r>
      <w:r w:rsidR="00B41C85">
        <w:rPr>
          <w:rFonts w:ascii="Times New Roman" w:hAnsi="Times New Roman"/>
        </w:rPr>
        <w:t>collected</w:t>
      </w:r>
      <w:r w:rsidR="00B41C85" w:rsidRPr="00043F17">
        <w:rPr>
          <w:rFonts w:ascii="Times New Roman" w:hAnsi="Times New Roman"/>
        </w:rPr>
        <w:t xml:space="preserve"> </w:t>
      </w:r>
      <w:r w:rsidRPr="00043F17">
        <w:rPr>
          <w:rFonts w:ascii="Times New Roman" w:hAnsi="Times New Roman"/>
        </w:rPr>
        <w:t xml:space="preserve">in the contact guide will be reviewed by editors for completeness and quality before it </w:t>
      </w:r>
      <w:r w:rsidR="00043F17" w:rsidRPr="00043F17">
        <w:rPr>
          <w:rFonts w:ascii="Times New Roman" w:hAnsi="Times New Roman"/>
        </w:rPr>
        <w:t xml:space="preserve">is </w:t>
      </w:r>
      <w:r w:rsidR="00B41C85">
        <w:rPr>
          <w:rFonts w:ascii="Times New Roman" w:hAnsi="Times New Roman"/>
        </w:rPr>
        <w:t>finalized</w:t>
      </w:r>
      <w:r w:rsidRPr="00043F17">
        <w:rPr>
          <w:rFonts w:ascii="Times New Roman" w:hAnsi="Times New Roman"/>
        </w:rPr>
        <w:t xml:space="preserve">.  </w:t>
      </w:r>
      <w:r w:rsidR="004A1429">
        <w:rPr>
          <w:rFonts w:ascii="Times New Roman" w:hAnsi="Times New Roman"/>
          <w:szCs w:val="24"/>
        </w:rPr>
        <w:t xml:space="preserve">Please see </w:t>
      </w:r>
      <w:r w:rsidR="004A1429" w:rsidRPr="004A1429">
        <w:rPr>
          <w:rFonts w:ascii="Times New Roman" w:hAnsi="Times New Roman"/>
          <w:b/>
          <w:bCs/>
          <w:i/>
          <w:iCs/>
          <w:szCs w:val="24"/>
        </w:rPr>
        <w:t xml:space="preserve">Exhibit </w:t>
      </w:r>
      <w:r w:rsidR="00411516">
        <w:rPr>
          <w:rFonts w:ascii="Times New Roman" w:hAnsi="Times New Roman"/>
          <w:b/>
          <w:bCs/>
          <w:i/>
          <w:iCs/>
          <w:szCs w:val="24"/>
        </w:rPr>
        <w:t>1</w:t>
      </w:r>
      <w:r w:rsidR="004A1429">
        <w:rPr>
          <w:rFonts w:ascii="Times New Roman" w:hAnsi="Times New Roman"/>
          <w:szCs w:val="24"/>
        </w:rPr>
        <w:t xml:space="preserve"> for additional detail on the QC process.</w:t>
      </w:r>
      <w:r w:rsidR="0038759E">
        <w:t xml:space="preserve"> </w:t>
      </w:r>
    </w:p>
    <w:p w14:paraId="420C4C7A" w14:textId="77777777" w:rsidR="00A76019" w:rsidRDefault="00A76019" w:rsidP="004A1429"/>
    <w:p w14:paraId="7BAA22B2" w14:textId="6517A340" w:rsidR="0038759E" w:rsidRPr="00A91748" w:rsidRDefault="0038759E" w:rsidP="0038759E">
      <w:pPr>
        <w:pStyle w:val="BodyText"/>
        <w:rPr>
          <w:rFonts w:ascii="Arial" w:hAnsi="Arial" w:cs="Arial"/>
          <w:b/>
          <w:bCs/>
          <w:lang w:val="en-US"/>
        </w:rPr>
      </w:pPr>
      <w:bookmarkStart w:id="12" w:name="_Hlk502676029"/>
      <w:r w:rsidRPr="00A91748">
        <w:rPr>
          <w:rFonts w:ascii="Arial" w:hAnsi="Arial" w:cs="Arial"/>
          <w:b/>
          <w:bCs/>
          <w:lang w:val="en-US"/>
        </w:rPr>
        <w:t xml:space="preserve">Exhibit </w:t>
      </w:r>
      <w:r w:rsidR="00411516">
        <w:rPr>
          <w:rFonts w:ascii="Arial" w:hAnsi="Arial" w:cs="Arial"/>
          <w:b/>
          <w:bCs/>
          <w:lang w:val="en-US"/>
        </w:rPr>
        <w:t>1</w:t>
      </w:r>
      <w:r w:rsidRPr="00A91748">
        <w:rPr>
          <w:rFonts w:ascii="Arial" w:hAnsi="Arial" w:cs="Arial"/>
          <w:b/>
          <w:bCs/>
          <w:lang w:val="en-US"/>
        </w:rPr>
        <w:t xml:space="preserve"> QC Process</w:t>
      </w:r>
    </w:p>
    <w:p w14:paraId="6D1EEC5B" w14:textId="3D8A0E19" w:rsidR="0038759E" w:rsidRDefault="0038759E" w:rsidP="0038759E">
      <w:pPr>
        <w:pStyle w:val="BodyText"/>
        <w:numPr>
          <w:ilvl w:val="0"/>
          <w:numId w:val="29"/>
        </w:numPr>
        <w:rPr>
          <w:lang w:val="en-US"/>
        </w:rPr>
      </w:pPr>
      <w:r>
        <w:rPr>
          <w:lang w:val="en-US"/>
        </w:rPr>
        <w:t xml:space="preserve">Review SBD Comments to determine if anything further needs to be done with the information collected.  </w:t>
      </w:r>
    </w:p>
    <w:p w14:paraId="565E5B97" w14:textId="5348B815" w:rsidR="0038759E" w:rsidRDefault="0038759E" w:rsidP="0038759E">
      <w:pPr>
        <w:pStyle w:val="BodyText"/>
        <w:numPr>
          <w:ilvl w:val="0"/>
          <w:numId w:val="29"/>
        </w:numPr>
        <w:rPr>
          <w:lang w:val="en-US"/>
        </w:rPr>
      </w:pPr>
      <w:r>
        <w:rPr>
          <w:lang w:val="en-US"/>
        </w:rPr>
        <w:t>Presence of a Phone Number (SBD or Billing Service): If there is no phone number associated with the string, the editor will suggest obtaining the contact information associated with the NPI or Group name (if applicable). If no phone number can be identified</w:t>
      </w:r>
      <w:r w:rsidR="00D91B4C">
        <w:rPr>
          <w:lang w:val="en-US"/>
        </w:rPr>
        <w:t>,</w:t>
      </w:r>
      <w:r>
        <w:rPr>
          <w:lang w:val="en-US"/>
        </w:rPr>
        <w:t xml:space="preserve"> data collection staff are instructed to document the steps they took to obtain a phone number.</w:t>
      </w:r>
    </w:p>
    <w:p w14:paraId="562874E5" w14:textId="2A239A81" w:rsidR="004A1429" w:rsidRDefault="0038759E" w:rsidP="004A1429">
      <w:pPr>
        <w:pStyle w:val="BodyText"/>
        <w:numPr>
          <w:ilvl w:val="0"/>
          <w:numId w:val="29"/>
        </w:numPr>
        <w:rPr>
          <w:lang w:val="en-US"/>
        </w:rPr>
      </w:pPr>
      <w:r>
        <w:rPr>
          <w:lang w:val="en-US"/>
        </w:rPr>
        <w:t xml:space="preserve">SBD Name: SBD names are reviewed to ensure </w:t>
      </w:r>
      <w:r w:rsidR="00104201">
        <w:rPr>
          <w:lang w:val="en-US"/>
        </w:rPr>
        <w:t xml:space="preserve">that </w:t>
      </w:r>
      <w:r>
        <w:rPr>
          <w:lang w:val="en-US"/>
        </w:rPr>
        <w:t>if a group name was recorded in the individual SBD name variable</w:t>
      </w:r>
      <w:r w:rsidR="00104201">
        <w:rPr>
          <w:lang w:val="en-US"/>
        </w:rPr>
        <w:t>,</w:t>
      </w:r>
      <w:r>
        <w:rPr>
          <w:lang w:val="en-US"/>
        </w:rPr>
        <w:t xml:space="preserve"> it is moved to the SBD Group Name variable. If an SBD Name is “don’t know” and an NPI exists</w:t>
      </w:r>
      <w:r w:rsidR="00D91B4C">
        <w:rPr>
          <w:lang w:val="en-US"/>
        </w:rPr>
        <w:t>,</w:t>
      </w:r>
      <w:r>
        <w:rPr>
          <w:lang w:val="en-US"/>
        </w:rPr>
        <w:t xml:space="preserve"> data collection staff are instructed to identify the name associated with the NPI. Once the Group Name is captured in the Group name variable, then the SBD name is recorded as DK.</w:t>
      </w:r>
    </w:p>
    <w:p w14:paraId="77EFC0FC" w14:textId="32EAFF83" w:rsidR="004A1429" w:rsidRPr="004A1429" w:rsidRDefault="0038759E" w:rsidP="004A1429">
      <w:pPr>
        <w:pStyle w:val="BodyText"/>
        <w:numPr>
          <w:ilvl w:val="0"/>
          <w:numId w:val="29"/>
        </w:numPr>
        <w:rPr>
          <w:lang w:val="en-US"/>
        </w:rPr>
      </w:pPr>
      <w:r w:rsidRPr="004A1429">
        <w:rPr>
          <w:lang w:val="en-US"/>
        </w:rPr>
        <w:t xml:space="preserve">SBD Phone Number &amp; SBD Address: If the SBD phone number and address are the same as the </w:t>
      </w:r>
      <w:r w:rsidR="00D17813">
        <w:rPr>
          <w:lang w:val="en-US"/>
        </w:rPr>
        <w:t>h</w:t>
      </w:r>
      <w:r w:rsidRPr="004A1429">
        <w:rPr>
          <w:lang w:val="en-US"/>
        </w:rPr>
        <w:t xml:space="preserve">ost </w:t>
      </w:r>
      <w:r w:rsidR="00D17813">
        <w:rPr>
          <w:lang w:val="en-US"/>
        </w:rPr>
        <w:t>h</w:t>
      </w:r>
      <w:r w:rsidRPr="004A1429">
        <w:rPr>
          <w:lang w:val="en-US"/>
        </w:rPr>
        <w:t xml:space="preserve">ospital or </w:t>
      </w:r>
      <w:r w:rsidR="00D17813">
        <w:rPr>
          <w:lang w:val="en-US"/>
        </w:rPr>
        <w:t>i</w:t>
      </w:r>
      <w:r w:rsidRPr="004A1429">
        <w:rPr>
          <w:lang w:val="en-US"/>
        </w:rPr>
        <w:t xml:space="preserve">nstitution, and there is no billing service phone number, there must be a Group Name or department information recorded in the Group Name field. </w:t>
      </w:r>
    </w:p>
    <w:p w14:paraId="5DDD4824" w14:textId="77777777" w:rsidR="004A1429" w:rsidRDefault="0038759E" w:rsidP="004A1429">
      <w:pPr>
        <w:pStyle w:val="BodyText"/>
        <w:numPr>
          <w:ilvl w:val="0"/>
          <w:numId w:val="29"/>
        </w:numPr>
        <w:rPr>
          <w:lang w:val="en-US"/>
        </w:rPr>
      </w:pPr>
      <w:r w:rsidRPr="004A1429">
        <w:rPr>
          <w:lang w:val="en-US"/>
        </w:rPr>
        <w:t xml:space="preserve">SBD Phone Number &amp; Billing Service Phone Number cannot be the same. </w:t>
      </w:r>
    </w:p>
    <w:p w14:paraId="2803CF42" w14:textId="7E08E0A2" w:rsidR="004A1429" w:rsidRDefault="004A1429" w:rsidP="004A1429">
      <w:pPr>
        <w:pStyle w:val="BodyText"/>
        <w:numPr>
          <w:ilvl w:val="0"/>
          <w:numId w:val="29"/>
        </w:numPr>
        <w:rPr>
          <w:lang w:val="en-US"/>
        </w:rPr>
      </w:pPr>
      <w:r w:rsidRPr="004A1429">
        <w:rPr>
          <w:lang w:val="en-US"/>
        </w:rPr>
        <w:t>Billing Separately Status: The number of “Don’t Know” responses at the billing separately question is tracked by interviewer</w:t>
      </w:r>
      <w:r w:rsidR="00D91B4C">
        <w:rPr>
          <w:lang w:val="en-US"/>
        </w:rPr>
        <w:t xml:space="preserve">. </w:t>
      </w:r>
      <w:proofErr w:type="gramStart"/>
      <w:r w:rsidR="0038759E" w:rsidRPr="004A1429">
        <w:rPr>
          <w:lang w:val="en-US"/>
        </w:rPr>
        <w:t>Supervisors</w:t>
      </w:r>
      <w:proofErr w:type="gramEnd"/>
      <w:r w:rsidR="0038759E" w:rsidRPr="004A1429">
        <w:rPr>
          <w:lang w:val="en-US"/>
        </w:rPr>
        <w:t xml:space="preserve"> follow-up with data collection staff </w:t>
      </w:r>
      <w:r w:rsidR="00D91B4C">
        <w:rPr>
          <w:lang w:val="en-US"/>
        </w:rPr>
        <w:t>who</w:t>
      </w:r>
      <w:r w:rsidR="0038759E" w:rsidRPr="004A1429">
        <w:rPr>
          <w:lang w:val="en-US"/>
        </w:rPr>
        <w:t xml:space="preserve"> have a high rate (&gt;10%) of “Don’t Knows”. </w:t>
      </w:r>
    </w:p>
    <w:bookmarkEnd w:id="12"/>
    <w:p w14:paraId="3F7EE900" w14:textId="7C270EF7" w:rsidR="008A716D" w:rsidRDefault="0038759E" w:rsidP="00E04967">
      <w:pPr>
        <w:pStyle w:val="ExhibitTitle"/>
        <w:ind w:left="0" w:firstLine="0"/>
      </w:pPr>
      <w:r>
        <w:br w:type="page"/>
      </w:r>
    </w:p>
    <w:p w14:paraId="077A23F5" w14:textId="77777777" w:rsidR="008A716D" w:rsidRPr="00D91B4C" w:rsidRDefault="008A716D" w:rsidP="003C2B28">
      <w:pPr>
        <w:pStyle w:val="Heading2"/>
        <w:rPr>
          <w:lang w:val="en-US"/>
        </w:rPr>
      </w:pPr>
      <w:bookmarkStart w:id="13" w:name="_Toc354754884"/>
      <w:bookmarkStart w:id="14" w:name="_Toc188880696"/>
      <w:r w:rsidRPr="00D91B4C">
        <w:lastRenderedPageBreak/>
        <w:t xml:space="preserve">SBD </w:t>
      </w:r>
      <w:r w:rsidR="00E03295" w:rsidRPr="00D91B4C">
        <w:t>Coding</w:t>
      </w:r>
      <w:bookmarkEnd w:id="13"/>
      <w:bookmarkEnd w:id="14"/>
    </w:p>
    <w:p w14:paraId="5BB928E1" w14:textId="14D5FFB3" w:rsidR="0047373E" w:rsidRDefault="0047373E" w:rsidP="0047373E">
      <w:pPr>
        <w:pStyle w:val="BodyText"/>
        <w:spacing w:before="0"/>
      </w:pPr>
      <w:r>
        <w:rPr>
          <w:lang w:val="en-US"/>
        </w:rPr>
        <w:t>There are two types of coding</w:t>
      </w:r>
      <w:r w:rsidR="00312C5D">
        <w:rPr>
          <w:lang w:val="en-US"/>
        </w:rPr>
        <w:t xml:space="preserve"> involved in preparation of the SBD sample</w:t>
      </w:r>
      <w:r>
        <w:rPr>
          <w:lang w:val="en-US"/>
        </w:rPr>
        <w:t>, namely SBD NPI coding and SBD specialty coding. The following sections describe both in detail.</w:t>
      </w:r>
    </w:p>
    <w:p w14:paraId="23128447" w14:textId="2845F24B" w:rsidR="0047373E" w:rsidRPr="00E844C2" w:rsidRDefault="0047373E" w:rsidP="0047373E">
      <w:pPr>
        <w:pStyle w:val="Heading2"/>
        <w:numPr>
          <w:ilvl w:val="2"/>
          <w:numId w:val="32"/>
        </w:numPr>
        <w:rPr>
          <w:lang w:val="en-US"/>
        </w:rPr>
      </w:pPr>
      <w:bookmarkStart w:id="15" w:name="_Toc188880697"/>
      <w:r w:rsidRPr="00E844C2">
        <w:t xml:space="preserve">SBD </w:t>
      </w:r>
      <w:r w:rsidRPr="00E844C2">
        <w:rPr>
          <w:lang w:val="en-US"/>
        </w:rPr>
        <w:t xml:space="preserve">NPI </w:t>
      </w:r>
      <w:r w:rsidRPr="00E844C2">
        <w:t>Coding</w:t>
      </w:r>
      <w:bookmarkEnd w:id="15"/>
    </w:p>
    <w:p w14:paraId="73C22E70" w14:textId="0F016820" w:rsidR="008A716D" w:rsidRDefault="008A716D" w:rsidP="000C710C">
      <w:pPr>
        <w:pStyle w:val="BodyText"/>
        <w:spacing w:before="0"/>
        <w:rPr>
          <w:lang w:val="en-US"/>
        </w:rPr>
      </w:pPr>
      <w:r w:rsidRPr="00E844C2">
        <w:t xml:space="preserve">The next step in the SBD sample generation process is SBD coding, </w:t>
      </w:r>
      <w:r w:rsidRPr="00E844C2">
        <w:rPr>
          <w:lang w:val="en-US"/>
        </w:rPr>
        <w:t xml:space="preserve">a process through which provider </w:t>
      </w:r>
      <w:r w:rsidR="000C710C" w:rsidRPr="00E844C2">
        <w:rPr>
          <w:lang w:val="en-US"/>
        </w:rPr>
        <w:t>ID</w:t>
      </w:r>
      <w:r w:rsidRPr="00E844C2">
        <w:rPr>
          <w:lang w:val="en-US"/>
        </w:rPr>
        <w:t>s are assigned to each collected SBD.</w:t>
      </w:r>
      <w:r w:rsidR="0073513C" w:rsidRPr="00E844C2">
        <w:rPr>
          <w:lang w:val="en-US"/>
        </w:rPr>
        <w:t xml:space="preserve"> </w:t>
      </w:r>
      <w:bookmarkStart w:id="16" w:name="_Hlk65763410"/>
      <w:r w:rsidRPr="00E844C2">
        <w:rPr>
          <w:lang w:val="en-US"/>
        </w:rPr>
        <w:t xml:space="preserve">When possible, SBDs are coded to an appropriate group and/or individual-level </w:t>
      </w:r>
      <w:r w:rsidRPr="00E844C2">
        <w:t xml:space="preserve">NPI using </w:t>
      </w:r>
      <w:r w:rsidR="00B15E68" w:rsidRPr="00E844C2">
        <w:rPr>
          <w:lang w:val="en-US"/>
        </w:rPr>
        <w:t xml:space="preserve">NPIs created through </w:t>
      </w:r>
      <w:r w:rsidRPr="00E844C2">
        <w:t xml:space="preserve">the National </w:t>
      </w:r>
      <w:r w:rsidR="00B15E68" w:rsidRPr="00E844C2">
        <w:rPr>
          <w:lang w:val="en-US"/>
        </w:rPr>
        <w:t xml:space="preserve">Plan and </w:t>
      </w:r>
      <w:r w:rsidRPr="00E844C2">
        <w:t xml:space="preserve">Provider </w:t>
      </w:r>
      <w:r w:rsidR="00B15E68" w:rsidRPr="00E844C2">
        <w:rPr>
          <w:lang w:val="en-US"/>
        </w:rPr>
        <w:t xml:space="preserve">Enumeration </w:t>
      </w:r>
      <w:r w:rsidRPr="00E844C2">
        <w:t>System (NP</w:t>
      </w:r>
      <w:r w:rsidR="00B15E68" w:rsidRPr="00E844C2">
        <w:rPr>
          <w:lang w:val="en-US"/>
        </w:rPr>
        <w:t>PE</w:t>
      </w:r>
      <w:r w:rsidRPr="00E844C2">
        <w:t>S)</w:t>
      </w:r>
      <w:r w:rsidR="00E844C2">
        <w:rPr>
          <w:lang w:val="en-US"/>
        </w:rPr>
        <w:t>.</w:t>
      </w:r>
      <w:r w:rsidR="0073513C" w:rsidRPr="00E844C2">
        <w:t xml:space="preserve"> </w:t>
      </w:r>
      <w:r w:rsidRPr="00E844C2">
        <w:rPr>
          <w:lang w:val="en-US"/>
        </w:rPr>
        <w:t>The</w:t>
      </w:r>
      <w:r>
        <w:rPr>
          <w:lang w:val="en-US"/>
        </w:rPr>
        <w:t xml:space="preserve"> NPI </w:t>
      </w:r>
      <w:r>
        <w:t xml:space="preserve">is a unique </w:t>
      </w:r>
      <w:r w:rsidR="004918EA">
        <w:rPr>
          <w:lang w:val="en-US"/>
        </w:rPr>
        <w:t>10</w:t>
      </w:r>
      <w:r>
        <w:t>-digit identification number requir</w:t>
      </w:r>
      <w:r w:rsidRPr="00C71562">
        <w:t xml:space="preserve">ed by </w:t>
      </w:r>
      <w:hyperlink r:id="rId15" w:history="1">
        <w:r w:rsidRPr="00C71562">
          <w:rPr>
            <w:rStyle w:val="Hyperlink"/>
            <w:color w:val="auto"/>
            <w:u w:val="none"/>
          </w:rPr>
          <w:t>HIPAA</w:t>
        </w:r>
      </w:hyperlink>
      <w:r>
        <w:t xml:space="preserve"> for all healthcare providers in the United States.</w:t>
      </w:r>
      <w:r>
        <w:rPr>
          <w:lang w:val="en-US"/>
        </w:rPr>
        <w:t xml:space="preserve"> </w:t>
      </w:r>
      <w:bookmarkEnd w:id="16"/>
      <w:r>
        <w:t xml:space="preserve">Both individual </w:t>
      </w:r>
      <w:r w:rsidR="00C97A51">
        <w:t xml:space="preserve">providers </w:t>
      </w:r>
      <w:r>
        <w:t xml:space="preserve">(doctors, nurses, dentists) and </w:t>
      </w:r>
      <w:r w:rsidR="00C97A51">
        <w:t xml:space="preserve">healthcare </w:t>
      </w:r>
      <w:r>
        <w:t>organization</w:t>
      </w:r>
      <w:r w:rsidR="00C97A51">
        <w:rPr>
          <w:lang w:val="en-US"/>
        </w:rPr>
        <w:t>s</w:t>
      </w:r>
      <w:r>
        <w:t xml:space="preserve"> (hospitals, clinics, nursing homes) are required to obtain an NPI. This number’s </w:t>
      </w:r>
      <w:r>
        <w:rPr>
          <w:lang w:val="en-US"/>
        </w:rPr>
        <w:t>primary</w:t>
      </w:r>
      <w:r>
        <w:t xml:space="preserve"> purpose is to facilitate organization and create national standards within HIPAA transactions</w:t>
      </w:r>
      <w:r>
        <w:rPr>
          <w:lang w:val="en-US"/>
        </w:rPr>
        <w:t>.</w:t>
      </w:r>
      <w:r w:rsidR="0073513C">
        <w:rPr>
          <w:lang w:val="en-US"/>
        </w:rPr>
        <w:t xml:space="preserve"> </w:t>
      </w:r>
    </w:p>
    <w:p w14:paraId="7B7C86FB" w14:textId="5E9F259F" w:rsidR="008A716D" w:rsidRDefault="008A716D" w:rsidP="00740B95">
      <w:pPr>
        <w:pStyle w:val="BodyText"/>
        <w:spacing w:before="0"/>
        <w:rPr>
          <w:lang w:val="en-US"/>
        </w:rPr>
      </w:pPr>
      <w:r>
        <w:rPr>
          <w:lang w:val="en-US"/>
        </w:rPr>
        <w:t>In the MPC, there are t</w:t>
      </w:r>
      <w:r w:rsidR="00C97A51">
        <w:rPr>
          <w:lang w:val="en-US"/>
        </w:rPr>
        <w:t>hree</w:t>
      </w:r>
      <w:r>
        <w:rPr>
          <w:lang w:val="en-US"/>
        </w:rPr>
        <w:t xml:space="preserve"> main purposes in coding SBD to a valid NPI:</w:t>
      </w:r>
    </w:p>
    <w:p w14:paraId="26B419B0" w14:textId="78965D27" w:rsidR="00F86F54" w:rsidRPr="00C32431" w:rsidRDefault="00F86F54" w:rsidP="00F86F54">
      <w:pPr>
        <w:pStyle w:val="bulletsblank"/>
      </w:pPr>
      <w:r>
        <w:t>1.</w:t>
      </w:r>
      <w:r>
        <w:tab/>
        <w:t>To identify and obtain the most up-to-date contacting information</w:t>
      </w:r>
      <w:r w:rsidR="00283A01">
        <w:t>.</w:t>
      </w:r>
    </w:p>
    <w:p w14:paraId="664A4E7A" w14:textId="621A4A51" w:rsidR="00F86F54" w:rsidRDefault="00F86F54" w:rsidP="00F86F54">
      <w:pPr>
        <w:pStyle w:val="bulletsblank"/>
      </w:pPr>
      <w:r>
        <w:t>2.</w:t>
      </w:r>
      <w:r>
        <w:tab/>
        <w:t xml:space="preserve">To group providers as needed for the purposes of contacting and gathering </w:t>
      </w:r>
      <w:r w:rsidR="00900E1B">
        <w:t>MR</w:t>
      </w:r>
      <w:r>
        <w:t xml:space="preserve"> and billing information that has not already been obtained in some other way.</w:t>
      </w:r>
    </w:p>
    <w:p w14:paraId="1B24F5CA" w14:textId="4B9557B0" w:rsidR="008A716D" w:rsidRPr="0071589E" w:rsidRDefault="008A716D" w:rsidP="004A1429">
      <w:pPr>
        <w:pStyle w:val="bulletsblank"/>
        <w:rPr>
          <w:rFonts w:asciiTheme="majorBidi" w:hAnsiTheme="majorBidi" w:cstheme="majorBidi"/>
        </w:rPr>
      </w:pPr>
      <w:r w:rsidRPr="0071589E">
        <w:rPr>
          <w:rFonts w:asciiTheme="majorBidi" w:hAnsiTheme="majorBidi" w:cstheme="majorBidi"/>
        </w:rPr>
        <w:t>3.</w:t>
      </w:r>
      <w:r w:rsidRPr="0071589E">
        <w:rPr>
          <w:rFonts w:asciiTheme="majorBidi" w:hAnsiTheme="majorBidi" w:cstheme="majorBidi"/>
        </w:rPr>
        <w:tab/>
        <w:t xml:space="preserve">To assist in </w:t>
      </w:r>
      <w:r w:rsidR="00D43BC2">
        <w:rPr>
          <w:rFonts w:asciiTheme="majorBidi" w:hAnsiTheme="majorBidi" w:cstheme="majorBidi"/>
        </w:rPr>
        <w:t>de</w:t>
      </w:r>
      <w:r w:rsidR="00D43BC2" w:rsidRPr="0071589E">
        <w:rPr>
          <w:rFonts w:asciiTheme="majorBidi" w:hAnsiTheme="majorBidi" w:cstheme="majorBidi"/>
        </w:rPr>
        <w:t xml:space="preserve">duplication </w:t>
      </w:r>
      <w:r w:rsidRPr="0071589E">
        <w:rPr>
          <w:rFonts w:asciiTheme="majorBidi" w:hAnsiTheme="majorBidi" w:cstheme="majorBidi"/>
        </w:rPr>
        <w:t xml:space="preserve">of SBDs who are identified </w:t>
      </w:r>
      <w:r w:rsidR="004A1429">
        <w:rPr>
          <w:rFonts w:asciiTheme="majorBidi" w:hAnsiTheme="majorBidi" w:cstheme="majorBidi"/>
        </w:rPr>
        <w:t>by</w:t>
      </w:r>
      <w:r w:rsidR="004A1429" w:rsidRPr="0071589E">
        <w:rPr>
          <w:rFonts w:asciiTheme="majorBidi" w:hAnsiTheme="majorBidi" w:cstheme="majorBidi"/>
        </w:rPr>
        <w:t xml:space="preserve"> </w:t>
      </w:r>
      <w:r w:rsidRPr="0071589E">
        <w:rPr>
          <w:rFonts w:asciiTheme="majorBidi" w:hAnsiTheme="majorBidi" w:cstheme="majorBidi"/>
        </w:rPr>
        <w:t xml:space="preserve">multiple </w:t>
      </w:r>
      <w:r w:rsidR="00104201">
        <w:rPr>
          <w:rFonts w:asciiTheme="majorBidi" w:hAnsiTheme="majorBidi" w:cstheme="majorBidi"/>
        </w:rPr>
        <w:t>h</w:t>
      </w:r>
      <w:r w:rsidRPr="0071589E">
        <w:rPr>
          <w:rFonts w:asciiTheme="majorBidi" w:hAnsiTheme="majorBidi" w:cstheme="majorBidi"/>
        </w:rPr>
        <w:t>ospital</w:t>
      </w:r>
      <w:r w:rsidR="00104201">
        <w:rPr>
          <w:rFonts w:asciiTheme="majorBidi" w:hAnsiTheme="majorBidi" w:cstheme="majorBidi"/>
        </w:rPr>
        <w:t>s</w:t>
      </w:r>
      <w:r w:rsidRPr="0071589E">
        <w:rPr>
          <w:rFonts w:asciiTheme="majorBidi" w:hAnsiTheme="majorBidi" w:cstheme="majorBidi"/>
        </w:rPr>
        <w:t xml:space="preserve"> or </w:t>
      </w:r>
      <w:r w:rsidR="00104201">
        <w:rPr>
          <w:rFonts w:asciiTheme="majorBidi" w:hAnsiTheme="majorBidi" w:cstheme="majorBidi"/>
        </w:rPr>
        <w:t>i</w:t>
      </w:r>
      <w:r w:rsidRPr="0071589E">
        <w:rPr>
          <w:rFonts w:asciiTheme="majorBidi" w:hAnsiTheme="majorBidi" w:cstheme="majorBidi"/>
        </w:rPr>
        <w:t>nstitution</w:t>
      </w:r>
      <w:r w:rsidR="00104201">
        <w:rPr>
          <w:rFonts w:asciiTheme="majorBidi" w:hAnsiTheme="majorBidi" w:cstheme="majorBidi"/>
        </w:rPr>
        <w:t>s</w:t>
      </w:r>
      <w:r w:rsidRPr="0071589E">
        <w:rPr>
          <w:rFonts w:asciiTheme="majorBidi" w:hAnsiTheme="majorBidi" w:cstheme="majorBidi"/>
        </w:rPr>
        <w:t xml:space="preserve"> </w:t>
      </w:r>
      <w:r w:rsidR="004A1429">
        <w:rPr>
          <w:rFonts w:asciiTheme="majorBidi" w:hAnsiTheme="majorBidi" w:cstheme="majorBidi"/>
        </w:rPr>
        <w:t>that sometimes provide</w:t>
      </w:r>
      <w:r w:rsidRPr="0071589E">
        <w:rPr>
          <w:rFonts w:asciiTheme="majorBidi" w:hAnsiTheme="majorBidi" w:cstheme="majorBidi"/>
        </w:rPr>
        <w:t xml:space="preserve"> slightly</w:t>
      </w:r>
      <w:r w:rsidR="00312C5D">
        <w:rPr>
          <w:rFonts w:asciiTheme="majorBidi" w:hAnsiTheme="majorBidi" w:cstheme="majorBidi"/>
        </w:rPr>
        <w:t xml:space="preserve"> </w:t>
      </w:r>
      <w:r w:rsidRPr="0071589E">
        <w:rPr>
          <w:rFonts w:asciiTheme="majorBidi" w:hAnsiTheme="majorBidi" w:cstheme="majorBidi"/>
        </w:rPr>
        <w:t>different contact information for the SBD</w:t>
      </w:r>
      <w:r w:rsidR="00283A01">
        <w:rPr>
          <w:rFonts w:asciiTheme="majorBidi" w:hAnsiTheme="majorBidi" w:cstheme="majorBidi"/>
        </w:rPr>
        <w:t>.</w:t>
      </w:r>
    </w:p>
    <w:p w14:paraId="07EE17DB" w14:textId="2279C43A" w:rsidR="00E00419" w:rsidRPr="000F4DAF" w:rsidRDefault="00E00419" w:rsidP="00E00419">
      <w:pPr>
        <w:pStyle w:val="BodyText"/>
        <w:rPr>
          <w:rFonts w:asciiTheme="majorBidi" w:hAnsiTheme="majorBidi" w:cstheme="majorBidi"/>
          <w:szCs w:val="24"/>
          <w:lang w:val="en-US"/>
        </w:rPr>
      </w:pPr>
      <w:r>
        <w:rPr>
          <w:rFonts w:asciiTheme="majorBidi" w:hAnsiTheme="majorBidi" w:cstheme="majorBidi"/>
          <w:szCs w:val="24"/>
          <w:lang w:val="en-US"/>
        </w:rPr>
        <w:t xml:space="preserve"> </w:t>
      </w:r>
    </w:p>
    <w:p w14:paraId="510AA01B" w14:textId="5A491940" w:rsidR="00740B95" w:rsidRPr="0071589E" w:rsidRDefault="000B47ED" w:rsidP="00ED078E">
      <w:pPr>
        <w:pStyle w:val="BodyText"/>
        <w:rPr>
          <w:rFonts w:asciiTheme="majorBidi" w:hAnsiTheme="majorBidi" w:cstheme="majorBidi"/>
        </w:rPr>
      </w:pPr>
      <w:r w:rsidRPr="00A835EA">
        <w:rPr>
          <w:szCs w:val="24"/>
          <w:lang w:val="en-US"/>
        </w:rPr>
        <w:t xml:space="preserve">The </w:t>
      </w:r>
      <w:r w:rsidR="00A254C9">
        <w:rPr>
          <w:szCs w:val="24"/>
          <w:lang w:val="en-US"/>
        </w:rPr>
        <w:t>only</w:t>
      </w:r>
      <w:r w:rsidR="00A254C9" w:rsidRPr="00A835EA">
        <w:rPr>
          <w:szCs w:val="24"/>
          <w:lang w:val="en-US"/>
        </w:rPr>
        <w:t xml:space="preserve"> </w:t>
      </w:r>
      <w:r w:rsidRPr="00A835EA">
        <w:rPr>
          <w:szCs w:val="24"/>
          <w:lang w:val="en-US"/>
        </w:rPr>
        <w:t xml:space="preserve">step of the coding process is </w:t>
      </w:r>
      <w:proofErr w:type="spellStart"/>
      <w:r w:rsidRPr="00A835EA">
        <w:rPr>
          <w:szCs w:val="24"/>
          <w:lang w:val="en-US"/>
        </w:rPr>
        <w:t>autocoding</w:t>
      </w:r>
      <w:proofErr w:type="spellEnd"/>
      <w:r w:rsidRPr="00A835EA">
        <w:rPr>
          <w:szCs w:val="24"/>
          <w:lang w:val="en-US"/>
        </w:rPr>
        <w:t>. This is a</w:t>
      </w:r>
      <w:r w:rsidR="00740B95" w:rsidRPr="0024345A">
        <w:t xml:space="preserve"> batch </w:t>
      </w:r>
      <w:r w:rsidR="00976D21">
        <w:rPr>
          <w:lang w:val="en-US"/>
        </w:rPr>
        <w:t xml:space="preserve">computer </w:t>
      </w:r>
      <w:r w:rsidR="00740B95" w:rsidRPr="0024345A">
        <w:t xml:space="preserve">process </w:t>
      </w:r>
      <w:r w:rsidR="00740B95">
        <w:rPr>
          <w:lang w:val="en-US"/>
        </w:rPr>
        <w:t xml:space="preserve">used to identify SBD matches to the Provider Directory. This process looks at </w:t>
      </w:r>
      <w:r w:rsidR="00740B95" w:rsidRPr="0071589E">
        <w:rPr>
          <w:rFonts w:asciiTheme="majorBidi" w:hAnsiTheme="majorBidi" w:cstheme="majorBidi"/>
        </w:rPr>
        <w:t>information in SBD strings (NPI, name, phone number) compared to information in the NPI Registry to programmatically identify matches</w:t>
      </w:r>
      <w:r w:rsidR="00740B95">
        <w:rPr>
          <w:rFonts w:asciiTheme="majorBidi" w:hAnsiTheme="majorBidi" w:cstheme="majorBidi"/>
          <w:lang w:val="en-US"/>
        </w:rPr>
        <w:t>.</w:t>
      </w:r>
      <w:r w:rsidR="00740B95" w:rsidRPr="0024345A">
        <w:t xml:space="preserve"> If a </w:t>
      </w:r>
      <w:r w:rsidR="00D17813">
        <w:rPr>
          <w:lang w:val="en-US"/>
        </w:rPr>
        <w:t>p</w:t>
      </w:r>
      <w:proofErr w:type="spellStart"/>
      <w:r w:rsidR="00740B95" w:rsidRPr="0024345A">
        <w:t>rovider</w:t>
      </w:r>
      <w:proofErr w:type="spellEnd"/>
      <w:r w:rsidR="00740B95" w:rsidRPr="0024345A">
        <w:t xml:space="preserve"> can be matched to an existing SBD, then it is auto-coded to that existing NPI record and finalized as a match. </w:t>
      </w:r>
      <w:r w:rsidR="00740B95">
        <w:t>Similarly,</w:t>
      </w:r>
      <w:r w:rsidR="00740B95" w:rsidRPr="0024345A">
        <w:t xml:space="preserve"> </w:t>
      </w:r>
      <w:r w:rsidR="00740B95">
        <w:t>i</w:t>
      </w:r>
      <w:r w:rsidR="00740B95" w:rsidRPr="0024345A">
        <w:t xml:space="preserve">f a </w:t>
      </w:r>
      <w:r w:rsidR="00D17813">
        <w:rPr>
          <w:lang w:val="en-US"/>
        </w:rPr>
        <w:t>p</w:t>
      </w:r>
      <w:proofErr w:type="spellStart"/>
      <w:r w:rsidR="00740B95" w:rsidRPr="0024345A">
        <w:t>rovider</w:t>
      </w:r>
      <w:proofErr w:type="spellEnd"/>
      <w:r w:rsidR="00740B95" w:rsidRPr="0024345A">
        <w:t xml:space="preserve"> </w:t>
      </w:r>
      <w:r w:rsidR="00D17813">
        <w:rPr>
          <w:lang w:val="en-US"/>
        </w:rPr>
        <w:t>g</w:t>
      </w:r>
      <w:proofErr w:type="spellStart"/>
      <w:r w:rsidR="00740B95" w:rsidRPr="0024345A">
        <w:t>roup</w:t>
      </w:r>
      <w:proofErr w:type="spellEnd"/>
      <w:r w:rsidR="00740B95" w:rsidRPr="0024345A">
        <w:t>/</w:t>
      </w:r>
      <w:r w:rsidR="00D17813">
        <w:rPr>
          <w:lang w:val="en-US"/>
        </w:rPr>
        <w:t>f</w:t>
      </w:r>
      <w:proofErr w:type="spellStart"/>
      <w:r w:rsidR="00740B95" w:rsidRPr="0024345A">
        <w:t>acility</w:t>
      </w:r>
      <w:proofErr w:type="spellEnd"/>
      <w:r w:rsidR="00740B95" w:rsidRPr="0024345A">
        <w:t xml:space="preserve"> can be matched to an existing SBD </w:t>
      </w:r>
      <w:r w:rsidR="00D17813">
        <w:rPr>
          <w:lang w:val="en-US"/>
        </w:rPr>
        <w:t>p</w:t>
      </w:r>
      <w:proofErr w:type="spellStart"/>
      <w:r w:rsidR="00740B95" w:rsidRPr="0024345A">
        <w:t>rovider</w:t>
      </w:r>
      <w:proofErr w:type="spellEnd"/>
      <w:r w:rsidR="00740B95" w:rsidRPr="0024345A">
        <w:t xml:space="preserve"> </w:t>
      </w:r>
      <w:r w:rsidR="00D17813">
        <w:rPr>
          <w:lang w:val="en-US"/>
        </w:rPr>
        <w:t>g</w:t>
      </w:r>
      <w:proofErr w:type="spellStart"/>
      <w:r w:rsidR="00740B95" w:rsidRPr="0024345A">
        <w:t>roup</w:t>
      </w:r>
      <w:proofErr w:type="spellEnd"/>
      <w:r w:rsidR="00740B95" w:rsidRPr="0024345A">
        <w:t>/</w:t>
      </w:r>
      <w:r w:rsidR="00D17813">
        <w:rPr>
          <w:lang w:val="en-US"/>
        </w:rPr>
        <w:t>f</w:t>
      </w:r>
      <w:proofErr w:type="spellStart"/>
      <w:r w:rsidR="00740B95" w:rsidRPr="0024345A">
        <w:t>acility</w:t>
      </w:r>
      <w:proofErr w:type="spellEnd"/>
      <w:r w:rsidR="00740B95" w:rsidRPr="0024345A">
        <w:t xml:space="preserve">, then it is </w:t>
      </w:r>
      <w:proofErr w:type="spellStart"/>
      <w:r w:rsidR="00740B95" w:rsidRPr="0024345A">
        <w:t>autocoded</w:t>
      </w:r>
      <w:proofErr w:type="spellEnd"/>
      <w:r w:rsidR="00740B95" w:rsidRPr="0024345A">
        <w:t xml:space="preserve"> to that existing NPI record and finalized as a match. </w:t>
      </w:r>
      <w:r w:rsidR="00996532">
        <w:rPr>
          <w:lang w:val="en-US"/>
        </w:rPr>
        <w:t xml:space="preserve">If </w:t>
      </w:r>
      <w:r w:rsidR="00ED078E">
        <w:rPr>
          <w:lang w:val="en-US"/>
        </w:rPr>
        <w:t xml:space="preserve">after exhausting all possibilities </w:t>
      </w:r>
      <w:r w:rsidR="00996532">
        <w:rPr>
          <w:lang w:val="en-US"/>
        </w:rPr>
        <w:t xml:space="preserve">a </w:t>
      </w:r>
      <w:r w:rsidR="00D17813">
        <w:rPr>
          <w:lang w:val="en-US"/>
        </w:rPr>
        <w:t>p</w:t>
      </w:r>
      <w:r w:rsidR="00996532">
        <w:rPr>
          <w:lang w:val="en-US"/>
        </w:rPr>
        <w:t xml:space="preserve">rovider cannot be matched, it is added to the </w:t>
      </w:r>
      <w:r w:rsidR="00ED078E">
        <w:rPr>
          <w:lang w:val="en-US"/>
        </w:rPr>
        <w:t>Provider D</w:t>
      </w:r>
      <w:r w:rsidR="00996532">
        <w:rPr>
          <w:lang w:val="en-US"/>
        </w:rPr>
        <w:t xml:space="preserve">irectory </w:t>
      </w:r>
      <w:r w:rsidR="00ED078E">
        <w:rPr>
          <w:lang w:val="en-US"/>
        </w:rPr>
        <w:t>to potentially be matched against in later waves</w:t>
      </w:r>
      <w:r w:rsidR="00996532">
        <w:rPr>
          <w:lang w:val="en-US"/>
        </w:rPr>
        <w:t xml:space="preserve">. </w:t>
      </w:r>
      <w:r w:rsidR="00740B95" w:rsidRPr="0024345A">
        <w:t xml:space="preserve"> </w:t>
      </w:r>
    </w:p>
    <w:p w14:paraId="063B262B" w14:textId="4CF4473D" w:rsidR="000F4DAF" w:rsidRPr="00A835EA" w:rsidRDefault="000F4DAF" w:rsidP="000F4DAF">
      <w:pPr>
        <w:pStyle w:val="BodyText"/>
        <w:spacing w:after="0"/>
      </w:pPr>
    </w:p>
    <w:p w14:paraId="1ADD15DB" w14:textId="4E068ED6" w:rsidR="0047373E" w:rsidRDefault="0047373E" w:rsidP="0047373E">
      <w:pPr>
        <w:pStyle w:val="Heading2"/>
        <w:numPr>
          <w:ilvl w:val="2"/>
          <w:numId w:val="32"/>
        </w:numPr>
        <w:rPr>
          <w:lang w:val="en-US"/>
        </w:rPr>
      </w:pPr>
      <w:bookmarkStart w:id="17" w:name="_Toc188880698"/>
      <w:r w:rsidRPr="00674CB4">
        <w:t xml:space="preserve">SBD </w:t>
      </w:r>
      <w:r>
        <w:rPr>
          <w:lang w:val="en-US"/>
        </w:rPr>
        <w:t>Specialty Coding</w:t>
      </w:r>
      <w:bookmarkEnd w:id="17"/>
    </w:p>
    <w:p w14:paraId="53F2F18D" w14:textId="7B1EA335" w:rsidR="00894379" w:rsidRDefault="003D3330" w:rsidP="00894379">
      <w:pPr>
        <w:pStyle w:val="BodyText"/>
      </w:pPr>
      <w:r>
        <w:rPr>
          <w:lang w:val="en-US"/>
        </w:rPr>
        <w:t>The SBD specialty variable has three uses. It is used in imputation of SBD data, it is used to establish</w:t>
      </w:r>
      <w:r w:rsidR="00312C5D">
        <w:rPr>
          <w:lang w:val="en-US"/>
        </w:rPr>
        <w:t xml:space="preserve"> the rela</w:t>
      </w:r>
      <w:r>
        <w:rPr>
          <w:lang w:val="en-US"/>
        </w:rPr>
        <w:t>tive priority</w:t>
      </w:r>
      <w:r w:rsidR="00312C5D">
        <w:rPr>
          <w:lang w:val="en-US"/>
        </w:rPr>
        <w:t xml:space="preserve"> the node</w:t>
      </w:r>
      <w:r>
        <w:rPr>
          <w:lang w:val="en-US"/>
        </w:rPr>
        <w:t xml:space="preserve"> will be given during the SBD field period, and it is used by SBD DCS</w:t>
      </w:r>
      <w:r w:rsidR="001609B1">
        <w:rPr>
          <w:lang w:val="en-US"/>
        </w:rPr>
        <w:t>s</w:t>
      </w:r>
      <w:r>
        <w:rPr>
          <w:lang w:val="en-US"/>
        </w:rPr>
        <w:t xml:space="preserve"> in communicating with the POC, “Do you have charges for a radiologist for patient X, on June 3 at ABC Hospital?”</w:t>
      </w:r>
      <w:r w:rsidR="00312C5D">
        <w:rPr>
          <w:lang w:val="en-US"/>
        </w:rPr>
        <w:t xml:space="preserve"> </w:t>
      </w:r>
      <w:r w:rsidR="00E7383B">
        <w:rPr>
          <w:lang w:val="en-US"/>
        </w:rPr>
        <w:t>The</w:t>
      </w:r>
      <w:r>
        <w:rPr>
          <w:lang w:val="en-US"/>
        </w:rPr>
        <w:t xml:space="preserve"> specialty of the potential SBD is collected from the records by Hospital and Institution abstractors. </w:t>
      </w:r>
      <w:r w:rsidR="00894379">
        <w:t xml:space="preserve">If the DCS/abstractor is not able to choose from the </w:t>
      </w:r>
      <w:r w:rsidR="00272259">
        <w:rPr>
          <w:lang w:val="en-US"/>
        </w:rPr>
        <w:t xml:space="preserve">specialty menu </w:t>
      </w:r>
      <w:r w:rsidR="00894379">
        <w:t xml:space="preserve">list, then the SBD specialty is recorded as </w:t>
      </w:r>
      <w:r w:rsidR="001146E2">
        <w:rPr>
          <w:lang w:val="en-US"/>
        </w:rPr>
        <w:t>“</w:t>
      </w:r>
      <w:r w:rsidR="00D17813">
        <w:rPr>
          <w:lang w:val="en-US"/>
        </w:rPr>
        <w:t>o</w:t>
      </w:r>
      <w:proofErr w:type="spellStart"/>
      <w:r w:rsidR="00894379">
        <w:t>ther</w:t>
      </w:r>
      <w:proofErr w:type="spellEnd"/>
      <w:r w:rsidR="00D17813">
        <w:rPr>
          <w:lang w:val="en-US"/>
        </w:rPr>
        <w:t>”</w:t>
      </w:r>
      <w:r w:rsidR="00894379">
        <w:t xml:space="preserve"> and a text string entered. </w:t>
      </w:r>
    </w:p>
    <w:p w14:paraId="23981C0B" w14:textId="73819292" w:rsidR="00C23C8A" w:rsidRPr="00894379" w:rsidRDefault="00894379" w:rsidP="00E00419">
      <w:pPr>
        <w:pStyle w:val="BodyText"/>
        <w:rPr>
          <w:lang w:val="en-US"/>
        </w:rPr>
      </w:pPr>
      <w:r w:rsidRPr="00F5169D">
        <w:t xml:space="preserve">SBD Specialty Coding </w:t>
      </w:r>
      <w:r>
        <w:rPr>
          <w:lang w:val="en-US"/>
        </w:rPr>
        <w:t>is comprised of assigning both a “</w:t>
      </w:r>
      <w:proofErr w:type="spellStart"/>
      <w:r>
        <w:rPr>
          <w:lang w:val="en-US"/>
        </w:rPr>
        <w:t>speccode</w:t>
      </w:r>
      <w:proofErr w:type="spellEnd"/>
      <w:r>
        <w:rPr>
          <w:lang w:val="en-US"/>
        </w:rPr>
        <w:t xml:space="preserve">” as well as a “specialty” code.  </w:t>
      </w:r>
      <w:r>
        <w:t xml:space="preserve">First, a combined </w:t>
      </w:r>
      <w:proofErr w:type="spellStart"/>
      <w:r>
        <w:t>autocoding</w:t>
      </w:r>
      <w:proofErr w:type="spellEnd"/>
      <w:r>
        <w:t xml:space="preserve"> and de-duplication procedure is run on the strings using </w:t>
      </w:r>
      <w:r w:rsidR="00976D21">
        <w:rPr>
          <w:lang w:val="en-US"/>
        </w:rPr>
        <w:t>a</w:t>
      </w:r>
      <w:r>
        <w:t xml:space="preserve"> SAS specialty dataset as a reference. </w:t>
      </w:r>
      <w:r w:rsidR="00272259">
        <w:rPr>
          <w:lang w:val="en-US"/>
        </w:rPr>
        <w:t>R</w:t>
      </w:r>
      <w:proofErr w:type="spellStart"/>
      <w:r>
        <w:t>emaining</w:t>
      </w:r>
      <w:proofErr w:type="spellEnd"/>
      <w:r>
        <w:t xml:space="preserve"> strings are sent</w:t>
      </w:r>
      <w:r w:rsidR="00F5688F">
        <w:rPr>
          <w:lang w:val="en-US"/>
        </w:rPr>
        <w:t xml:space="preserve"> to </w:t>
      </w:r>
      <w:r w:rsidR="00F5688F">
        <w:t>the Coding Task Leader and</w:t>
      </w:r>
      <w:r w:rsidR="00F5688F">
        <w:rPr>
          <w:lang w:val="en-US"/>
        </w:rPr>
        <w:t xml:space="preserve"> a</w:t>
      </w:r>
      <w:r w:rsidR="00F5688F">
        <w:t xml:space="preserve"> </w:t>
      </w:r>
      <w:r w:rsidR="00F5688F">
        <w:rPr>
          <w:lang w:val="en-US"/>
        </w:rPr>
        <w:t>data collection team member</w:t>
      </w:r>
      <w:r>
        <w:t xml:space="preserve"> for manual coding. </w:t>
      </w:r>
      <w:r>
        <w:rPr>
          <w:lang w:val="en-US"/>
        </w:rPr>
        <w:t xml:space="preserve">Coders utilize </w:t>
      </w:r>
      <w:proofErr w:type="spellStart"/>
      <w:r>
        <w:rPr>
          <w:lang w:val="en-US"/>
        </w:rPr>
        <w:t>t</w:t>
      </w:r>
      <w:r w:rsidRPr="00B768AE">
        <w:t>he</w:t>
      </w:r>
      <w:proofErr w:type="spellEnd"/>
      <w:r w:rsidRPr="00B768AE">
        <w:t xml:space="preserve"> coding rules received from AHRQ</w:t>
      </w:r>
      <w:r w:rsidR="00AA1E1F">
        <w:rPr>
          <w:lang w:val="en-US"/>
        </w:rPr>
        <w:t xml:space="preserve"> and the </w:t>
      </w:r>
      <w:r w:rsidR="009164CE">
        <w:rPr>
          <w:lang w:val="en-US"/>
        </w:rPr>
        <w:t xml:space="preserve">Household Component (HC) </w:t>
      </w:r>
      <w:r w:rsidR="00AA1E1F">
        <w:rPr>
          <w:lang w:val="en-US"/>
        </w:rPr>
        <w:t>contract</w:t>
      </w:r>
      <w:r w:rsidR="00716D16">
        <w:rPr>
          <w:lang w:val="en-US"/>
        </w:rPr>
        <w:t>or</w:t>
      </w:r>
      <w:r w:rsidR="00AA1E1F">
        <w:rPr>
          <w:lang w:val="en-US"/>
        </w:rPr>
        <w:t xml:space="preserve"> </w:t>
      </w:r>
      <w:r w:rsidRPr="00B768AE">
        <w:t xml:space="preserve">as well as </w:t>
      </w:r>
      <w:r>
        <w:rPr>
          <w:lang w:val="en-US"/>
        </w:rPr>
        <w:t>the table</w:t>
      </w:r>
      <w:r w:rsidRPr="00B768AE">
        <w:t xml:space="preserve"> </w:t>
      </w:r>
      <w:r>
        <w:rPr>
          <w:lang w:val="en-US"/>
        </w:rPr>
        <w:t xml:space="preserve">of </w:t>
      </w:r>
      <w:r w:rsidRPr="00B768AE">
        <w:t>SBD spe</w:t>
      </w:r>
      <w:r>
        <w:t>cialties used in the Event Form</w:t>
      </w:r>
      <w:r>
        <w:rPr>
          <w:lang w:val="en-US"/>
        </w:rPr>
        <w:t xml:space="preserve">. </w:t>
      </w:r>
      <w:r w:rsidR="00C23C8A">
        <w:t>After the strings</w:t>
      </w:r>
      <w:r w:rsidR="00F5688F">
        <w:rPr>
          <w:lang w:val="en-US"/>
        </w:rPr>
        <w:t xml:space="preserve"> are coded</w:t>
      </w:r>
      <w:r w:rsidR="00C23C8A">
        <w:t xml:space="preserve">, any discrepancies </w:t>
      </w:r>
      <w:r w:rsidR="00E00419">
        <w:rPr>
          <w:lang w:val="en-US"/>
        </w:rPr>
        <w:t>are adjudicated</w:t>
      </w:r>
      <w:r w:rsidR="00C23C8A">
        <w:t xml:space="preserve">. </w:t>
      </w:r>
    </w:p>
    <w:p w14:paraId="5FAAC9A3" w14:textId="2584D9E8" w:rsidR="008A716D" w:rsidRPr="005016A2" w:rsidRDefault="008A716D" w:rsidP="00F86F54">
      <w:pPr>
        <w:pStyle w:val="BodyText"/>
        <w:rPr>
          <w:lang w:val="en-US"/>
        </w:rPr>
      </w:pPr>
    </w:p>
    <w:p w14:paraId="360667B4" w14:textId="67DE37A2" w:rsidR="008A716D" w:rsidRPr="00E844C2" w:rsidRDefault="00E03295" w:rsidP="003C2B28">
      <w:pPr>
        <w:pStyle w:val="Heading2"/>
      </w:pPr>
      <w:bookmarkStart w:id="18" w:name="_Toc354754885"/>
      <w:bookmarkStart w:id="19" w:name="_Toc188880699"/>
      <w:r w:rsidRPr="00E844C2">
        <w:lastRenderedPageBreak/>
        <w:t>Building the</w:t>
      </w:r>
      <w:r w:rsidR="008A716D" w:rsidRPr="00E844C2">
        <w:t xml:space="preserve"> SBD </w:t>
      </w:r>
      <w:r w:rsidRPr="00E844C2">
        <w:t>Sample</w:t>
      </w:r>
      <w:bookmarkEnd w:id="18"/>
      <w:r w:rsidR="007E7C31" w:rsidRPr="00E844C2">
        <w:rPr>
          <w:lang w:val="en-US"/>
        </w:rPr>
        <w:t xml:space="preserve"> and Creating Nodes</w:t>
      </w:r>
      <w:bookmarkEnd w:id="19"/>
    </w:p>
    <w:p w14:paraId="2EC5370A" w14:textId="1F0ECDAE" w:rsidR="008A716D" w:rsidRDefault="008A716D" w:rsidP="00693FD0">
      <w:pPr>
        <w:pStyle w:val="BodyText"/>
      </w:pPr>
      <w:r>
        <w:t>The first step in building the SBD sample is generating and loading provider records that have completed the SBD coding process</w:t>
      </w:r>
      <w:r w:rsidR="00F0372A">
        <w:rPr>
          <w:lang w:val="en-US"/>
        </w:rPr>
        <w:t xml:space="preserve"> (including those strings that could not be </w:t>
      </w:r>
      <w:proofErr w:type="spellStart"/>
      <w:r w:rsidR="00F0372A">
        <w:rPr>
          <w:lang w:val="en-US"/>
        </w:rPr>
        <w:t>autocoded</w:t>
      </w:r>
      <w:proofErr w:type="spellEnd"/>
      <w:r w:rsidR="00F0372A">
        <w:rPr>
          <w:lang w:val="en-US"/>
        </w:rPr>
        <w:t xml:space="preserve"> to the directory and were instead added to the directory)</w:t>
      </w:r>
      <w:r>
        <w:t>.</w:t>
      </w:r>
      <w:r w:rsidR="0073513C">
        <w:t xml:space="preserve"> </w:t>
      </w:r>
      <w:r>
        <w:t>The provider record includes the SBD ID (</w:t>
      </w:r>
      <w:r>
        <w:rPr>
          <w:lang w:val="en-US"/>
        </w:rPr>
        <w:t>called “</w:t>
      </w:r>
      <w:r>
        <w:t>PDDIRID</w:t>
      </w:r>
      <w:r>
        <w:rPr>
          <w:lang w:val="en-US"/>
        </w:rPr>
        <w:t>”</w:t>
      </w:r>
      <w:r>
        <w:t>)</w:t>
      </w:r>
      <w:r>
        <w:rPr>
          <w:lang w:val="en-US"/>
        </w:rPr>
        <w:t>.</w:t>
      </w:r>
      <w:r w:rsidR="0073513C">
        <w:rPr>
          <w:lang w:val="en-US"/>
        </w:rPr>
        <w:t xml:space="preserve"> </w:t>
      </w:r>
      <w:r>
        <w:rPr>
          <w:lang w:val="en-US"/>
        </w:rPr>
        <w:t>The PDDIRID is the SBD’s individual-level NPI, when this can be identified.</w:t>
      </w:r>
      <w:r w:rsidR="0073513C">
        <w:rPr>
          <w:lang w:val="en-US"/>
        </w:rPr>
        <w:t xml:space="preserve"> </w:t>
      </w:r>
      <w:r>
        <w:rPr>
          <w:lang w:val="en-US"/>
        </w:rPr>
        <w:t>The provider record also includes</w:t>
      </w:r>
      <w:r>
        <w:t xml:space="preserve"> SBD name, contact information, and sample wave number. Since multiple SBD strings can be coded to be the same </w:t>
      </w:r>
      <w:r>
        <w:rPr>
          <w:lang w:val="en-US"/>
        </w:rPr>
        <w:t>NPI</w:t>
      </w:r>
      <w:r>
        <w:t>, the SBD providers are also de-duplicated during this step so that each provider record has a unique PDDIRID.</w:t>
      </w:r>
    </w:p>
    <w:p w14:paraId="5EDD3B85" w14:textId="26D9F7E8" w:rsidR="008A716D" w:rsidRPr="006241A1" w:rsidRDefault="008A716D" w:rsidP="00ED078E">
      <w:pPr>
        <w:pStyle w:val="BodyText"/>
      </w:pPr>
      <w:r w:rsidRPr="006241A1">
        <w:t xml:space="preserve">The second step is to create </w:t>
      </w:r>
      <w:r>
        <w:t xml:space="preserve">and load </w:t>
      </w:r>
      <w:r w:rsidRPr="006241A1">
        <w:t xml:space="preserve">the pair and </w:t>
      </w:r>
      <w:r>
        <w:t>“</w:t>
      </w:r>
      <w:r w:rsidRPr="006241A1">
        <w:t>node</w:t>
      </w:r>
      <w:r>
        <w:t>”</w:t>
      </w:r>
      <w:r w:rsidRPr="006241A1">
        <w:t xml:space="preserve"> records for </w:t>
      </w:r>
      <w:r>
        <w:t>each of the</w:t>
      </w:r>
      <w:r w:rsidRPr="006241A1">
        <w:t xml:space="preserve"> provider records into the </w:t>
      </w:r>
      <w:r w:rsidR="00ED078E">
        <w:rPr>
          <w:lang w:val="en-US"/>
        </w:rPr>
        <w:t>IDCS</w:t>
      </w:r>
      <w:r w:rsidRPr="006241A1">
        <w:t>.</w:t>
      </w:r>
      <w:r w:rsidR="0073513C">
        <w:t xml:space="preserve"> </w:t>
      </w:r>
      <w:r>
        <w:t xml:space="preserve">The pair record consists of the SBD, patient, and </w:t>
      </w:r>
      <w:r w:rsidR="00D14866">
        <w:rPr>
          <w:lang w:val="en-US"/>
        </w:rPr>
        <w:t>AF</w:t>
      </w:r>
      <w:r>
        <w:t>. E</w:t>
      </w:r>
      <w:r w:rsidRPr="008B4274">
        <w:t>ach pair record retains a link back to the SBD string that prompted its creation</w:t>
      </w:r>
      <w:r>
        <w:t xml:space="preserve">, including </w:t>
      </w:r>
      <w:r w:rsidRPr="008B4274">
        <w:t>detail</w:t>
      </w:r>
      <w:r>
        <w:t>s</w:t>
      </w:r>
      <w:r w:rsidRPr="008B4274">
        <w:t xml:space="preserve"> </w:t>
      </w:r>
      <w:r>
        <w:t>such as s</w:t>
      </w:r>
      <w:r w:rsidRPr="008B4274">
        <w:t xml:space="preserve">pecialty and any group practice and/or billing service affiliations. </w:t>
      </w:r>
      <w:r>
        <w:t>The “node” provides a</w:t>
      </w:r>
      <w:r w:rsidRPr="006241A1">
        <w:t xml:space="preserve"> link </w:t>
      </w:r>
      <w:r>
        <w:t>between</w:t>
      </w:r>
      <w:r w:rsidRPr="006241A1">
        <w:t xml:space="preserve"> the </w:t>
      </w:r>
      <w:r w:rsidR="007E0AA9">
        <w:rPr>
          <w:lang w:val="en-US"/>
        </w:rPr>
        <w:t>H</w:t>
      </w:r>
      <w:proofErr w:type="spellStart"/>
      <w:r w:rsidRPr="006241A1">
        <w:t>ospital</w:t>
      </w:r>
      <w:proofErr w:type="spellEnd"/>
      <w:r>
        <w:t xml:space="preserve"> </w:t>
      </w:r>
      <w:r w:rsidRPr="006241A1">
        <w:t xml:space="preserve">or </w:t>
      </w:r>
      <w:r w:rsidR="00C71562">
        <w:rPr>
          <w:lang w:val="en-US"/>
        </w:rPr>
        <w:t>I</w:t>
      </w:r>
      <w:proofErr w:type="spellStart"/>
      <w:r w:rsidR="00C71562" w:rsidRPr="006241A1">
        <w:t>nstitutional</w:t>
      </w:r>
      <w:proofErr w:type="spellEnd"/>
      <w:r w:rsidR="00C71562" w:rsidRPr="006241A1">
        <w:t xml:space="preserve"> </w:t>
      </w:r>
      <w:r>
        <w:t>provider and the SBD</w:t>
      </w:r>
      <w:r w:rsidR="007E0AA9">
        <w:rPr>
          <w:lang w:val="en-US"/>
        </w:rPr>
        <w:t>,</w:t>
      </w:r>
      <w:r>
        <w:t xml:space="preserve"> and consists of the </w:t>
      </w:r>
      <w:r w:rsidRPr="006241A1">
        <w:t>event type (</w:t>
      </w:r>
      <w:r w:rsidR="005D6681">
        <w:rPr>
          <w:lang w:val="en-US"/>
        </w:rPr>
        <w:t>L</w:t>
      </w:r>
      <w:proofErr w:type="spellStart"/>
      <w:r w:rsidRPr="006241A1">
        <w:t>ocation</w:t>
      </w:r>
      <w:proofErr w:type="spellEnd"/>
      <w:r w:rsidRPr="006241A1">
        <w:t xml:space="preserve"> of </w:t>
      </w:r>
      <w:r w:rsidR="005D6681">
        <w:rPr>
          <w:lang w:val="en-US"/>
        </w:rPr>
        <w:t>S</w:t>
      </w:r>
      <w:proofErr w:type="spellStart"/>
      <w:r w:rsidRPr="006241A1">
        <w:t>ervice</w:t>
      </w:r>
      <w:proofErr w:type="spellEnd"/>
      <w:r w:rsidRPr="006241A1">
        <w:t xml:space="preserve">), event </w:t>
      </w:r>
      <w:r>
        <w:t xml:space="preserve">begin and end </w:t>
      </w:r>
      <w:r w:rsidRPr="006241A1">
        <w:t>date</w:t>
      </w:r>
      <w:r>
        <w:t>s</w:t>
      </w:r>
      <w:r w:rsidRPr="006241A1">
        <w:t xml:space="preserve">, </w:t>
      </w:r>
      <w:r>
        <w:t>and the SBD node identifier.</w:t>
      </w:r>
      <w:r w:rsidR="0073513C">
        <w:t xml:space="preserve"> </w:t>
      </w:r>
      <w:r>
        <w:t xml:space="preserve">Each node is associated with a single patient-provider pair. The node record also includes the SBD role (e.g., </w:t>
      </w:r>
      <w:r w:rsidR="00CD779B">
        <w:rPr>
          <w:lang w:val="en-US"/>
        </w:rPr>
        <w:t>pathologist</w:t>
      </w:r>
      <w:r w:rsidR="006C5492">
        <w:rPr>
          <w:lang w:val="en-US"/>
        </w:rPr>
        <w:t xml:space="preserve"> or</w:t>
      </w:r>
      <w:r w:rsidR="00CD779B">
        <w:rPr>
          <w:lang w:val="en-US"/>
        </w:rPr>
        <w:t xml:space="preserve"> radiologist</w:t>
      </w:r>
      <w:r>
        <w:t>) and specialty.</w:t>
      </w:r>
      <w:r w:rsidR="0073513C">
        <w:t xml:space="preserve"> </w:t>
      </w:r>
      <w:r>
        <w:t xml:space="preserve">The </w:t>
      </w:r>
      <w:r w:rsidRPr="006241A1">
        <w:t>node</w:t>
      </w:r>
      <w:r>
        <w:t xml:space="preserve"> </w:t>
      </w:r>
      <w:r w:rsidRPr="006241A1">
        <w:t xml:space="preserve">is </w:t>
      </w:r>
      <w:r>
        <w:t xml:space="preserve">sometimes referred to as the “event” record since at least one SBD event form is administered for each node and SBD data </w:t>
      </w:r>
      <w:r w:rsidR="007E0AA9">
        <w:rPr>
          <w:lang w:val="en-US"/>
        </w:rPr>
        <w:t>are</w:t>
      </w:r>
      <w:r>
        <w:t xml:space="preserve"> collected at the node level; some nodes from inpatient stays can have multiple event forms (encounters) associated with them.</w:t>
      </w:r>
      <w:r w:rsidR="0073513C">
        <w:t xml:space="preserve"> </w:t>
      </w:r>
      <w:r>
        <w:t xml:space="preserve">The node is </w:t>
      </w:r>
      <w:r w:rsidRPr="006241A1">
        <w:t xml:space="preserve">critical </w:t>
      </w:r>
      <w:r>
        <w:t xml:space="preserve">for </w:t>
      </w:r>
      <w:r w:rsidRPr="006241A1">
        <w:t>tracking the progress of th</w:t>
      </w:r>
      <w:r>
        <w:t xml:space="preserve">e SBD sample during data collection and is </w:t>
      </w:r>
      <w:r w:rsidRPr="006241A1">
        <w:t xml:space="preserve">used to link the SBD data back to the original </w:t>
      </w:r>
      <w:r w:rsidR="007E0AA9">
        <w:rPr>
          <w:lang w:val="en-US"/>
        </w:rPr>
        <w:t>H</w:t>
      </w:r>
      <w:proofErr w:type="spellStart"/>
      <w:r>
        <w:t>ospital</w:t>
      </w:r>
      <w:proofErr w:type="spellEnd"/>
      <w:r>
        <w:t xml:space="preserve"> or </w:t>
      </w:r>
      <w:r w:rsidR="007E0AA9">
        <w:rPr>
          <w:lang w:val="en-US"/>
        </w:rPr>
        <w:t>I</w:t>
      </w:r>
      <w:proofErr w:type="spellStart"/>
      <w:r>
        <w:t>nstitutional</w:t>
      </w:r>
      <w:proofErr w:type="spellEnd"/>
      <w:r>
        <w:t xml:space="preserve"> </w:t>
      </w:r>
      <w:r w:rsidRPr="006241A1">
        <w:t>provider during the matching process.</w:t>
      </w:r>
    </w:p>
    <w:p w14:paraId="684142B1" w14:textId="7B398B1F" w:rsidR="0026579B" w:rsidRPr="003E3DF7" w:rsidRDefault="0026579B" w:rsidP="00693FD0">
      <w:pPr>
        <w:pStyle w:val="BodyText"/>
        <w:rPr>
          <w:lang w:val="en-US"/>
        </w:rPr>
      </w:pPr>
    </w:p>
    <w:p w14:paraId="2AA8774A" w14:textId="77777777" w:rsidR="008A716D" w:rsidRPr="00674CB4" w:rsidRDefault="00E03295" w:rsidP="003C2B28">
      <w:pPr>
        <w:pStyle w:val="Heading2"/>
      </w:pPr>
      <w:bookmarkStart w:id="20" w:name="_Toc354754887"/>
      <w:bookmarkStart w:id="21" w:name="_Toc188880700"/>
      <w:r w:rsidRPr="00674CB4">
        <w:t>Grouping the SBD Sample for Data Collection</w:t>
      </w:r>
      <w:bookmarkEnd w:id="20"/>
      <w:bookmarkEnd w:id="21"/>
    </w:p>
    <w:p w14:paraId="1BF51672" w14:textId="77777777" w:rsidR="008A716D" w:rsidRDefault="008A716D" w:rsidP="00693FD0">
      <w:pPr>
        <w:pStyle w:val="BodyText"/>
      </w:pPr>
      <w:r>
        <w:t>Collapsed SBD contact groups will be formed by starting with the original contact group assignment and combining groups that are similar with respect to certain provider ID fields and provider name and address fields. Combinations of the following fields will be used to form the groupings:</w:t>
      </w:r>
    </w:p>
    <w:p w14:paraId="246ACE9C" w14:textId="6AF7664D" w:rsidR="008A716D" w:rsidRDefault="008A716D" w:rsidP="00836B8E">
      <w:pPr>
        <w:pStyle w:val="bullets"/>
      </w:pPr>
      <w:r>
        <w:t>PDDIRID</w:t>
      </w:r>
      <w:r w:rsidR="00836B8E">
        <w:t xml:space="preserve"> (which includes the NPI when it is available)</w:t>
      </w:r>
    </w:p>
    <w:p w14:paraId="3084FD2E" w14:textId="77777777" w:rsidR="008A716D" w:rsidRDefault="008A716D" w:rsidP="00693FD0">
      <w:pPr>
        <w:pStyle w:val="bullets"/>
      </w:pPr>
      <w:r>
        <w:t>Phone number</w:t>
      </w:r>
    </w:p>
    <w:p w14:paraId="78F1A4A0" w14:textId="77777777" w:rsidR="008A716D" w:rsidRDefault="008A716D" w:rsidP="00693FD0">
      <w:pPr>
        <w:pStyle w:val="bullets"/>
      </w:pPr>
      <w:r>
        <w:t>Name</w:t>
      </w:r>
    </w:p>
    <w:p w14:paraId="694582F0" w14:textId="77777777" w:rsidR="008A716D" w:rsidRDefault="008A716D" w:rsidP="00693FD0">
      <w:pPr>
        <w:pStyle w:val="bullets"/>
      </w:pPr>
      <w:r>
        <w:t>Street address</w:t>
      </w:r>
    </w:p>
    <w:p w14:paraId="2ABD11EC" w14:textId="77777777" w:rsidR="008A716D" w:rsidRPr="002B63B5" w:rsidRDefault="008A716D" w:rsidP="00693FD0">
      <w:pPr>
        <w:pStyle w:val="bullets"/>
      </w:pPr>
      <w:r>
        <w:t>City and state</w:t>
      </w:r>
    </w:p>
    <w:p w14:paraId="73ED6E4F" w14:textId="13084EB5" w:rsidR="008A716D" w:rsidRDefault="008A716D" w:rsidP="007E0AA9">
      <w:pPr>
        <w:pStyle w:val="BodyText"/>
      </w:pPr>
      <w:r>
        <w:t>This collapsing of contact groups will be done independently for two groups:</w:t>
      </w:r>
      <w:r w:rsidR="0073513C">
        <w:t xml:space="preserve"> </w:t>
      </w:r>
      <w:r>
        <w:t xml:space="preserve">SBDs not </w:t>
      </w:r>
      <w:r w:rsidR="007E0AA9">
        <w:rPr>
          <w:lang w:val="en-US"/>
        </w:rPr>
        <w:t xml:space="preserve">affiliated with </w:t>
      </w:r>
      <w:r>
        <w:t xml:space="preserve">a billing service and SBDs belonging to a billing service. </w:t>
      </w:r>
      <w:r w:rsidR="00827F07">
        <w:rPr>
          <w:lang w:val="en-US"/>
        </w:rPr>
        <w:t>The MPC team</w:t>
      </w:r>
      <w:r w:rsidR="00F327A5">
        <w:rPr>
          <w:lang w:val="en-US"/>
        </w:rPr>
        <w:t xml:space="preserve"> has</w:t>
      </w:r>
      <w:r>
        <w:t xml:space="preserve"> develop</w:t>
      </w:r>
      <w:r w:rsidR="0032611F">
        <w:rPr>
          <w:lang w:val="en-US"/>
        </w:rPr>
        <w:t>ed</w:t>
      </w:r>
      <w:r>
        <w:t xml:space="preserve"> an algorithm for each of these groups which involves making several passes through the data, collapsing groups based on various combinations of the above variables. These passes will vary for the two independent groups. SBDs that </w:t>
      </w:r>
      <w:r w:rsidR="007E0AA9">
        <w:rPr>
          <w:lang w:val="en-US"/>
        </w:rPr>
        <w:t xml:space="preserve">are affiliated with </w:t>
      </w:r>
      <w:r>
        <w:t>a billing service have additional address fields that will be used to form the collapsed groups. In addition, the passes will likely differ for each of the groups since certain address fields may be more appropriate to use for one group but not the other.</w:t>
      </w:r>
    </w:p>
    <w:p w14:paraId="76ADBD63" w14:textId="40C03DE9" w:rsidR="008A716D" w:rsidRDefault="008A716D" w:rsidP="00693FD0">
      <w:pPr>
        <w:pStyle w:val="BodyText"/>
        <w:rPr>
          <w:lang w:val="en-US"/>
        </w:rPr>
      </w:pPr>
      <w:r>
        <w:t xml:space="preserve">As the SBD sample is built, </w:t>
      </w:r>
      <w:r w:rsidR="00827F07">
        <w:rPr>
          <w:lang w:val="en-US"/>
        </w:rPr>
        <w:t>the MPC team</w:t>
      </w:r>
      <w:r>
        <w:t xml:space="preserve"> will examine the groups that are being formed in order to prevent over-grouping or under-grouping by the algorithm; based on these observations, the algorithm will be tweaked accordingly. Since collapsing based on text fields is never an exact science, the final groupings will be reviewed by project management staff. A spreadsheet will be set up </w:t>
      </w:r>
      <w:r w:rsidR="003E3DF7">
        <w:rPr>
          <w:lang w:val="en-US"/>
        </w:rPr>
        <w:t xml:space="preserve">for review by the data collection team </w:t>
      </w:r>
      <w:r>
        <w:t xml:space="preserve">which displays all final groupings. If groups are identified during this QC step </w:t>
      </w:r>
      <w:r>
        <w:lastRenderedPageBreak/>
        <w:t>that need to be broken apart</w:t>
      </w:r>
      <w:r w:rsidR="00157329">
        <w:rPr>
          <w:lang w:val="en-US"/>
        </w:rPr>
        <w:t xml:space="preserve"> or combined</w:t>
      </w:r>
      <w:r>
        <w:t xml:space="preserve">, this will be indicated in the spreadsheet and these changes will be </w:t>
      </w:r>
      <w:r w:rsidR="000E5685">
        <w:rPr>
          <w:lang w:val="en-US"/>
        </w:rPr>
        <w:t>made</w:t>
      </w:r>
      <w:r>
        <w:t xml:space="preserve"> as the last step of the grouping process.</w:t>
      </w:r>
    </w:p>
    <w:p w14:paraId="0247865D" w14:textId="5914A505" w:rsidR="000B14FF" w:rsidRPr="000B14FF" w:rsidRDefault="000B14FF" w:rsidP="00A80D2B">
      <w:pPr>
        <w:pStyle w:val="BodyText"/>
        <w:rPr>
          <w:lang w:val="en-US"/>
        </w:rPr>
      </w:pPr>
      <w:r>
        <w:rPr>
          <w:lang w:val="en-US"/>
        </w:rPr>
        <w:t xml:space="preserve">For </w:t>
      </w:r>
      <w:r w:rsidR="00615E36">
        <w:rPr>
          <w:lang w:val="en-US"/>
        </w:rPr>
        <w:t>W</w:t>
      </w:r>
      <w:r>
        <w:rPr>
          <w:lang w:val="en-US"/>
        </w:rPr>
        <w:t xml:space="preserve">aves 2 and </w:t>
      </w:r>
      <w:r w:rsidR="00A80D2B">
        <w:rPr>
          <w:lang w:val="en-US"/>
        </w:rPr>
        <w:t>later</w:t>
      </w:r>
      <w:r>
        <w:rPr>
          <w:lang w:val="en-US"/>
        </w:rPr>
        <w:t xml:space="preserve">, </w:t>
      </w:r>
      <w:r w:rsidR="00827F07">
        <w:rPr>
          <w:lang w:val="en-US"/>
        </w:rPr>
        <w:t>the MPC team</w:t>
      </w:r>
      <w:r>
        <w:rPr>
          <w:lang w:val="en-US"/>
        </w:rPr>
        <w:t xml:space="preserve"> will start with the final contact group assignments from the previous wave</w:t>
      </w:r>
      <w:r w:rsidR="008D6F07">
        <w:rPr>
          <w:lang w:val="en-US"/>
        </w:rPr>
        <w:t xml:space="preserve"> and use the process outlined above to assign contact groups for the current wave</w:t>
      </w:r>
      <w:r>
        <w:rPr>
          <w:lang w:val="en-US"/>
        </w:rPr>
        <w:t xml:space="preserve">. The grouping algorithm will not break </w:t>
      </w:r>
      <w:r w:rsidR="008D6F07">
        <w:rPr>
          <w:lang w:val="en-US"/>
        </w:rPr>
        <w:t>apart</w:t>
      </w:r>
      <w:r>
        <w:rPr>
          <w:lang w:val="en-US"/>
        </w:rPr>
        <w:t xml:space="preserve"> the initial contact groups</w:t>
      </w:r>
      <w:r w:rsidR="008D6F07">
        <w:rPr>
          <w:lang w:val="en-US"/>
        </w:rPr>
        <w:t xml:space="preserve"> which were assigned at the previous wave</w:t>
      </w:r>
      <w:r>
        <w:rPr>
          <w:lang w:val="en-US"/>
        </w:rPr>
        <w:t xml:space="preserve">. However, due to the addition of the new wave, the algorithm may attempt to combine </w:t>
      </w:r>
      <w:r w:rsidR="008D6F07">
        <w:rPr>
          <w:lang w:val="en-US"/>
        </w:rPr>
        <w:t xml:space="preserve">one or more SBD nodes </w:t>
      </w:r>
      <w:r>
        <w:rPr>
          <w:lang w:val="en-US"/>
        </w:rPr>
        <w:t xml:space="preserve">from the current wave with 2 or more groups that were formed at the previous wave. When this occurs, </w:t>
      </w:r>
      <w:r w:rsidR="008D6F07">
        <w:rPr>
          <w:lang w:val="en-US"/>
        </w:rPr>
        <w:t xml:space="preserve">these groupings will be manually reviewed and split apart </w:t>
      </w:r>
      <w:r w:rsidR="00433B37">
        <w:rPr>
          <w:lang w:val="en-US"/>
        </w:rPr>
        <w:t>to</w:t>
      </w:r>
      <w:r w:rsidR="00C66C23">
        <w:rPr>
          <w:lang w:val="en-US"/>
        </w:rPr>
        <w:t xml:space="preserve"> combine </w:t>
      </w:r>
      <w:r w:rsidR="008D6F07">
        <w:rPr>
          <w:lang w:val="en-US"/>
        </w:rPr>
        <w:t>the new SBD node</w:t>
      </w:r>
      <w:r w:rsidR="00C66C23">
        <w:rPr>
          <w:lang w:val="en-US"/>
        </w:rPr>
        <w:t>(s)</w:t>
      </w:r>
      <w:r w:rsidR="008D6F07">
        <w:rPr>
          <w:lang w:val="en-US"/>
        </w:rPr>
        <w:t xml:space="preserve"> with the most appropriate contact group from the previous wave. The </w:t>
      </w:r>
      <w:proofErr w:type="gramStart"/>
      <w:r w:rsidR="008D6F07">
        <w:rPr>
          <w:lang w:val="en-US"/>
        </w:rPr>
        <w:t>ultimate goal</w:t>
      </w:r>
      <w:proofErr w:type="gramEnd"/>
      <w:r w:rsidR="008D6F07">
        <w:rPr>
          <w:lang w:val="en-US"/>
        </w:rPr>
        <w:t xml:space="preserve"> is for the SBD nodes from the current wave to be either in their own contact groups or combined with the “best” contact group from the previous wave.</w:t>
      </w:r>
    </w:p>
    <w:p w14:paraId="0CFA59F5" w14:textId="77777777" w:rsidR="008A716D" w:rsidRDefault="00E03295" w:rsidP="003C2B28">
      <w:pPr>
        <w:pStyle w:val="Heading2"/>
      </w:pPr>
      <w:bookmarkStart w:id="22" w:name="_Toc354754888"/>
      <w:bookmarkStart w:id="23" w:name="_Toc188880701"/>
      <w:r>
        <w:t>Anticipating and Tracking the Size of the SBD Sample</w:t>
      </w:r>
      <w:bookmarkEnd w:id="22"/>
      <w:bookmarkEnd w:id="23"/>
      <w:r>
        <w:t xml:space="preserve"> </w:t>
      </w:r>
    </w:p>
    <w:p w14:paraId="7B59BA02" w14:textId="4CA9650F" w:rsidR="008A716D" w:rsidRDefault="008A716D" w:rsidP="007E0AA9">
      <w:pPr>
        <w:pStyle w:val="BodyText"/>
      </w:pPr>
      <w:r>
        <w:t xml:space="preserve">SBDs are identified as part of the </w:t>
      </w:r>
      <w:r w:rsidR="007E0AA9">
        <w:rPr>
          <w:lang w:val="en-US"/>
        </w:rPr>
        <w:t>H</w:t>
      </w:r>
      <w:proofErr w:type="spellStart"/>
      <w:r>
        <w:t>ospital</w:t>
      </w:r>
      <w:proofErr w:type="spellEnd"/>
      <w:r>
        <w:t xml:space="preserve"> data collection, AO, and coding activities. </w:t>
      </w:r>
      <w:r w:rsidR="00EC384D">
        <w:rPr>
          <w:lang w:val="en-US"/>
        </w:rPr>
        <w:t xml:space="preserve">As in the 2012 </w:t>
      </w:r>
      <w:r w:rsidR="00641C8E" w:rsidRPr="00CC3EFB">
        <w:rPr>
          <w:lang w:val="en-US"/>
        </w:rPr>
        <w:t xml:space="preserve">through </w:t>
      </w:r>
      <w:r w:rsidR="00D63938" w:rsidRPr="00CC3EFB">
        <w:rPr>
          <w:lang w:val="en-US"/>
        </w:rPr>
        <w:t>20</w:t>
      </w:r>
      <w:r w:rsidR="00D63938">
        <w:rPr>
          <w:lang w:val="en-US"/>
        </w:rPr>
        <w:t xml:space="preserve">22 </w:t>
      </w:r>
      <w:r w:rsidR="00EC384D">
        <w:rPr>
          <w:lang w:val="en-US"/>
        </w:rPr>
        <w:t>MPC</w:t>
      </w:r>
      <w:r w:rsidR="00641C8E">
        <w:rPr>
          <w:lang w:val="en-US"/>
        </w:rPr>
        <w:t xml:space="preserve"> cycle</w:t>
      </w:r>
      <w:r w:rsidR="00D23F70">
        <w:rPr>
          <w:lang w:val="en-US"/>
        </w:rPr>
        <w:t>s</w:t>
      </w:r>
      <w:r w:rsidR="00EC384D">
        <w:rPr>
          <w:lang w:val="en-US"/>
        </w:rPr>
        <w:t xml:space="preserve">, </w:t>
      </w:r>
      <w:r>
        <w:t xml:space="preserve">SBD sample will </w:t>
      </w:r>
      <w:r w:rsidR="00EC384D">
        <w:rPr>
          <w:lang w:val="en-US"/>
        </w:rPr>
        <w:t xml:space="preserve">again </w:t>
      </w:r>
      <w:r>
        <w:t>be built regularly. By providing feedback on the current size of the sample, this improve</w:t>
      </w:r>
      <w:r w:rsidR="00EC384D">
        <w:rPr>
          <w:lang w:val="en-US"/>
        </w:rPr>
        <w:t>s</w:t>
      </w:r>
      <w:r>
        <w:t xml:space="preserve"> the quality of estimates of the ultimate sample size</w:t>
      </w:r>
      <w:r w:rsidR="00EC384D">
        <w:rPr>
          <w:lang w:val="en-US"/>
        </w:rPr>
        <w:t xml:space="preserve">, in turn informing staffing decisions and </w:t>
      </w:r>
      <w:r w:rsidR="00EC384D" w:rsidRPr="00264D62">
        <w:rPr>
          <w:lang w:val="en-US"/>
        </w:rPr>
        <w:t>subsampling</w:t>
      </w:r>
      <w:r w:rsidRPr="00747E82">
        <w:t xml:space="preserve">. The first build will be </w:t>
      </w:r>
      <w:r w:rsidR="00EC384D" w:rsidRPr="00747E82">
        <w:rPr>
          <w:lang w:val="en-US"/>
        </w:rPr>
        <w:t>in</w:t>
      </w:r>
      <w:r w:rsidRPr="00747E82">
        <w:t xml:space="preserve"> Ju</w:t>
      </w:r>
      <w:r w:rsidR="00310322" w:rsidRPr="00747E82">
        <w:rPr>
          <w:lang w:val="en-US"/>
        </w:rPr>
        <w:t>ly</w:t>
      </w:r>
      <w:r w:rsidRPr="00747E82">
        <w:t>.</w:t>
      </w:r>
      <w:r w:rsidR="0073513C" w:rsidRPr="00747E82">
        <w:t xml:space="preserve"> </w:t>
      </w:r>
      <w:r w:rsidRPr="00747E82">
        <w:t xml:space="preserve">From </w:t>
      </w:r>
      <w:r w:rsidR="00064DC2" w:rsidRPr="00747E82">
        <w:rPr>
          <w:lang w:val="en-US"/>
        </w:rPr>
        <w:t>August</w:t>
      </w:r>
      <w:r w:rsidR="00641C8E" w:rsidRPr="00747E82">
        <w:rPr>
          <w:lang w:val="en-US"/>
        </w:rPr>
        <w:t xml:space="preserve"> </w:t>
      </w:r>
      <w:r w:rsidRPr="00747E82">
        <w:t xml:space="preserve">through the </w:t>
      </w:r>
      <w:r w:rsidR="00641C8E" w:rsidRPr="00747E82">
        <w:rPr>
          <w:lang w:val="en-US"/>
        </w:rPr>
        <w:t>middle</w:t>
      </w:r>
      <w:r w:rsidRPr="00747E82">
        <w:t xml:space="preserve"> of October,  </w:t>
      </w:r>
      <w:r w:rsidR="00433B37" w:rsidRPr="00747E82">
        <w:rPr>
          <w:lang w:val="en-US"/>
        </w:rPr>
        <w:t>sample</w:t>
      </w:r>
      <w:r w:rsidRPr="00747E82">
        <w:t xml:space="preserve"> will </w:t>
      </w:r>
      <w:r w:rsidR="00433B37" w:rsidRPr="00747E82">
        <w:rPr>
          <w:lang w:val="en-US"/>
        </w:rPr>
        <w:t xml:space="preserve">be </w:t>
      </w:r>
      <w:r w:rsidRPr="00747E82">
        <w:t>buil</w:t>
      </w:r>
      <w:r w:rsidR="00433B37" w:rsidRPr="00747E82">
        <w:rPr>
          <w:lang w:val="en-US"/>
        </w:rPr>
        <w:t>t</w:t>
      </w:r>
      <w:r w:rsidRPr="00747E82">
        <w:t xml:space="preserve"> </w:t>
      </w:r>
      <w:r w:rsidR="007508AF" w:rsidRPr="00747E82">
        <w:rPr>
          <w:lang w:val="en-US"/>
        </w:rPr>
        <w:t>approximately</w:t>
      </w:r>
      <w:r w:rsidR="00EC384D" w:rsidRPr="00747E82">
        <w:rPr>
          <w:lang w:val="en-US"/>
        </w:rPr>
        <w:t xml:space="preserve"> </w:t>
      </w:r>
      <w:r w:rsidRPr="00747E82">
        <w:t xml:space="preserve">every </w:t>
      </w:r>
      <w:r w:rsidR="00D23F70" w:rsidRPr="00747E82">
        <w:rPr>
          <w:lang w:val="en-US"/>
        </w:rPr>
        <w:t>four</w:t>
      </w:r>
      <w:r w:rsidR="00D23F70" w:rsidRPr="00747E82">
        <w:t xml:space="preserve"> </w:t>
      </w:r>
      <w:r w:rsidRPr="00747E82">
        <w:t>week</w:t>
      </w:r>
      <w:r w:rsidR="00D23F70" w:rsidRPr="00747E82">
        <w:rPr>
          <w:lang w:val="en-US"/>
        </w:rPr>
        <w:t>s</w:t>
      </w:r>
      <w:r w:rsidRPr="00747E82">
        <w:t>.</w:t>
      </w:r>
    </w:p>
    <w:p w14:paraId="3C41E3CA" w14:textId="2EBCAF59" w:rsidR="008A716D" w:rsidRDefault="008A716D" w:rsidP="0022455B">
      <w:pPr>
        <w:pStyle w:val="BodyText"/>
      </w:pPr>
      <w:r>
        <w:t xml:space="preserve">Between builds, the estimated size of the SBD sample is revised as activities progress. The sample is tracked on several levels: nodes (medical events), doctors, pairs, and “strings.” A string consists of the contact information for a potential SBD, sometimes with billing service information, that is recorded in association with a </w:t>
      </w:r>
      <w:r w:rsidR="0022455B">
        <w:rPr>
          <w:lang w:val="en-US"/>
        </w:rPr>
        <w:t>H</w:t>
      </w:r>
      <w:proofErr w:type="spellStart"/>
      <w:r>
        <w:t>ospital</w:t>
      </w:r>
      <w:proofErr w:type="spellEnd"/>
      <w:r>
        <w:t xml:space="preserve"> or </w:t>
      </w:r>
      <w:r w:rsidR="0022455B">
        <w:rPr>
          <w:lang w:val="en-US"/>
        </w:rPr>
        <w:t>I</w:t>
      </w:r>
      <w:proofErr w:type="spellStart"/>
      <w:r>
        <w:t>nstitution</w:t>
      </w:r>
      <w:proofErr w:type="spellEnd"/>
      <w:r>
        <w:t xml:space="preserve"> pair. Multiple strings from various pairs may be found to represent the same doctor.</w:t>
      </w:r>
      <w:r w:rsidR="0073513C">
        <w:t xml:space="preserve"> </w:t>
      </w:r>
      <w:r>
        <w:t>The events associated with the strings are potential SBD nodes.</w:t>
      </w:r>
    </w:p>
    <w:p w14:paraId="46CC9DDD" w14:textId="3B51E0B1" w:rsidR="008A716D" w:rsidRPr="00AC607B" w:rsidRDefault="008A716D" w:rsidP="00693FD0">
      <w:pPr>
        <w:pStyle w:val="BodyText"/>
        <w:rPr>
          <w:lang w:val="en-US"/>
        </w:rPr>
      </w:pPr>
      <w:r>
        <w:t xml:space="preserve">The </w:t>
      </w:r>
      <w:r w:rsidR="00D43BC2">
        <w:rPr>
          <w:lang w:val="en-US"/>
        </w:rPr>
        <w:t>de</w:t>
      </w:r>
      <w:r w:rsidR="00D43BC2">
        <w:t xml:space="preserve">duplication </w:t>
      </w:r>
      <w:r>
        <w:t>which occurs at several steps reduces the number of unique doctors represented by the strings, and therefore the sample size estimate. A determination is made whether a string represents a doctor who does indeed bill separately. If not, the string is ineligible as an SBD and its nodes are ineligible. Potential nodes can be orphaned when the associated Hospital or Institution event is found to be a duplicate</w:t>
      </w:r>
      <w:r w:rsidR="00EC384D">
        <w:rPr>
          <w:lang w:val="en-US"/>
        </w:rPr>
        <w:t>.</w:t>
      </w:r>
      <w:r>
        <w:t xml:space="preserve"> </w:t>
      </w:r>
      <w:r w:rsidR="00EC384D">
        <w:rPr>
          <w:lang w:val="en-US"/>
        </w:rPr>
        <w:t>These kinds of nodes will be dispositioned appropriately</w:t>
      </w:r>
      <w:r w:rsidR="00EC384D">
        <w:t xml:space="preserve"> </w:t>
      </w:r>
      <w:r w:rsidR="00EC384D">
        <w:rPr>
          <w:lang w:val="en-US"/>
        </w:rPr>
        <w:t xml:space="preserve">so that they are </w:t>
      </w:r>
      <w:r>
        <w:t>excluded</w:t>
      </w:r>
      <w:r w:rsidR="00EC384D">
        <w:rPr>
          <w:lang w:val="en-US"/>
        </w:rPr>
        <w:t xml:space="preserve"> from estimates</w:t>
      </w:r>
      <w:r>
        <w:t>.</w:t>
      </w:r>
      <w:r w:rsidR="00AC607B">
        <w:rPr>
          <w:lang w:val="en-US"/>
        </w:rPr>
        <w:t xml:space="preserve"> If orphaned prior to building the sample, they are excluded from the sample build. Like all potential nodes, though, they are nonetheless tracked and reported.</w:t>
      </w:r>
    </w:p>
    <w:p w14:paraId="32D10D30" w14:textId="4F25B367" w:rsidR="008A716D" w:rsidRDefault="008D4591" w:rsidP="00693FD0">
      <w:pPr>
        <w:pStyle w:val="BodyText"/>
      </w:pPr>
      <w:r>
        <w:rPr>
          <w:lang w:val="en-US"/>
        </w:rPr>
        <w:t>R</w:t>
      </w:r>
      <w:proofErr w:type="spellStart"/>
      <w:r w:rsidR="008A716D">
        <w:t>eport</w:t>
      </w:r>
      <w:r>
        <w:rPr>
          <w:lang w:val="en-US"/>
        </w:rPr>
        <w:t>s</w:t>
      </w:r>
      <w:proofErr w:type="spellEnd"/>
      <w:r w:rsidR="008A716D">
        <w:t xml:space="preserve"> </w:t>
      </w:r>
      <w:r>
        <w:rPr>
          <w:lang w:val="en-US"/>
        </w:rPr>
        <w:t>are</w:t>
      </w:r>
      <w:r>
        <w:t xml:space="preserve"> </w:t>
      </w:r>
      <w:r w:rsidR="008A716D">
        <w:t>run daily which count the potential SBD nodes associated with the SBD strings</w:t>
      </w:r>
      <w:r w:rsidR="0073513C">
        <w:t xml:space="preserve"> </w:t>
      </w:r>
      <w:r w:rsidR="008A716D">
        <w:t>overall and at each step of SBD processing</w:t>
      </w:r>
      <w:r w:rsidR="0022455B">
        <w:rPr>
          <w:lang w:val="en-US"/>
        </w:rPr>
        <w:t>,</w:t>
      </w:r>
      <w:r w:rsidR="008A716D">
        <w:t xml:space="preserve"> from the time they are identified to the time the unique, eligible pairs are built into the sample. This includes their progress through AO, </w:t>
      </w:r>
      <w:proofErr w:type="spellStart"/>
      <w:r w:rsidR="008A716D">
        <w:t>autocoding</w:t>
      </w:r>
      <w:proofErr w:type="spellEnd"/>
      <w:r w:rsidR="008A716D">
        <w:t>, tracing, and finally sample creation.</w:t>
      </w:r>
      <w:r w:rsidR="0073513C">
        <w:t xml:space="preserve"> </w:t>
      </w:r>
    </w:p>
    <w:p w14:paraId="18F3C57A" w14:textId="1626751F" w:rsidR="008A716D" w:rsidRDefault="008A716D" w:rsidP="0022455B">
      <w:pPr>
        <w:pStyle w:val="BodyText"/>
      </w:pPr>
      <w:r>
        <w:t xml:space="preserve">In addition to frequent sample builds, as discussed at the beginning of this section, the number of unique SBDs and SBD nodes yet to be identified are further estimated based on the current counts compared with the percentage of the Hospital and Institution </w:t>
      </w:r>
      <w:r w:rsidR="001609B1">
        <w:rPr>
          <w:lang w:val="en-US"/>
        </w:rPr>
        <w:t>pair</w:t>
      </w:r>
      <w:r>
        <w:t>s that ha</w:t>
      </w:r>
      <w:r w:rsidR="0022455B">
        <w:rPr>
          <w:lang w:val="en-US"/>
        </w:rPr>
        <w:t>ve</w:t>
      </w:r>
      <w:r>
        <w:t xml:space="preserve"> completed the AO process, and the percentage of AO-completed strings that have resulted in nodes to date and historically.</w:t>
      </w:r>
    </w:p>
    <w:p w14:paraId="5AEBA765" w14:textId="0DF74398" w:rsidR="008A716D" w:rsidRPr="00E96A05" w:rsidRDefault="008F03B6" w:rsidP="003C2B28">
      <w:pPr>
        <w:pStyle w:val="Heading2"/>
        <w:rPr>
          <w:lang w:val="en-US"/>
        </w:rPr>
      </w:pPr>
      <w:bookmarkStart w:id="24" w:name="_Toc354754889"/>
      <w:bookmarkStart w:id="25" w:name="_Toc188880702"/>
      <w:r>
        <w:rPr>
          <w:lang w:val="en-US"/>
        </w:rPr>
        <w:t xml:space="preserve">Finalizing a Plan for the Selection and Release of </w:t>
      </w:r>
      <w:r w:rsidR="008A716D">
        <w:t>SBD</w:t>
      </w:r>
      <w:r w:rsidR="008A716D">
        <w:rPr>
          <w:lang w:val="en-US"/>
        </w:rPr>
        <w:t xml:space="preserve"> </w:t>
      </w:r>
      <w:r w:rsidR="00E03295">
        <w:rPr>
          <w:lang w:val="en-US"/>
        </w:rPr>
        <w:t>Nodes</w:t>
      </w:r>
      <w:bookmarkEnd w:id="24"/>
      <w:bookmarkEnd w:id="25"/>
    </w:p>
    <w:p w14:paraId="79C10F07" w14:textId="73D33318" w:rsidR="00882E74" w:rsidRDefault="00882E74" w:rsidP="00882E74">
      <w:pPr>
        <w:pStyle w:val="BodyText"/>
      </w:pPr>
      <w:r>
        <w:t xml:space="preserve">SBD providers in the fielded pairs have been confirmed by the AO </w:t>
      </w:r>
      <w:r w:rsidR="00641C8E">
        <w:rPr>
          <w:lang w:val="en-US"/>
        </w:rPr>
        <w:t xml:space="preserve">POC </w:t>
      </w:r>
      <w:r>
        <w:t xml:space="preserve">as possibly having charges and payments that are not included in the Hospital/Institution financial records. Although the final count of fielded SBD </w:t>
      </w:r>
      <w:r w:rsidR="008F03B6">
        <w:rPr>
          <w:lang w:val="en-US"/>
        </w:rPr>
        <w:t xml:space="preserve">nodes </w:t>
      </w:r>
      <w:r>
        <w:t xml:space="preserve">cannot be confirmed until all AOs have been contacted, </w:t>
      </w:r>
      <w:r w:rsidR="00827F07">
        <w:rPr>
          <w:lang w:val="en-US"/>
        </w:rPr>
        <w:t>the MPC team</w:t>
      </w:r>
      <w:r>
        <w:t xml:space="preserve"> carefully monitor</w:t>
      </w:r>
      <w:r w:rsidR="00433B37">
        <w:rPr>
          <w:lang w:val="en-US"/>
        </w:rPr>
        <w:t>s</w:t>
      </w:r>
      <w:r>
        <w:t xml:space="preserve"> the results of the AO protocol in terms of the ratio of SBD </w:t>
      </w:r>
      <w:r w:rsidR="008F03B6">
        <w:rPr>
          <w:lang w:val="en-US"/>
        </w:rPr>
        <w:t>nodes</w:t>
      </w:r>
      <w:r>
        <w:t xml:space="preserve"> to Hospital/Institutions pairs </w:t>
      </w:r>
      <w:r>
        <w:rPr>
          <w:lang w:val="en-US"/>
        </w:rPr>
        <w:t xml:space="preserve">for pairs for which </w:t>
      </w:r>
      <w:r>
        <w:t xml:space="preserve">AO is complete. By projecting this ratio, </w:t>
      </w:r>
      <w:r w:rsidR="00827F07">
        <w:rPr>
          <w:lang w:val="en-US"/>
        </w:rPr>
        <w:t>the MPC team</w:t>
      </w:r>
      <w:r>
        <w:t xml:space="preserve"> </w:t>
      </w:r>
      <w:r>
        <w:lastRenderedPageBreak/>
        <w:t xml:space="preserve">will estimate the final number of SBD </w:t>
      </w:r>
      <w:r w:rsidR="009151B2">
        <w:rPr>
          <w:lang w:val="en-US"/>
        </w:rPr>
        <w:t>nodes</w:t>
      </w:r>
      <w:r w:rsidR="009151B2">
        <w:t xml:space="preserve"> </w:t>
      </w:r>
      <w:r>
        <w:t xml:space="preserve">based on the estimated number of completed Hospitals/Institutions pairs. </w:t>
      </w:r>
      <w:r w:rsidR="00827F07">
        <w:rPr>
          <w:lang w:val="en-US"/>
        </w:rPr>
        <w:t>The MPC team</w:t>
      </w:r>
      <w:r>
        <w:t xml:space="preserve"> will share these estimates with AHRQ as AO</w:t>
      </w:r>
      <w:r w:rsidR="00433B37">
        <w:rPr>
          <w:lang w:val="en-US"/>
        </w:rPr>
        <w:t xml:space="preserve"> is completed</w:t>
      </w:r>
      <w:r w:rsidRPr="00774EF9">
        <w:t xml:space="preserve">. </w:t>
      </w:r>
    </w:p>
    <w:p w14:paraId="4CEE7099" w14:textId="46B36363" w:rsidR="00774EF9" w:rsidRDefault="00A306C1" w:rsidP="00396A79">
      <w:pPr>
        <w:rPr>
          <w:rFonts w:ascii="Times New Roman" w:hAnsi="Times New Roman"/>
        </w:rPr>
      </w:pPr>
      <w:r>
        <w:rPr>
          <w:rFonts w:ascii="Times New Roman" w:hAnsi="Times New Roman"/>
        </w:rPr>
        <w:t xml:space="preserve">SBD nodes are assigned a priority </w:t>
      </w:r>
      <w:r w:rsidR="00774EF9">
        <w:rPr>
          <w:rFonts w:ascii="Times New Roman" w:hAnsi="Times New Roman"/>
        </w:rPr>
        <w:t xml:space="preserve">status based on the likelihood that the node will yield charge or payment data and high versus low charge </w:t>
      </w:r>
      <w:r w:rsidR="003B4269">
        <w:rPr>
          <w:rFonts w:ascii="Times New Roman" w:hAnsi="Times New Roman"/>
        </w:rPr>
        <w:t>and</w:t>
      </w:r>
      <w:r w:rsidR="00774EF9">
        <w:rPr>
          <w:rFonts w:ascii="Times New Roman" w:hAnsi="Times New Roman"/>
        </w:rPr>
        <w:t xml:space="preserve"> payments. Nodes are subsampled for fielding, with higher sampling rates used for node more likely to yield data. The definitions used to define the priority,</w:t>
      </w:r>
      <w:r w:rsidR="00BF17A6">
        <w:rPr>
          <w:rFonts w:ascii="Times New Roman" w:hAnsi="Times New Roman"/>
        </w:rPr>
        <w:t xml:space="preserve"> </w:t>
      </w:r>
      <w:r w:rsidR="00774EF9">
        <w:rPr>
          <w:rFonts w:ascii="Times New Roman" w:hAnsi="Times New Roman"/>
        </w:rPr>
        <w:t xml:space="preserve">counts of nodes in each priority group, and sample allocation will be provided to AHRQ for approval.   </w:t>
      </w:r>
    </w:p>
    <w:p w14:paraId="49049F74" w14:textId="77777777" w:rsidR="00774EF9" w:rsidRDefault="00774EF9" w:rsidP="00396A79">
      <w:pPr>
        <w:rPr>
          <w:rFonts w:ascii="Times New Roman" w:hAnsi="Times New Roman"/>
        </w:rPr>
      </w:pPr>
    </w:p>
    <w:p w14:paraId="669985E0" w14:textId="5790A823" w:rsidR="006D4950" w:rsidRDefault="00426B03" w:rsidP="00CC4F06">
      <w:pPr>
        <w:pStyle w:val="BodyText"/>
        <w:rPr>
          <w:lang w:val="en-US"/>
        </w:rPr>
      </w:pPr>
      <w:r>
        <w:rPr>
          <w:lang w:val="en-US"/>
        </w:rPr>
        <w:t>Four strata were define</w:t>
      </w:r>
      <w:r w:rsidR="00D3548F">
        <w:rPr>
          <w:lang w:val="en-US"/>
        </w:rPr>
        <w:t>d</w:t>
      </w:r>
      <w:r>
        <w:rPr>
          <w:lang w:val="en-US"/>
        </w:rPr>
        <w:t xml:space="preserve"> for </w:t>
      </w:r>
      <w:r w:rsidR="00BA1232">
        <w:rPr>
          <w:lang w:val="en-US"/>
        </w:rPr>
        <w:t xml:space="preserve">the </w:t>
      </w:r>
      <w:r>
        <w:rPr>
          <w:lang w:val="en-US"/>
        </w:rPr>
        <w:t>2019</w:t>
      </w:r>
      <w:r w:rsidR="00BA1232">
        <w:rPr>
          <w:lang w:val="en-US"/>
        </w:rPr>
        <w:t>-</w:t>
      </w:r>
      <w:r w:rsidR="007024D3">
        <w:rPr>
          <w:lang w:val="en-US"/>
        </w:rPr>
        <w:t>202</w:t>
      </w:r>
      <w:r w:rsidR="0024575F">
        <w:rPr>
          <w:lang w:val="en-US"/>
        </w:rPr>
        <w:t>2</w:t>
      </w:r>
      <w:r>
        <w:rPr>
          <w:lang w:val="en-US"/>
        </w:rPr>
        <w:t xml:space="preserve"> MPC SBD node </w:t>
      </w:r>
      <w:r w:rsidR="000E5685">
        <w:rPr>
          <w:lang w:val="en-US"/>
        </w:rPr>
        <w:t>sub</w:t>
      </w:r>
      <w:r>
        <w:rPr>
          <w:lang w:val="en-US"/>
        </w:rPr>
        <w:t>sample</w:t>
      </w:r>
      <w:r w:rsidR="00BA1232">
        <w:rPr>
          <w:lang w:val="en-US"/>
        </w:rPr>
        <w:t>s</w:t>
      </w:r>
      <w:r>
        <w:rPr>
          <w:lang w:val="en-US"/>
        </w:rPr>
        <w:t xml:space="preserve">; these strata were High, Medium, Low, and Extra Low, with nodes in the High and Medium strata more likely to be SBDs and more likely to have higher SBD charges </w:t>
      </w:r>
      <w:r w:rsidR="003B4269">
        <w:rPr>
          <w:lang w:val="en-US"/>
        </w:rPr>
        <w:t>and</w:t>
      </w:r>
      <w:r>
        <w:rPr>
          <w:lang w:val="en-US"/>
        </w:rPr>
        <w:t xml:space="preserve"> payments, and nodes in the two lowest strata were much less likely to be </w:t>
      </w:r>
      <w:r w:rsidR="003B4269">
        <w:rPr>
          <w:lang w:val="en-US"/>
        </w:rPr>
        <w:t xml:space="preserve">an </w:t>
      </w:r>
      <w:r>
        <w:rPr>
          <w:lang w:val="en-US"/>
        </w:rPr>
        <w:t xml:space="preserve">SBD. These four strata were defined using </w:t>
      </w:r>
      <w:r w:rsidR="003B4269">
        <w:rPr>
          <w:lang w:val="en-US"/>
        </w:rPr>
        <w:t>H</w:t>
      </w:r>
      <w:r>
        <w:rPr>
          <w:lang w:val="en-US"/>
        </w:rPr>
        <w:t xml:space="preserve">ospital </w:t>
      </w:r>
      <w:r w:rsidR="005D6681">
        <w:rPr>
          <w:lang w:val="en-US"/>
        </w:rPr>
        <w:t>L</w:t>
      </w:r>
      <w:r>
        <w:rPr>
          <w:lang w:val="en-US"/>
        </w:rPr>
        <w:t xml:space="preserve">ocation of </w:t>
      </w:r>
      <w:r w:rsidR="005D6681">
        <w:rPr>
          <w:lang w:val="en-US"/>
        </w:rPr>
        <w:t>S</w:t>
      </w:r>
      <w:r>
        <w:rPr>
          <w:lang w:val="en-US"/>
        </w:rPr>
        <w:t xml:space="preserve">ervice, </w:t>
      </w:r>
      <w:r w:rsidR="005D6681">
        <w:rPr>
          <w:lang w:val="en-US"/>
        </w:rPr>
        <w:t>P</w:t>
      </w:r>
      <w:r>
        <w:rPr>
          <w:lang w:val="en-US"/>
        </w:rPr>
        <w:t xml:space="preserve">hysician </w:t>
      </w:r>
      <w:r w:rsidR="005D6681">
        <w:rPr>
          <w:lang w:val="en-US"/>
        </w:rPr>
        <w:t>S</w:t>
      </w:r>
      <w:r>
        <w:rPr>
          <w:lang w:val="en-US"/>
        </w:rPr>
        <w:t xml:space="preserve">pecialty, </w:t>
      </w:r>
      <w:r w:rsidR="005D6681">
        <w:rPr>
          <w:lang w:val="en-US"/>
        </w:rPr>
        <w:t>P</w:t>
      </w:r>
      <w:r>
        <w:rPr>
          <w:lang w:val="en-US"/>
        </w:rPr>
        <w:t xml:space="preserve">hysician </w:t>
      </w:r>
      <w:r w:rsidR="005D6681">
        <w:rPr>
          <w:lang w:val="en-US"/>
        </w:rPr>
        <w:t>R</w:t>
      </w:r>
      <w:r>
        <w:rPr>
          <w:lang w:val="en-US"/>
        </w:rPr>
        <w:t xml:space="preserve">ole, and pathology CPT codes.  </w:t>
      </w:r>
    </w:p>
    <w:p w14:paraId="3D63AEE3" w14:textId="26C44EA8" w:rsidR="00337B33" w:rsidRPr="00E844C2" w:rsidRDefault="00337B33" w:rsidP="00CC4F06">
      <w:pPr>
        <w:pStyle w:val="BodyText"/>
        <w:rPr>
          <w:u w:val="single"/>
          <w:lang w:val="en-US"/>
        </w:rPr>
      </w:pPr>
      <w:r w:rsidRPr="00E844C2">
        <w:rPr>
          <w:u w:val="single"/>
          <w:lang w:val="en-US"/>
        </w:rPr>
        <w:t>High</w:t>
      </w:r>
    </w:p>
    <w:p w14:paraId="486D4F51" w14:textId="638F3D8D" w:rsidR="00337B33" w:rsidRPr="00E844C2" w:rsidRDefault="00337B33" w:rsidP="00337B33">
      <w:pPr>
        <w:rPr>
          <w:rFonts w:ascii="Times New Roman" w:hAnsi="Times New Roman"/>
        </w:rPr>
      </w:pPr>
      <w:r w:rsidRPr="00E844C2">
        <w:rPr>
          <w:rFonts w:ascii="Times New Roman" w:hAnsi="Times New Roman"/>
        </w:rPr>
        <w:t>“High” priority was assigned when the physician’s role was “Active Physician/Providing Direct Care,” “Don’t know</w:t>
      </w:r>
      <w:r w:rsidR="00B5304A" w:rsidRPr="00E844C2">
        <w:rPr>
          <w:rFonts w:ascii="Times New Roman" w:hAnsi="Times New Roman"/>
        </w:rPr>
        <w:t>,</w:t>
      </w:r>
      <w:r w:rsidRPr="00E844C2">
        <w:rPr>
          <w:rFonts w:ascii="Times New Roman" w:hAnsi="Times New Roman"/>
        </w:rPr>
        <w:t>”</w:t>
      </w:r>
      <w:r w:rsidR="00B5304A" w:rsidRPr="00E844C2">
        <w:rPr>
          <w:rFonts w:ascii="Times New Roman" w:hAnsi="Times New Roman"/>
        </w:rPr>
        <w:t xml:space="preserve"> </w:t>
      </w:r>
      <w:r w:rsidRPr="00E844C2">
        <w:rPr>
          <w:rFonts w:ascii="Times New Roman" w:hAnsi="Times New Roman"/>
        </w:rPr>
        <w:t xml:space="preserve">blank or missing, and the </w:t>
      </w:r>
      <w:r w:rsidR="005D6681">
        <w:rPr>
          <w:rFonts w:ascii="Times New Roman" w:hAnsi="Times New Roman"/>
        </w:rPr>
        <w:t>P</w:t>
      </w:r>
      <w:r w:rsidRPr="00E844C2">
        <w:rPr>
          <w:rFonts w:ascii="Times New Roman" w:hAnsi="Times New Roman"/>
        </w:rPr>
        <w:t xml:space="preserve">hysician </w:t>
      </w:r>
      <w:r w:rsidR="005D6681">
        <w:rPr>
          <w:rFonts w:ascii="Times New Roman" w:hAnsi="Times New Roman"/>
        </w:rPr>
        <w:t>S</w:t>
      </w:r>
      <w:r w:rsidRPr="00E844C2">
        <w:rPr>
          <w:rFonts w:ascii="Times New Roman" w:hAnsi="Times New Roman"/>
        </w:rPr>
        <w:t xml:space="preserve">pecialty and </w:t>
      </w:r>
      <w:r w:rsidR="003B4269">
        <w:rPr>
          <w:rFonts w:ascii="Times New Roman" w:hAnsi="Times New Roman"/>
        </w:rPr>
        <w:t>H</w:t>
      </w:r>
      <w:r w:rsidRPr="00E844C2">
        <w:rPr>
          <w:rFonts w:ascii="Times New Roman" w:hAnsi="Times New Roman"/>
        </w:rPr>
        <w:t xml:space="preserve">ospital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 xml:space="preserve">ervice was one of the following combinations:  </w:t>
      </w:r>
    </w:p>
    <w:p w14:paraId="2488A2DB" w14:textId="2307ADBD" w:rsidR="00337B33" w:rsidRPr="00E844C2" w:rsidRDefault="00337B33" w:rsidP="00337B33">
      <w:pPr>
        <w:pStyle w:val="ListParagraph"/>
        <w:numPr>
          <w:ilvl w:val="0"/>
          <w:numId w:val="40"/>
        </w:numPr>
        <w:spacing w:after="160" w:line="259" w:lineRule="auto"/>
        <w:contextualSpacing/>
        <w:rPr>
          <w:rFonts w:ascii="Times New Roman" w:hAnsi="Times New Roman"/>
        </w:rPr>
      </w:pPr>
      <w:r w:rsidRPr="00E844C2">
        <w:rPr>
          <w:rFonts w:ascii="Times New Roman" w:hAnsi="Times New Roman"/>
        </w:rPr>
        <w:t xml:space="preserve">Anesthesiology or Surgery, with any </w:t>
      </w:r>
      <w:r w:rsidR="005D6681">
        <w:rPr>
          <w:rFonts w:ascii="Times New Roman" w:hAnsi="Times New Roman"/>
        </w:rPr>
        <w:t>L</w:t>
      </w:r>
      <w:r w:rsidRPr="00E844C2">
        <w:rPr>
          <w:rFonts w:ascii="Times New Roman" w:hAnsi="Times New Roman"/>
        </w:rPr>
        <w:t xml:space="preserve">ocation of </w:t>
      </w:r>
      <w:proofErr w:type="gramStart"/>
      <w:r w:rsidR="005D6681">
        <w:rPr>
          <w:rFonts w:ascii="Times New Roman" w:hAnsi="Times New Roman"/>
        </w:rPr>
        <w:t>S</w:t>
      </w:r>
      <w:r w:rsidRPr="00E844C2">
        <w:rPr>
          <w:rFonts w:ascii="Times New Roman" w:hAnsi="Times New Roman"/>
        </w:rPr>
        <w:t>ervice;</w:t>
      </w:r>
      <w:proofErr w:type="gramEnd"/>
    </w:p>
    <w:p w14:paraId="28DC6987" w14:textId="4F3E0C25" w:rsidR="00337B33" w:rsidRPr="00E844C2" w:rsidRDefault="00337B33" w:rsidP="00337B33">
      <w:pPr>
        <w:pStyle w:val="ListParagraph"/>
        <w:numPr>
          <w:ilvl w:val="0"/>
          <w:numId w:val="40"/>
        </w:numPr>
        <w:spacing w:after="160" w:line="259" w:lineRule="auto"/>
        <w:contextualSpacing/>
        <w:rPr>
          <w:rFonts w:ascii="Times New Roman" w:hAnsi="Times New Roman"/>
        </w:rPr>
      </w:pPr>
      <w:r w:rsidRPr="00E844C2">
        <w:rPr>
          <w:rFonts w:ascii="Times New Roman" w:hAnsi="Times New Roman"/>
        </w:rPr>
        <w:t xml:space="preserve">General/Family Practice, Internal Medicine, Psychiatry, or missing specialty with Hospital Inpatient or Institution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 or</w:t>
      </w:r>
    </w:p>
    <w:p w14:paraId="2AC91BD6" w14:textId="26353A62" w:rsidR="00337B33" w:rsidRPr="00E844C2" w:rsidRDefault="00337B33" w:rsidP="00337B33">
      <w:pPr>
        <w:pStyle w:val="ListParagraph"/>
        <w:numPr>
          <w:ilvl w:val="0"/>
          <w:numId w:val="40"/>
        </w:numPr>
        <w:spacing w:after="160" w:line="259" w:lineRule="auto"/>
        <w:contextualSpacing/>
        <w:rPr>
          <w:rFonts w:ascii="Times New Roman" w:hAnsi="Times New Roman"/>
        </w:rPr>
      </w:pPr>
      <w:r w:rsidRPr="00E844C2">
        <w:rPr>
          <w:rFonts w:ascii="Times New Roman" w:hAnsi="Times New Roman"/>
        </w:rPr>
        <w:t xml:space="preserve">OB/GYN or Pediatrics with Hospital Inpatient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w:t>
      </w:r>
    </w:p>
    <w:p w14:paraId="54308689" w14:textId="515A15CF" w:rsidR="00337B33" w:rsidRPr="00E844C2" w:rsidRDefault="00337B33" w:rsidP="00CC4F06">
      <w:pPr>
        <w:pStyle w:val="BodyText"/>
        <w:rPr>
          <w:u w:val="single"/>
          <w:lang w:val="en-US"/>
        </w:rPr>
      </w:pPr>
      <w:r w:rsidRPr="00E844C2">
        <w:rPr>
          <w:u w:val="single"/>
          <w:lang w:val="en-US"/>
        </w:rPr>
        <w:t>Medium</w:t>
      </w:r>
    </w:p>
    <w:p w14:paraId="3A0F4B27" w14:textId="09392736" w:rsidR="00337B33" w:rsidRPr="00E844C2" w:rsidRDefault="00337B33" w:rsidP="00337B33">
      <w:pPr>
        <w:rPr>
          <w:rFonts w:ascii="Times New Roman" w:hAnsi="Times New Roman"/>
        </w:rPr>
      </w:pPr>
      <w:r w:rsidRPr="00E844C2">
        <w:rPr>
          <w:rFonts w:ascii="Times New Roman" w:hAnsi="Times New Roman"/>
        </w:rPr>
        <w:t xml:space="preserve">“Medium” priority was assigned when the physician’s role was “Active Physician/Providing Direct Care,” “Don’t know,” blank or missing and the </w:t>
      </w:r>
      <w:r w:rsidR="005D6681">
        <w:rPr>
          <w:rFonts w:ascii="Times New Roman" w:hAnsi="Times New Roman"/>
        </w:rPr>
        <w:t>P</w:t>
      </w:r>
      <w:r w:rsidRPr="00E844C2">
        <w:rPr>
          <w:rFonts w:ascii="Times New Roman" w:hAnsi="Times New Roman"/>
        </w:rPr>
        <w:t xml:space="preserve">hysician </w:t>
      </w:r>
      <w:r w:rsidR="005D6681">
        <w:rPr>
          <w:rFonts w:ascii="Times New Roman" w:hAnsi="Times New Roman"/>
        </w:rPr>
        <w:t>S</w:t>
      </w:r>
      <w:r w:rsidRPr="00E844C2">
        <w:rPr>
          <w:rFonts w:ascii="Times New Roman" w:hAnsi="Times New Roman"/>
        </w:rPr>
        <w:t xml:space="preserve">pecialty,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 xml:space="preserve">ervice, and </w:t>
      </w:r>
      <w:r w:rsidR="003B4269">
        <w:rPr>
          <w:rFonts w:ascii="Times New Roman" w:hAnsi="Times New Roman"/>
        </w:rPr>
        <w:t>H</w:t>
      </w:r>
      <w:r w:rsidRPr="00E844C2">
        <w:rPr>
          <w:rFonts w:ascii="Times New Roman" w:hAnsi="Times New Roman"/>
        </w:rPr>
        <w:t>ospital event CPT codes were one of the following combinations:</w:t>
      </w:r>
    </w:p>
    <w:p w14:paraId="77C2ED68" w14:textId="4322E4FA" w:rsidR="00337B33" w:rsidRPr="00E844C2" w:rsidRDefault="00337B33" w:rsidP="00337B33">
      <w:pPr>
        <w:pStyle w:val="ListParagraph"/>
        <w:numPr>
          <w:ilvl w:val="0"/>
          <w:numId w:val="41"/>
        </w:numPr>
        <w:spacing w:after="160" w:line="259" w:lineRule="auto"/>
        <w:contextualSpacing/>
        <w:rPr>
          <w:rFonts w:ascii="Times New Roman" w:hAnsi="Times New Roman"/>
        </w:rPr>
      </w:pPr>
      <w:r w:rsidRPr="00E844C2">
        <w:rPr>
          <w:rFonts w:ascii="Times New Roman" w:hAnsi="Times New Roman"/>
        </w:rPr>
        <w:t xml:space="preserve">OB/GYN or Pathology (excluding pathology with pathology CPT codes for the event only in the range 80000-84999), with Outpatient </w:t>
      </w:r>
      <w:r w:rsidR="005D6681">
        <w:rPr>
          <w:rFonts w:ascii="Times New Roman" w:hAnsi="Times New Roman"/>
        </w:rPr>
        <w:t>L</w:t>
      </w:r>
      <w:r w:rsidRPr="00E844C2">
        <w:rPr>
          <w:rFonts w:ascii="Times New Roman" w:hAnsi="Times New Roman"/>
        </w:rPr>
        <w:t xml:space="preserve">ocation of </w:t>
      </w:r>
      <w:proofErr w:type="gramStart"/>
      <w:r w:rsidR="005D6681">
        <w:rPr>
          <w:rFonts w:ascii="Times New Roman" w:hAnsi="Times New Roman"/>
        </w:rPr>
        <w:t>S</w:t>
      </w:r>
      <w:r w:rsidRPr="00E844C2">
        <w:rPr>
          <w:rFonts w:ascii="Times New Roman" w:hAnsi="Times New Roman"/>
        </w:rPr>
        <w:t>ervice;</w:t>
      </w:r>
      <w:proofErr w:type="gramEnd"/>
    </w:p>
    <w:p w14:paraId="0C1AB19C" w14:textId="08767F89" w:rsidR="00337B33" w:rsidRPr="00E844C2" w:rsidRDefault="00337B33" w:rsidP="00337B33">
      <w:pPr>
        <w:pStyle w:val="ListParagraph"/>
        <w:numPr>
          <w:ilvl w:val="0"/>
          <w:numId w:val="41"/>
        </w:numPr>
        <w:spacing w:after="160" w:line="259" w:lineRule="auto"/>
        <w:contextualSpacing/>
        <w:rPr>
          <w:rFonts w:ascii="Times New Roman" w:hAnsi="Times New Roman"/>
        </w:rPr>
      </w:pPr>
      <w:r w:rsidRPr="00E844C2">
        <w:rPr>
          <w:rFonts w:ascii="Times New Roman" w:hAnsi="Times New Roman"/>
        </w:rPr>
        <w:t xml:space="preserve">“Other” specialty with Emergency Room (ER), Hospital Inpatient, or Institution </w:t>
      </w:r>
      <w:r w:rsidR="005D6681">
        <w:rPr>
          <w:rFonts w:ascii="Times New Roman" w:hAnsi="Times New Roman"/>
        </w:rPr>
        <w:t>L</w:t>
      </w:r>
      <w:r w:rsidRPr="00E844C2">
        <w:rPr>
          <w:rFonts w:ascii="Times New Roman" w:hAnsi="Times New Roman"/>
        </w:rPr>
        <w:t xml:space="preserve">ocation of </w:t>
      </w:r>
      <w:proofErr w:type="gramStart"/>
      <w:r w:rsidR="005D6681">
        <w:rPr>
          <w:rFonts w:ascii="Times New Roman" w:hAnsi="Times New Roman"/>
        </w:rPr>
        <w:t>S</w:t>
      </w:r>
      <w:r w:rsidRPr="00E844C2">
        <w:rPr>
          <w:rFonts w:ascii="Times New Roman" w:hAnsi="Times New Roman"/>
        </w:rPr>
        <w:t>ervice;</w:t>
      </w:r>
      <w:proofErr w:type="gramEnd"/>
    </w:p>
    <w:p w14:paraId="771C66D7" w14:textId="48C850C3" w:rsidR="00337B33" w:rsidRPr="00E844C2" w:rsidRDefault="00337B33" w:rsidP="00337B33">
      <w:pPr>
        <w:pStyle w:val="ListParagraph"/>
        <w:numPr>
          <w:ilvl w:val="0"/>
          <w:numId w:val="41"/>
        </w:numPr>
        <w:spacing w:after="160" w:line="259" w:lineRule="auto"/>
        <w:contextualSpacing/>
        <w:rPr>
          <w:rFonts w:ascii="Times New Roman" w:hAnsi="Times New Roman"/>
        </w:rPr>
      </w:pPr>
      <w:r w:rsidRPr="00E844C2">
        <w:rPr>
          <w:rFonts w:ascii="Times New Roman" w:hAnsi="Times New Roman"/>
        </w:rPr>
        <w:t xml:space="preserve">Pathology with Hospital Inpatient or Institution </w:t>
      </w:r>
      <w:r w:rsidR="005D6681">
        <w:rPr>
          <w:rFonts w:ascii="Times New Roman" w:hAnsi="Times New Roman"/>
        </w:rPr>
        <w:t>L</w:t>
      </w:r>
      <w:r w:rsidRPr="00E844C2">
        <w:rPr>
          <w:rFonts w:ascii="Times New Roman" w:hAnsi="Times New Roman"/>
        </w:rPr>
        <w:t xml:space="preserve">ocation of </w:t>
      </w:r>
      <w:proofErr w:type="gramStart"/>
      <w:r w:rsidR="005D6681">
        <w:rPr>
          <w:rFonts w:ascii="Times New Roman" w:hAnsi="Times New Roman"/>
        </w:rPr>
        <w:t>S</w:t>
      </w:r>
      <w:r w:rsidRPr="00E844C2">
        <w:rPr>
          <w:rFonts w:ascii="Times New Roman" w:hAnsi="Times New Roman"/>
        </w:rPr>
        <w:t>ervice;</w:t>
      </w:r>
      <w:proofErr w:type="gramEnd"/>
      <w:r w:rsidRPr="00E844C2">
        <w:rPr>
          <w:rFonts w:ascii="Times New Roman" w:hAnsi="Times New Roman"/>
        </w:rPr>
        <w:t xml:space="preserve"> </w:t>
      </w:r>
    </w:p>
    <w:p w14:paraId="17A236A7" w14:textId="71B9F023" w:rsidR="00337B33" w:rsidRPr="00E844C2" w:rsidRDefault="00337B33" w:rsidP="00337B33">
      <w:pPr>
        <w:pStyle w:val="ListParagraph"/>
        <w:numPr>
          <w:ilvl w:val="0"/>
          <w:numId w:val="41"/>
        </w:numPr>
        <w:spacing w:after="160" w:line="259" w:lineRule="auto"/>
        <w:contextualSpacing/>
        <w:rPr>
          <w:rFonts w:ascii="Times New Roman" w:hAnsi="Times New Roman"/>
        </w:rPr>
      </w:pPr>
      <w:r w:rsidRPr="00E844C2">
        <w:rPr>
          <w:rFonts w:ascii="Times New Roman" w:hAnsi="Times New Roman"/>
        </w:rPr>
        <w:t xml:space="preserve">Pediatrics, Psychiatry, or missing specialty with ER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 or</w:t>
      </w:r>
    </w:p>
    <w:p w14:paraId="4517518D" w14:textId="45B69030" w:rsidR="00337B33" w:rsidRPr="00E844C2" w:rsidRDefault="00337B33" w:rsidP="00337B33">
      <w:pPr>
        <w:pStyle w:val="ListParagraph"/>
        <w:numPr>
          <w:ilvl w:val="0"/>
          <w:numId w:val="41"/>
        </w:numPr>
        <w:spacing w:after="160" w:line="259" w:lineRule="auto"/>
        <w:contextualSpacing/>
        <w:rPr>
          <w:rFonts w:ascii="Times New Roman" w:hAnsi="Times New Roman"/>
        </w:rPr>
      </w:pPr>
      <w:r w:rsidRPr="00E844C2">
        <w:rPr>
          <w:rFonts w:ascii="Times New Roman" w:hAnsi="Times New Roman"/>
        </w:rPr>
        <w:t xml:space="preserve">Radiology with any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w:t>
      </w:r>
    </w:p>
    <w:p w14:paraId="1B414E78" w14:textId="77777777" w:rsidR="00503AA1" w:rsidRDefault="00503AA1" w:rsidP="00CC4F06">
      <w:pPr>
        <w:pStyle w:val="BodyText"/>
        <w:rPr>
          <w:u w:val="single"/>
          <w:lang w:val="en-US"/>
        </w:rPr>
      </w:pPr>
    </w:p>
    <w:p w14:paraId="6FBF82DB" w14:textId="77777777" w:rsidR="00503AA1" w:rsidRDefault="00503AA1" w:rsidP="00CC4F06">
      <w:pPr>
        <w:pStyle w:val="BodyText"/>
        <w:rPr>
          <w:u w:val="single"/>
          <w:lang w:val="en-US"/>
        </w:rPr>
      </w:pPr>
    </w:p>
    <w:p w14:paraId="29182811" w14:textId="75EF132C" w:rsidR="00337B33" w:rsidRPr="00E844C2" w:rsidRDefault="00337B33" w:rsidP="00CC4F06">
      <w:pPr>
        <w:pStyle w:val="BodyText"/>
        <w:rPr>
          <w:u w:val="single"/>
          <w:lang w:val="en-US"/>
        </w:rPr>
      </w:pPr>
      <w:r w:rsidRPr="00E844C2">
        <w:rPr>
          <w:u w:val="single"/>
          <w:lang w:val="en-US"/>
        </w:rPr>
        <w:t>Low</w:t>
      </w:r>
    </w:p>
    <w:p w14:paraId="3233F1F2" w14:textId="12CF0CD9" w:rsidR="00337B33" w:rsidRPr="00E844C2" w:rsidRDefault="00337B33" w:rsidP="00337B33">
      <w:pPr>
        <w:rPr>
          <w:rFonts w:ascii="Times New Roman" w:hAnsi="Times New Roman"/>
        </w:rPr>
      </w:pPr>
      <w:r w:rsidRPr="00E844C2">
        <w:rPr>
          <w:rFonts w:ascii="Times New Roman" w:hAnsi="Times New Roman"/>
        </w:rPr>
        <w:t xml:space="preserve">“Low” priority was assigned when the physician’s role was “Active Physician/Providing Direct Care,” “Don’t know,” blank or missing and the </w:t>
      </w:r>
      <w:r w:rsidR="005D6681">
        <w:rPr>
          <w:rFonts w:ascii="Times New Roman" w:hAnsi="Times New Roman"/>
        </w:rPr>
        <w:t>P</w:t>
      </w:r>
      <w:r w:rsidRPr="00E844C2">
        <w:rPr>
          <w:rFonts w:ascii="Times New Roman" w:hAnsi="Times New Roman"/>
        </w:rPr>
        <w:t xml:space="preserve">hysician </w:t>
      </w:r>
      <w:r w:rsidR="005D6681">
        <w:rPr>
          <w:rFonts w:ascii="Times New Roman" w:hAnsi="Times New Roman"/>
        </w:rPr>
        <w:t>S</w:t>
      </w:r>
      <w:r w:rsidRPr="00E844C2">
        <w:rPr>
          <w:rFonts w:ascii="Times New Roman" w:hAnsi="Times New Roman"/>
        </w:rPr>
        <w:t xml:space="preserve">pecialty,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 xml:space="preserve">ervice, and </w:t>
      </w:r>
      <w:r w:rsidR="003B4269">
        <w:rPr>
          <w:rFonts w:ascii="Times New Roman" w:hAnsi="Times New Roman"/>
        </w:rPr>
        <w:t>H</w:t>
      </w:r>
      <w:r w:rsidRPr="00E844C2">
        <w:rPr>
          <w:rFonts w:ascii="Times New Roman" w:hAnsi="Times New Roman"/>
        </w:rPr>
        <w:t>ospital event CPT codes were one of the following combinations</w:t>
      </w:r>
      <w:r w:rsidR="009B2644" w:rsidRPr="00E844C2">
        <w:rPr>
          <w:rFonts w:ascii="Times New Roman" w:hAnsi="Times New Roman"/>
        </w:rPr>
        <w:t>:</w:t>
      </w:r>
    </w:p>
    <w:p w14:paraId="0DD5A2E4" w14:textId="6BCC41DB" w:rsidR="00337B33" w:rsidRPr="00E844C2" w:rsidRDefault="00337B33" w:rsidP="00337B33">
      <w:pPr>
        <w:pStyle w:val="ListParagraph"/>
        <w:numPr>
          <w:ilvl w:val="0"/>
          <w:numId w:val="42"/>
        </w:numPr>
        <w:spacing w:after="160" w:line="259" w:lineRule="auto"/>
        <w:contextualSpacing/>
        <w:rPr>
          <w:rFonts w:ascii="Times New Roman" w:hAnsi="Times New Roman"/>
        </w:rPr>
      </w:pPr>
      <w:r w:rsidRPr="00E844C2">
        <w:rPr>
          <w:rFonts w:ascii="Times New Roman" w:hAnsi="Times New Roman"/>
        </w:rPr>
        <w:t xml:space="preserve">General/Family Practice or Internal Medicine, with ER or Outpatient </w:t>
      </w:r>
      <w:r w:rsidR="005D6681">
        <w:rPr>
          <w:rFonts w:ascii="Times New Roman" w:hAnsi="Times New Roman"/>
        </w:rPr>
        <w:t>L</w:t>
      </w:r>
      <w:r w:rsidRPr="00E844C2">
        <w:rPr>
          <w:rFonts w:ascii="Times New Roman" w:hAnsi="Times New Roman"/>
        </w:rPr>
        <w:t xml:space="preserve">ocation of </w:t>
      </w:r>
      <w:proofErr w:type="gramStart"/>
      <w:r w:rsidR="005D6681">
        <w:rPr>
          <w:rFonts w:ascii="Times New Roman" w:hAnsi="Times New Roman"/>
        </w:rPr>
        <w:t>S</w:t>
      </w:r>
      <w:r w:rsidRPr="00E844C2">
        <w:rPr>
          <w:rFonts w:ascii="Times New Roman" w:hAnsi="Times New Roman"/>
        </w:rPr>
        <w:t>ervice;</w:t>
      </w:r>
      <w:proofErr w:type="gramEnd"/>
    </w:p>
    <w:p w14:paraId="57D6AD5D" w14:textId="2C2C9881" w:rsidR="00337B33" w:rsidRPr="00E844C2" w:rsidRDefault="00337B33" w:rsidP="00337B33">
      <w:pPr>
        <w:pStyle w:val="ListParagraph"/>
        <w:numPr>
          <w:ilvl w:val="0"/>
          <w:numId w:val="42"/>
        </w:numPr>
        <w:spacing w:after="160" w:line="259" w:lineRule="auto"/>
        <w:contextualSpacing/>
        <w:rPr>
          <w:rFonts w:ascii="Times New Roman" w:hAnsi="Times New Roman"/>
        </w:rPr>
      </w:pPr>
      <w:r w:rsidRPr="00E844C2">
        <w:rPr>
          <w:rFonts w:ascii="Times New Roman" w:hAnsi="Times New Roman"/>
        </w:rPr>
        <w:t xml:space="preserve">Pediatrics, Psychiatry, Other specialty, missing specialty, or Pathology (with pathology CPT codes for the </w:t>
      </w:r>
      <w:r w:rsidR="003B4269">
        <w:rPr>
          <w:rFonts w:ascii="Times New Roman" w:hAnsi="Times New Roman"/>
        </w:rPr>
        <w:t>H</w:t>
      </w:r>
      <w:r w:rsidRPr="00E844C2">
        <w:rPr>
          <w:rFonts w:ascii="Times New Roman" w:hAnsi="Times New Roman"/>
        </w:rPr>
        <w:t xml:space="preserve">ospital event in the range 80000-84999 only), with Outpatient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 or</w:t>
      </w:r>
    </w:p>
    <w:p w14:paraId="61C5ACE3" w14:textId="07D4A932" w:rsidR="00337B33" w:rsidRPr="00E844C2" w:rsidRDefault="00337B33" w:rsidP="00337B33">
      <w:pPr>
        <w:pStyle w:val="ListParagraph"/>
        <w:numPr>
          <w:ilvl w:val="0"/>
          <w:numId w:val="42"/>
        </w:numPr>
        <w:spacing w:after="160" w:line="259" w:lineRule="auto"/>
        <w:contextualSpacing/>
        <w:rPr>
          <w:rFonts w:ascii="Times New Roman" w:hAnsi="Times New Roman"/>
        </w:rPr>
      </w:pPr>
      <w:r w:rsidRPr="00E844C2">
        <w:rPr>
          <w:rFonts w:ascii="Times New Roman" w:hAnsi="Times New Roman"/>
        </w:rPr>
        <w:lastRenderedPageBreak/>
        <w:t xml:space="preserve">OB/GYN or Pathology with ER </w:t>
      </w:r>
      <w:r w:rsidR="005D6681">
        <w:rPr>
          <w:rFonts w:ascii="Times New Roman" w:hAnsi="Times New Roman"/>
        </w:rPr>
        <w:t>L</w:t>
      </w:r>
      <w:r w:rsidRPr="00E844C2">
        <w:rPr>
          <w:rFonts w:ascii="Times New Roman" w:hAnsi="Times New Roman"/>
        </w:rPr>
        <w:t xml:space="preserve">ocation of </w:t>
      </w:r>
      <w:r w:rsidR="005D6681">
        <w:rPr>
          <w:rFonts w:ascii="Times New Roman" w:hAnsi="Times New Roman"/>
        </w:rPr>
        <w:t>S</w:t>
      </w:r>
      <w:r w:rsidRPr="00E844C2">
        <w:rPr>
          <w:rFonts w:ascii="Times New Roman" w:hAnsi="Times New Roman"/>
        </w:rPr>
        <w:t>ervice</w:t>
      </w:r>
      <w:r w:rsidR="006E0C1B">
        <w:rPr>
          <w:rFonts w:ascii="Times New Roman" w:hAnsi="Times New Roman"/>
        </w:rPr>
        <w:t xml:space="preserve"> </w:t>
      </w:r>
    </w:p>
    <w:p w14:paraId="6729C9A9" w14:textId="62A1FDAD" w:rsidR="00337B33" w:rsidRPr="00E844C2" w:rsidRDefault="00337B33" w:rsidP="00337B33">
      <w:pPr>
        <w:rPr>
          <w:rFonts w:ascii="Times New Roman" w:hAnsi="Times New Roman"/>
        </w:rPr>
      </w:pPr>
      <w:r w:rsidRPr="00E844C2">
        <w:rPr>
          <w:rFonts w:ascii="Times New Roman" w:hAnsi="Times New Roman"/>
        </w:rPr>
        <w:t xml:space="preserve">“Low” priority was also assigned for all other roles where the </w:t>
      </w:r>
      <w:r w:rsidR="005D6681">
        <w:rPr>
          <w:rFonts w:ascii="Times New Roman" w:hAnsi="Times New Roman"/>
        </w:rPr>
        <w:t>P</w:t>
      </w:r>
      <w:r w:rsidRPr="00E844C2">
        <w:rPr>
          <w:rFonts w:ascii="Times New Roman" w:hAnsi="Times New Roman"/>
        </w:rPr>
        <w:t xml:space="preserve">hysician </w:t>
      </w:r>
      <w:r w:rsidR="005D6681">
        <w:rPr>
          <w:rFonts w:ascii="Times New Roman" w:hAnsi="Times New Roman"/>
        </w:rPr>
        <w:t>S</w:t>
      </w:r>
      <w:r w:rsidRPr="00E844C2">
        <w:rPr>
          <w:rFonts w:ascii="Times New Roman" w:hAnsi="Times New Roman"/>
        </w:rPr>
        <w:t xml:space="preserve">pecialty was Surgery, </w:t>
      </w:r>
    </w:p>
    <w:p w14:paraId="6B4D8322" w14:textId="492A3947" w:rsidR="00337B33" w:rsidRPr="00E844C2" w:rsidRDefault="00337B33" w:rsidP="003B4269">
      <w:pPr>
        <w:spacing w:after="240"/>
        <w:rPr>
          <w:rFonts w:ascii="Times New Roman" w:hAnsi="Times New Roman"/>
        </w:rPr>
      </w:pPr>
      <w:r w:rsidRPr="00E844C2">
        <w:rPr>
          <w:rFonts w:ascii="Times New Roman" w:hAnsi="Times New Roman"/>
        </w:rPr>
        <w:t>Radiology, OB/GYN, or Anesthesiology.</w:t>
      </w:r>
    </w:p>
    <w:p w14:paraId="643199FF" w14:textId="3A9CB794" w:rsidR="00337B33" w:rsidRPr="00E844C2" w:rsidRDefault="00337B33" w:rsidP="00CC4F06">
      <w:pPr>
        <w:pStyle w:val="BodyText"/>
        <w:rPr>
          <w:u w:val="single"/>
          <w:lang w:val="en-US"/>
        </w:rPr>
      </w:pPr>
      <w:r w:rsidRPr="00E844C2">
        <w:rPr>
          <w:u w:val="single"/>
          <w:lang w:val="en-US"/>
        </w:rPr>
        <w:t>Extra Low</w:t>
      </w:r>
    </w:p>
    <w:p w14:paraId="30492678" w14:textId="05EA40FE" w:rsidR="00337B33" w:rsidRPr="00337B33" w:rsidRDefault="00337B33" w:rsidP="00337B33">
      <w:pPr>
        <w:rPr>
          <w:rFonts w:ascii="Times New Roman" w:hAnsi="Times New Roman"/>
        </w:rPr>
      </w:pPr>
      <w:r w:rsidRPr="00E844C2">
        <w:rPr>
          <w:rFonts w:ascii="Times New Roman" w:hAnsi="Times New Roman"/>
        </w:rPr>
        <w:t xml:space="preserve">“Extra Low” priority was assigned for all other roles and specialties (that is, the physician role was something other than “Active Physician/Providing Direct Care,” “Don’t know,” blank or missing and the </w:t>
      </w:r>
      <w:r w:rsidR="005D6681">
        <w:rPr>
          <w:rFonts w:ascii="Times New Roman" w:hAnsi="Times New Roman"/>
        </w:rPr>
        <w:t>P</w:t>
      </w:r>
      <w:r w:rsidRPr="00E844C2">
        <w:rPr>
          <w:rFonts w:ascii="Times New Roman" w:hAnsi="Times New Roman"/>
        </w:rPr>
        <w:t xml:space="preserve">hysician </w:t>
      </w:r>
      <w:r w:rsidR="005D6681">
        <w:rPr>
          <w:rFonts w:ascii="Times New Roman" w:hAnsi="Times New Roman"/>
        </w:rPr>
        <w:t>S</w:t>
      </w:r>
      <w:r w:rsidRPr="00E844C2">
        <w:rPr>
          <w:rFonts w:ascii="Times New Roman" w:hAnsi="Times New Roman"/>
        </w:rPr>
        <w:t>pecialty was “Pathologist,” “Internal Medicine,” “Psychiatry,” “Pediatrics,” “General/Family Practice,” or” Other”).</w:t>
      </w:r>
    </w:p>
    <w:p w14:paraId="37406C1D" w14:textId="4D1F7DEA" w:rsidR="00DD6A73" w:rsidRDefault="00FD4C46" w:rsidP="00503AA1">
      <w:pPr>
        <w:pStyle w:val="BodyText"/>
        <w:rPr>
          <w:b/>
        </w:rPr>
      </w:pPr>
      <w:r>
        <w:rPr>
          <w:lang w:val="en-US"/>
        </w:rPr>
        <w:t>In 2019</w:t>
      </w:r>
      <w:r w:rsidR="00BA1232">
        <w:rPr>
          <w:lang w:val="en-US"/>
        </w:rPr>
        <w:t>-</w:t>
      </w:r>
      <w:r w:rsidR="00A86265">
        <w:rPr>
          <w:lang w:val="en-US"/>
        </w:rPr>
        <w:t>202</w:t>
      </w:r>
      <w:r w:rsidR="00DE593F">
        <w:rPr>
          <w:lang w:val="en-US"/>
        </w:rPr>
        <w:t>2</w:t>
      </w:r>
      <w:r w:rsidR="007024D3">
        <w:rPr>
          <w:lang w:val="en-US"/>
        </w:rPr>
        <w:t xml:space="preserve"> </w:t>
      </w:r>
      <w:r w:rsidR="00426B03">
        <w:rPr>
          <w:lang w:val="en-US"/>
        </w:rPr>
        <w:t>with four sampling priority strata</w:t>
      </w:r>
      <w:r>
        <w:rPr>
          <w:lang w:val="en-US"/>
        </w:rPr>
        <w:t xml:space="preserve">, </w:t>
      </w:r>
      <w:proofErr w:type="gramStart"/>
      <w:r>
        <w:rPr>
          <w:lang w:val="en-US"/>
        </w:rPr>
        <w:t>all of</w:t>
      </w:r>
      <w:proofErr w:type="gramEnd"/>
      <w:r>
        <w:rPr>
          <w:lang w:val="en-US"/>
        </w:rPr>
        <w:t xml:space="preserve"> the High and Medium priority nodes and subsamples of the Low and Extra Low priority nodes were fielded. </w:t>
      </w:r>
      <w:r w:rsidR="00827F07">
        <w:rPr>
          <w:lang w:val="en-US"/>
        </w:rPr>
        <w:t xml:space="preserve">The MPC </w:t>
      </w:r>
      <w:r w:rsidR="002300E6">
        <w:rPr>
          <w:lang w:val="en-US"/>
        </w:rPr>
        <w:t>team expects</w:t>
      </w:r>
      <w:r>
        <w:rPr>
          <w:lang w:val="en-US"/>
        </w:rPr>
        <w:t xml:space="preserve"> that the </w:t>
      </w:r>
      <w:r w:rsidR="007024D3">
        <w:rPr>
          <w:lang w:val="en-US"/>
        </w:rPr>
        <w:t>202</w:t>
      </w:r>
      <w:r w:rsidR="002162A2">
        <w:rPr>
          <w:lang w:val="en-US"/>
        </w:rPr>
        <w:t>3</w:t>
      </w:r>
      <w:r w:rsidR="007024D3">
        <w:rPr>
          <w:lang w:val="en-US"/>
        </w:rPr>
        <w:t xml:space="preserve"> </w:t>
      </w:r>
      <w:r>
        <w:rPr>
          <w:lang w:val="en-US"/>
        </w:rPr>
        <w:t xml:space="preserve">SBD nodes </w:t>
      </w:r>
      <w:r w:rsidR="006D4950">
        <w:rPr>
          <w:lang w:val="en-US"/>
        </w:rPr>
        <w:t xml:space="preserve">will be </w:t>
      </w:r>
      <w:r w:rsidR="00023F1C">
        <w:rPr>
          <w:lang w:val="en-US"/>
        </w:rPr>
        <w:t xml:space="preserve">subsampled </w:t>
      </w:r>
      <w:r w:rsidR="006D4950">
        <w:rPr>
          <w:lang w:val="en-US"/>
        </w:rPr>
        <w:t>similarly</w:t>
      </w:r>
      <w:r>
        <w:rPr>
          <w:lang w:val="en-US"/>
        </w:rPr>
        <w:t xml:space="preserve"> to the </w:t>
      </w:r>
      <w:r w:rsidR="00A86265">
        <w:rPr>
          <w:lang w:val="en-US"/>
        </w:rPr>
        <w:t xml:space="preserve">prior </w:t>
      </w:r>
      <w:r w:rsidR="00DE593F">
        <w:rPr>
          <w:lang w:val="en-US"/>
        </w:rPr>
        <w:t>four</w:t>
      </w:r>
      <w:r w:rsidR="00A86265">
        <w:rPr>
          <w:lang w:val="en-US"/>
        </w:rPr>
        <w:t xml:space="preserve"> years’</w:t>
      </w:r>
      <w:r>
        <w:rPr>
          <w:lang w:val="en-US"/>
        </w:rPr>
        <w:t xml:space="preserve"> nodes</w:t>
      </w:r>
      <w:r w:rsidR="00023F1C">
        <w:rPr>
          <w:lang w:val="en-US"/>
        </w:rPr>
        <w:t>, unless AHRQ</w:t>
      </w:r>
      <w:r w:rsidR="006D4950">
        <w:rPr>
          <w:lang w:val="en-US"/>
        </w:rPr>
        <w:t xml:space="preserve"> </w:t>
      </w:r>
      <w:r w:rsidR="00433B37">
        <w:rPr>
          <w:lang w:val="en-US"/>
        </w:rPr>
        <w:t>provides different direction</w:t>
      </w:r>
      <w:r w:rsidR="006D4950">
        <w:rPr>
          <w:lang w:val="en-US"/>
        </w:rPr>
        <w:t xml:space="preserve">. </w:t>
      </w:r>
      <w:r w:rsidR="00474720" w:rsidRPr="00E278E7">
        <w:rPr>
          <w:b/>
          <w:bCs/>
          <w:i/>
          <w:iCs/>
        </w:rPr>
        <w:t xml:space="preserve">Exhibit </w:t>
      </w:r>
      <w:r w:rsidR="00411516">
        <w:rPr>
          <w:b/>
          <w:bCs/>
          <w:i/>
          <w:iCs/>
          <w:lang w:val="en-US"/>
        </w:rPr>
        <w:t>2</w:t>
      </w:r>
      <w:r w:rsidR="00474720" w:rsidRPr="00B549B4">
        <w:t xml:space="preserve"> </w:t>
      </w:r>
      <w:r w:rsidR="00641C8E" w:rsidRPr="00B549B4">
        <w:t xml:space="preserve">provides the </w:t>
      </w:r>
      <w:r w:rsidR="00A86265" w:rsidRPr="00B549B4">
        <w:t>20</w:t>
      </w:r>
      <w:r w:rsidR="00A86265">
        <w:rPr>
          <w:lang w:val="en-US"/>
        </w:rPr>
        <w:t>2</w:t>
      </w:r>
      <w:r w:rsidR="0024575F">
        <w:rPr>
          <w:lang w:val="en-US"/>
        </w:rPr>
        <w:t>2</w:t>
      </w:r>
      <w:r w:rsidR="00A86265">
        <w:rPr>
          <w:lang w:val="en-US"/>
        </w:rPr>
        <w:t xml:space="preserve"> </w:t>
      </w:r>
      <w:r w:rsidR="00474720" w:rsidRPr="00B549B4">
        <w:t xml:space="preserve">cycle </w:t>
      </w:r>
      <w:r w:rsidR="00641C8E" w:rsidRPr="00B549B4">
        <w:t>numbers of nodes in each priority status by wave</w:t>
      </w:r>
      <w:r w:rsidR="001609B1">
        <w:rPr>
          <w:lang w:val="en-US"/>
        </w:rPr>
        <w:t>.</w:t>
      </w:r>
      <w:bookmarkStart w:id="26" w:name="_Hlk502933931"/>
    </w:p>
    <w:p w14:paraId="62EB0E5E" w14:textId="77777777" w:rsidR="00E06C7A" w:rsidRDefault="00E06C7A" w:rsidP="005868EA">
      <w:pPr>
        <w:pStyle w:val="BodyText"/>
        <w:rPr>
          <w:b/>
          <w:lang w:val="en-US"/>
        </w:rPr>
      </w:pPr>
    </w:p>
    <w:tbl>
      <w:tblPr>
        <w:tblW w:w="9792" w:type="dxa"/>
        <w:tblInd w:w="108" w:type="dxa"/>
        <w:tblLook w:val="04A0" w:firstRow="1" w:lastRow="0" w:firstColumn="1" w:lastColumn="0" w:noHBand="0" w:noVBand="1"/>
      </w:tblPr>
      <w:tblGrid>
        <w:gridCol w:w="960"/>
        <w:gridCol w:w="2222"/>
        <w:gridCol w:w="222"/>
        <w:gridCol w:w="960"/>
        <w:gridCol w:w="370"/>
        <w:gridCol w:w="1218"/>
        <w:gridCol w:w="960"/>
        <w:gridCol w:w="960"/>
        <w:gridCol w:w="960"/>
        <w:gridCol w:w="960"/>
      </w:tblGrid>
      <w:tr w:rsidR="00910A59" w:rsidRPr="00E06C7A" w14:paraId="25221E1B" w14:textId="77777777" w:rsidTr="0058452A">
        <w:trPr>
          <w:trHeight w:val="288"/>
        </w:trPr>
        <w:tc>
          <w:tcPr>
            <w:tcW w:w="5952" w:type="dxa"/>
            <w:gridSpan w:val="6"/>
            <w:tcBorders>
              <w:top w:val="nil"/>
              <w:left w:val="nil"/>
              <w:bottom w:val="nil"/>
              <w:right w:val="nil"/>
            </w:tcBorders>
            <w:shd w:val="clear" w:color="auto" w:fill="auto"/>
            <w:noWrap/>
            <w:vAlign w:val="bottom"/>
            <w:hideMark/>
          </w:tcPr>
          <w:p w14:paraId="6E930802" w14:textId="4C2E6887" w:rsidR="0058452A" w:rsidRPr="000D0588" w:rsidRDefault="0058452A" w:rsidP="00E06C7A">
            <w:pPr>
              <w:rPr>
                <w:rFonts w:cs="Calibri"/>
                <w:b/>
                <w:bCs/>
                <w:color w:val="000000"/>
                <w:sz w:val="22"/>
                <w:szCs w:val="22"/>
              </w:rPr>
            </w:pPr>
            <w:r w:rsidRPr="000D0588">
              <w:rPr>
                <w:rFonts w:cs="Calibri"/>
                <w:b/>
                <w:bCs/>
                <w:color w:val="000000"/>
                <w:sz w:val="22"/>
                <w:szCs w:val="22"/>
              </w:rPr>
              <w:t>Exhibit 2. 202</w:t>
            </w:r>
            <w:r w:rsidR="0024575F" w:rsidRPr="000D0588">
              <w:rPr>
                <w:rFonts w:cs="Calibri"/>
                <w:b/>
                <w:bCs/>
                <w:color w:val="000000"/>
                <w:sz w:val="22"/>
                <w:szCs w:val="22"/>
              </w:rPr>
              <w:t>2</w:t>
            </w:r>
            <w:r w:rsidRPr="000D0588">
              <w:rPr>
                <w:rFonts w:cs="Calibri"/>
                <w:b/>
                <w:bCs/>
                <w:color w:val="000000"/>
                <w:sz w:val="22"/>
                <w:szCs w:val="22"/>
              </w:rPr>
              <w:t xml:space="preserve"> Number of Nodes Released by Wave</w:t>
            </w:r>
          </w:p>
        </w:tc>
        <w:tc>
          <w:tcPr>
            <w:tcW w:w="960" w:type="dxa"/>
            <w:tcBorders>
              <w:top w:val="nil"/>
              <w:left w:val="nil"/>
              <w:bottom w:val="nil"/>
              <w:right w:val="nil"/>
            </w:tcBorders>
          </w:tcPr>
          <w:p w14:paraId="70742DD5" w14:textId="77777777" w:rsidR="0058452A" w:rsidRPr="00DC26B4" w:rsidRDefault="0058452A" w:rsidP="00E06C7A">
            <w:pPr>
              <w:rPr>
                <w:rFonts w:cs="Calibri"/>
                <w:b/>
                <w:bCs/>
                <w:color w:val="000000"/>
                <w:sz w:val="22"/>
                <w:szCs w:val="22"/>
                <w:highlight w:val="yellow"/>
              </w:rPr>
            </w:pPr>
          </w:p>
        </w:tc>
        <w:tc>
          <w:tcPr>
            <w:tcW w:w="960" w:type="dxa"/>
            <w:tcBorders>
              <w:top w:val="nil"/>
              <w:left w:val="nil"/>
              <w:bottom w:val="nil"/>
              <w:right w:val="nil"/>
            </w:tcBorders>
            <w:shd w:val="clear" w:color="auto" w:fill="auto"/>
            <w:noWrap/>
            <w:vAlign w:val="bottom"/>
            <w:hideMark/>
          </w:tcPr>
          <w:p w14:paraId="19A72918" w14:textId="65D9D2AD" w:rsidR="0058452A" w:rsidRPr="00DC26B4" w:rsidRDefault="0058452A" w:rsidP="00E06C7A">
            <w:pPr>
              <w:rPr>
                <w:rFonts w:cs="Calibri"/>
                <w:b/>
                <w:bCs/>
                <w:color w:val="000000"/>
                <w:sz w:val="22"/>
                <w:szCs w:val="22"/>
                <w:highlight w:val="yellow"/>
              </w:rPr>
            </w:pPr>
          </w:p>
        </w:tc>
        <w:tc>
          <w:tcPr>
            <w:tcW w:w="960" w:type="dxa"/>
            <w:tcBorders>
              <w:top w:val="nil"/>
              <w:left w:val="nil"/>
              <w:bottom w:val="nil"/>
              <w:right w:val="nil"/>
            </w:tcBorders>
            <w:shd w:val="clear" w:color="auto" w:fill="auto"/>
            <w:noWrap/>
            <w:vAlign w:val="bottom"/>
            <w:hideMark/>
          </w:tcPr>
          <w:p w14:paraId="3CE034A4" w14:textId="77777777" w:rsidR="0058452A" w:rsidRPr="00E06C7A" w:rsidRDefault="0058452A" w:rsidP="00E06C7A">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005056E4" w14:textId="77777777" w:rsidR="0058452A" w:rsidRPr="00E06C7A" w:rsidRDefault="0058452A" w:rsidP="00E06C7A">
            <w:pPr>
              <w:rPr>
                <w:rFonts w:ascii="Times New Roman" w:hAnsi="Times New Roman"/>
                <w:sz w:val="20"/>
              </w:rPr>
            </w:pPr>
          </w:p>
        </w:tc>
      </w:tr>
      <w:tr w:rsidR="00CD3B5E" w:rsidRPr="00E06C7A" w14:paraId="4E50DE10"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39990D2A" w14:textId="77777777" w:rsidR="00DB686A" w:rsidRPr="000D0588" w:rsidRDefault="00DB686A" w:rsidP="00E06C7A">
            <w:pPr>
              <w:rPr>
                <w:rFonts w:ascii="Times New Roman" w:hAnsi="Times New Roman"/>
                <w:sz w:val="20"/>
              </w:rPr>
            </w:pPr>
          </w:p>
          <w:p w14:paraId="28E9AAE8" w14:textId="77777777" w:rsidR="00DB686A" w:rsidRPr="000D0588" w:rsidRDefault="00DB686A" w:rsidP="00E06C7A">
            <w:pPr>
              <w:rPr>
                <w:rFonts w:ascii="Times New Roman" w:hAnsi="Times New Roman"/>
                <w:sz w:val="20"/>
              </w:rPr>
            </w:pPr>
          </w:p>
        </w:tc>
        <w:tc>
          <w:tcPr>
            <w:tcW w:w="222" w:type="dxa"/>
            <w:tcBorders>
              <w:top w:val="nil"/>
              <w:left w:val="nil"/>
              <w:bottom w:val="nil"/>
              <w:right w:val="nil"/>
            </w:tcBorders>
            <w:shd w:val="clear" w:color="auto" w:fill="auto"/>
            <w:noWrap/>
            <w:vAlign w:val="bottom"/>
            <w:hideMark/>
          </w:tcPr>
          <w:p w14:paraId="274E57E1" w14:textId="77777777" w:rsidR="0058452A" w:rsidRPr="000D0588" w:rsidRDefault="0058452A" w:rsidP="00E06C7A">
            <w:pPr>
              <w:rPr>
                <w:rFonts w:ascii="Times New Roman" w:hAnsi="Times New Roman"/>
                <w:sz w:val="20"/>
              </w:rPr>
            </w:pPr>
          </w:p>
        </w:tc>
        <w:tc>
          <w:tcPr>
            <w:tcW w:w="1330" w:type="dxa"/>
            <w:gridSpan w:val="2"/>
            <w:tcBorders>
              <w:top w:val="nil"/>
              <w:left w:val="nil"/>
              <w:bottom w:val="nil"/>
              <w:right w:val="nil"/>
            </w:tcBorders>
            <w:shd w:val="clear" w:color="auto" w:fill="auto"/>
            <w:noWrap/>
            <w:vAlign w:val="bottom"/>
            <w:hideMark/>
          </w:tcPr>
          <w:p w14:paraId="038E252A" w14:textId="77777777" w:rsidR="0058452A" w:rsidRPr="000D0588" w:rsidRDefault="0058452A" w:rsidP="00E06C7A">
            <w:pPr>
              <w:rPr>
                <w:rFonts w:ascii="Times New Roman" w:hAnsi="Times New Roman"/>
                <w:sz w:val="20"/>
              </w:rPr>
            </w:pPr>
          </w:p>
        </w:tc>
        <w:tc>
          <w:tcPr>
            <w:tcW w:w="1218" w:type="dxa"/>
            <w:tcBorders>
              <w:top w:val="nil"/>
              <w:left w:val="nil"/>
              <w:bottom w:val="nil"/>
              <w:right w:val="nil"/>
            </w:tcBorders>
            <w:shd w:val="clear" w:color="auto" w:fill="auto"/>
            <w:noWrap/>
            <w:vAlign w:val="bottom"/>
            <w:hideMark/>
          </w:tcPr>
          <w:p w14:paraId="7F34683D" w14:textId="77777777"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tcPr>
          <w:p w14:paraId="45967E9B" w14:textId="77777777"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shd w:val="clear" w:color="auto" w:fill="auto"/>
            <w:noWrap/>
            <w:vAlign w:val="bottom"/>
            <w:hideMark/>
          </w:tcPr>
          <w:p w14:paraId="188FDDE7" w14:textId="340F2F4D"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shd w:val="clear" w:color="auto" w:fill="auto"/>
            <w:noWrap/>
            <w:vAlign w:val="bottom"/>
            <w:hideMark/>
          </w:tcPr>
          <w:p w14:paraId="6240B691" w14:textId="77777777" w:rsidR="0058452A" w:rsidRPr="00E06C7A" w:rsidRDefault="0058452A" w:rsidP="00E06C7A">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67A8B5BC" w14:textId="77777777" w:rsidR="0058452A" w:rsidRPr="00E06C7A" w:rsidRDefault="0058452A" w:rsidP="00E06C7A">
            <w:pPr>
              <w:rPr>
                <w:rFonts w:ascii="Times New Roman" w:hAnsi="Times New Roman"/>
                <w:sz w:val="20"/>
              </w:rPr>
            </w:pPr>
          </w:p>
        </w:tc>
      </w:tr>
      <w:tr w:rsidR="00910A59" w:rsidRPr="00E06C7A" w14:paraId="6B7F99ED"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0F63F3D1" w14:textId="77777777" w:rsidR="0058452A" w:rsidRPr="000D0588" w:rsidRDefault="0058452A" w:rsidP="00E06C7A">
            <w:pPr>
              <w:rPr>
                <w:rFonts w:ascii="Times New Roman" w:hAnsi="Times New Roman"/>
                <w:sz w:val="20"/>
              </w:rPr>
            </w:pPr>
          </w:p>
        </w:tc>
        <w:tc>
          <w:tcPr>
            <w:tcW w:w="222" w:type="dxa"/>
            <w:tcBorders>
              <w:top w:val="nil"/>
              <w:left w:val="nil"/>
              <w:bottom w:val="nil"/>
              <w:right w:val="nil"/>
            </w:tcBorders>
            <w:shd w:val="clear" w:color="auto" w:fill="auto"/>
            <w:noWrap/>
            <w:vAlign w:val="bottom"/>
            <w:hideMark/>
          </w:tcPr>
          <w:p w14:paraId="088D50E7" w14:textId="77777777" w:rsidR="0058452A" w:rsidRPr="000D0588" w:rsidRDefault="0058452A" w:rsidP="00E06C7A">
            <w:pPr>
              <w:rPr>
                <w:rFonts w:ascii="Times New Roman" w:hAnsi="Times New Roman"/>
                <w:sz w:val="20"/>
              </w:rPr>
            </w:pPr>
          </w:p>
        </w:tc>
        <w:tc>
          <w:tcPr>
            <w:tcW w:w="960" w:type="dxa"/>
            <w:tcBorders>
              <w:top w:val="nil"/>
              <w:left w:val="nil"/>
              <w:bottom w:val="nil"/>
              <w:right w:val="nil"/>
            </w:tcBorders>
          </w:tcPr>
          <w:p w14:paraId="107A6AD2" w14:textId="77777777" w:rsidR="0058452A" w:rsidRPr="000D0588" w:rsidRDefault="0058452A" w:rsidP="00E06C7A">
            <w:pPr>
              <w:jc w:val="center"/>
              <w:rPr>
                <w:rFonts w:cs="Calibri"/>
                <w:b/>
                <w:bCs/>
                <w:color w:val="000000"/>
                <w:sz w:val="22"/>
                <w:szCs w:val="22"/>
              </w:rPr>
            </w:pPr>
          </w:p>
        </w:tc>
        <w:tc>
          <w:tcPr>
            <w:tcW w:w="3508" w:type="dxa"/>
            <w:gridSpan w:val="4"/>
            <w:tcBorders>
              <w:top w:val="nil"/>
              <w:left w:val="nil"/>
              <w:bottom w:val="nil"/>
              <w:right w:val="nil"/>
            </w:tcBorders>
            <w:shd w:val="clear" w:color="auto" w:fill="auto"/>
            <w:noWrap/>
            <w:vAlign w:val="bottom"/>
            <w:hideMark/>
          </w:tcPr>
          <w:p w14:paraId="30655555" w14:textId="3983CDC9" w:rsidR="0058452A" w:rsidRPr="000D0588" w:rsidRDefault="0058452A" w:rsidP="00E06C7A">
            <w:pPr>
              <w:jc w:val="center"/>
              <w:rPr>
                <w:rFonts w:cs="Calibri"/>
                <w:b/>
                <w:bCs/>
                <w:color w:val="000000"/>
                <w:sz w:val="22"/>
                <w:szCs w:val="22"/>
              </w:rPr>
            </w:pPr>
            <w:r w:rsidRPr="000D0588">
              <w:rPr>
                <w:rFonts w:cs="Calibri"/>
                <w:b/>
                <w:bCs/>
                <w:color w:val="000000"/>
                <w:sz w:val="22"/>
                <w:szCs w:val="22"/>
              </w:rPr>
              <w:t>Subsample Released</w:t>
            </w:r>
          </w:p>
        </w:tc>
        <w:tc>
          <w:tcPr>
            <w:tcW w:w="960" w:type="dxa"/>
            <w:tcBorders>
              <w:top w:val="nil"/>
              <w:left w:val="nil"/>
              <w:bottom w:val="nil"/>
              <w:right w:val="nil"/>
            </w:tcBorders>
            <w:shd w:val="clear" w:color="auto" w:fill="auto"/>
            <w:noWrap/>
            <w:vAlign w:val="bottom"/>
            <w:hideMark/>
          </w:tcPr>
          <w:p w14:paraId="3A87662F" w14:textId="77777777" w:rsidR="0058452A" w:rsidRPr="00E06C7A" w:rsidRDefault="0058452A" w:rsidP="00E06C7A">
            <w:pPr>
              <w:jc w:val="center"/>
              <w:rPr>
                <w:rFonts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7767FDC6" w14:textId="77777777" w:rsidR="0058452A" w:rsidRPr="00E06C7A" w:rsidRDefault="0058452A" w:rsidP="00E06C7A">
            <w:pPr>
              <w:jc w:val="center"/>
              <w:rPr>
                <w:rFonts w:ascii="Times New Roman" w:hAnsi="Times New Roman"/>
                <w:sz w:val="20"/>
              </w:rPr>
            </w:pPr>
          </w:p>
        </w:tc>
      </w:tr>
      <w:tr w:rsidR="00CD3B5E" w:rsidRPr="00E06C7A" w14:paraId="108DCDB0"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194102D3" w14:textId="77777777" w:rsidR="0058452A" w:rsidRPr="000D0588" w:rsidRDefault="0058452A" w:rsidP="00E06C7A">
            <w:pPr>
              <w:rPr>
                <w:rFonts w:ascii="Times New Roman" w:hAnsi="Times New Roman"/>
                <w:sz w:val="20"/>
              </w:rPr>
            </w:pPr>
          </w:p>
        </w:tc>
        <w:tc>
          <w:tcPr>
            <w:tcW w:w="222" w:type="dxa"/>
            <w:tcBorders>
              <w:top w:val="nil"/>
              <w:left w:val="nil"/>
              <w:bottom w:val="nil"/>
              <w:right w:val="nil"/>
            </w:tcBorders>
            <w:shd w:val="clear" w:color="auto" w:fill="auto"/>
            <w:noWrap/>
            <w:vAlign w:val="bottom"/>
            <w:hideMark/>
          </w:tcPr>
          <w:p w14:paraId="6E161784" w14:textId="77777777" w:rsidR="0058452A" w:rsidRPr="000D0588" w:rsidRDefault="0058452A" w:rsidP="00E06C7A">
            <w:pPr>
              <w:rPr>
                <w:rFonts w:ascii="Times New Roman" w:hAnsi="Times New Roman"/>
                <w:sz w:val="20"/>
              </w:rPr>
            </w:pPr>
          </w:p>
        </w:tc>
        <w:tc>
          <w:tcPr>
            <w:tcW w:w="1330" w:type="dxa"/>
            <w:gridSpan w:val="2"/>
            <w:tcBorders>
              <w:top w:val="nil"/>
              <w:left w:val="nil"/>
              <w:bottom w:val="nil"/>
              <w:right w:val="nil"/>
            </w:tcBorders>
            <w:shd w:val="clear" w:color="auto" w:fill="auto"/>
            <w:noWrap/>
            <w:vAlign w:val="bottom"/>
            <w:hideMark/>
          </w:tcPr>
          <w:p w14:paraId="60910C00" w14:textId="77777777" w:rsidR="0058452A" w:rsidRPr="000D0588" w:rsidRDefault="0058452A" w:rsidP="00E06C7A">
            <w:pPr>
              <w:jc w:val="center"/>
              <w:rPr>
                <w:rFonts w:cs="Calibri"/>
                <w:b/>
                <w:bCs/>
                <w:color w:val="000000"/>
                <w:sz w:val="22"/>
                <w:szCs w:val="22"/>
              </w:rPr>
            </w:pPr>
            <w:r w:rsidRPr="000D0588">
              <w:rPr>
                <w:rFonts w:cs="Calibri"/>
                <w:b/>
                <w:bCs/>
                <w:color w:val="000000"/>
                <w:sz w:val="22"/>
                <w:szCs w:val="22"/>
              </w:rPr>
              <w:t>Wave 1</w:t>
            </w:r>
          </w:p>
        </w:tc>
        <w:tc>
          <w:tcPr>
            <w:tcW w:w="1218" w:type="dxa"/>
            <w:tcBorders>
              <w:top w:val="nil"/>
              <w:left w:val="nil"/>
              <w:bottom w:val="nil"/>
              <w:right w:val="nil"/>
            </w:tcBorders>
            <w:shd w:val="clear" w:color="auto" w:fill="auto"/>
            <w:noWrap/>
            <w:vAlign w:val="bottom"/>
            <w:hideMark/>
          </w:tcPr>
          <w:p w14:paraId="37864F51" w14:textId="77777777" w:rsidR="0058452A" w:rsidRPr="000D0588" w:rsidRDefault="0058452A" w:rsidP="00E06C7A">
            <w:pPr>
              <w:jc w:val="center"/>
              <w:rPr>
                <w:rFonts w:cs="Calibri"/>
                <w:b/>
                <w:bCs/>
                <w:color w:val="000000"/>
                <w:sz w:val="22"/>
                <w:szCs w:val="22"/>
              </w:rPr>
            </w:pPr>
            <w:r w:rsidRPr="000D0588">
              <w:rPr>
                <w:rFonts w:cs="Calibri"/>
                <w:b/>
                <w:bCs/>
                <w:color w:val="000000"/>
                <w:sz w:val="22"/>
                <w:szCs w:val="22"/>
              </w:rPr>
              <w:t>Wave 2</w:t>
            </w:r>
          </w:p>
        </w:tc>
        <w:tc>
          <w:tcPr>
            <w:tcW w:w="960" w:type="dxa"/>
            <w:tcBorders>
              <w:top w:val="nil"/>
              <w:left w:val="nil"/>
              <w:bottom w:val="nil"/>
              <w:right w:val="nil"/>
            </w:tcBorders>
          </w:tcPr>
          <w:p w14:paraId="71303D09" w14:textId="77777777" w:rsidR="0058452A" w:rsidRPr="000D0588" w:rsidRDefault="0058452A" w:rsidP="00E06C7A">
            <w:pPr>
              <w:jc w:val="center"/>
              <w:rPr>
                <w:rFonts w:cs="Calibri"/>
                <w:b/>
                <w:bCs/>
                <w:color w:val="000000"/>
                <w:sz w:val="22"/>
                <w:szCs w:val="22"/>
              </w:rPr>
            </w:pPr>
          </w:p>
          <w:p w14:paraId="6D507CE2" w14:textId="4378E6A7" w:rsidR="0058452A" w:rsidRPr="000D0588" w:rsidRDefault="0058452A" w:rsidP="00E06C7A">
            <w:pPr>
              <w:jc w:val="center"/>
              <w:rPr>
                <w:rFonts w:cs="Calibri"/>
                <w:b/>
                <w:bCs/>
                <w:color w:val="000000"/>
                <w:sz w:val="22"/>
                <w:szCs w:val="22"/>
              </w:rPr>
            </w:pPr>
            <w:r w:rsidRPr="000D0588">
              <w:rPr>
                <w:rFonts w:cs="Calibri"/>
                <w:b/>
                <w:bCs/>
                <w:color w:val="000000"/>
                <w:sz w:val="22"/>
                <w:szCs w:val="22"/>
              </w:rPr>
              <w:t>Wave 3</w:t>
            </w:r>
          </w:p>
        </w:tc>
        <w:tc>
          <w:tcPr>
            <w:tcW w:w="960" w:type="dxa"/>
            <w:tcBorders>
              <w:top w:val="nil"/>
              <w:left w:val="nil"/>
              <w:bottom w:val="nil"/>
              <w:right w:val="nil"/>
            </w:tcBorders>
            <w:shd w:val="clear" w:color="auto" w:fill="auto"/>
            <w:noWrap/>
            <w:vAlign w:val="bottom"/>
            <w:hideMark/>
          </w:tcPr>
          <w:p w14:paraId="369D9ECF" w14:textId="2B6CD9D0" w:rsidR="0058452A" w:rsidRPr="000D0588" w:rsidRDefault="0058452A" w:rsidP="00E06C7A">
            <w:pPr>
              <w:jc w:val="center"/>
              <w:rPr>
                <w:rFonts w:cs="Calibri"/>
                <w:b/>
                <w:bCs/>
                <w:color w:val="000000"/>
                <w:sz w:val="22"/>
                <w:szCs w:val="22"/>
              </w:rPr>
            </w:pPr>
            <w:r w:rsidRPr="000D0588">
              <w:rPr>
                <w:rFonts w:cs="Calibri"/>
                <w:b/>
                <w:bCs/>
                <w:color w:val="000000"/>
                <w:sz w:val="22"/>
                <w:szCs w:val="22"/>
              </w:rPr>
              <w:t>Wave 4</w:t>
            </w:r>
          </w:p>
        </w:tc>
        <w:tc>
          <w:tcPr>
            <w:tcW w:w="960" w:type="dxa"/>
            <w:tcBorders>
              <w:top w:val="nil"/>
              <w:left w:val="nil"/>
              <w:bottom w:val="nil"/>
              <w:right w:val="nil"/>
            </w:tcBorders>
            <w:shd w:val="clear" w:color="auto" w:fill="auto"/>
            <w:noWrap/>
            <w:vAlign w:val="bottom"/>
            <w:hideMark/>
          </w:tcPr>
          <w:p w14:paraId="57E23082" w14:textId="77777777" w:rsidR="0058452A" w:rsidRPr="00E06C7A" w:rsidRDefault="0058452A" w:rsidP="00E06C7A">
            <w:pPr>
              <w:jc w:val="center"/>
              <w:rPr>
                <w:rFonts w:cs="Calibri"/>
                <w:b/>
                <w:bCs/>
                <w:color w:val="000000"/>
                <w:sz w:val="22"/>
                <w:szCs w:val="22"/>
              </w:rPr>
            </w:pPr>
            <w:r w:rsidRPr="00E06C7A">
              <w:rPr>
                <w:rFonts w:cs="Calibri"/>
                <w:b/>
                <w:bCs/>
                <w:color w:val="000000"/>
                <w:sz w:val="22"/>
                <w:szCs w:val="22"/>
              </w:rPr>
              <w:t>Total</w:t>
            </w:r>
          </w:p>
        </w:tc>
        <w:tc>
          <w:tcPr>
            <w:tcW w:w="960" w:type="dxa"/>
            <w:tcBorders>
              <w:top w:val="nil"/>
              <w:left w:val="nil"/>
              <w:bottom w:val="nil"/>
              <w:right w:val="nil"/>
            </w:tcBorders>
            <w:shd w:val="clear" w:color="auto" w:fill="auto"/>
            <w:noWrap/>
            <w:vAlign w:val="bottom"/>
            <w:hideMark/>
          </w:tcPr>
          <w:p w14:paraId="1B6BC5BE" w14:textId="77777777" w:rsidR="0058452A" w:rsidRPr="00E06C7A" w:rsidRDefault="0058452A" w:rsidP="00E06C7A">
            <w:pPr>
              <w:jc w:val="center"/>
              <w:rPr>
                <w:rFonts w:cs="Calibri"/>
                <w:b/>
                <w:bCs/>
                <w:color w:val="000000"/>
                <w:sz w:val="22"/>
                <w:szCs w:val="22"/>
              </w:rPr>
            </w:pPr>
            <w:r w:rsidRPr="00E06C7A">
              <w:rPr>
                <w:rFonts w:cs="Calibri"/>
                <w:b/>
                <w:bCs/>
                <w:color w:val="000000"/>
                <w:sz w:val="22"/>
                <w:szCs w:val="22"/>
              </w:rPr>
              <w:t>% of Total</w:t>
            </w:r>
          </w:p>
        </w:tc>
      </w:tr>
      <w:tr w:rsidR="00CD3B5E" w:rsidRPr="00E06C7A" w14:paraId="5EF4D641"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2B188D3D" w14:textId="77777777" w:rsidR="0058452A" w:rsidRPr="000D0588" w:rsidRDefault="0058452A" w:rsidP="00E06C7A">
            <w:pPr>
              <w:rPr>
                <w:rFonts w:cs="Calibri"/>
                <w:color w:val="000000"/>
                <w:sz w:val="22"/>
                <w:szCs w:val="22"/>
              </w:rPr>
            </w:pPr>
            <w:r w:rsidRPr="000D0588">
              <w:rPr>
                <w:rFonts w:cs="Calibri"/>
                <w:color w:val="000000"/>
                <w:sz w:val="22"/>
                <w:szCs w:val="22"/>
              </w:rPr>
              <w:t>1. High Priority</w:t>
            </w:r>
          </w:p>
        </w:tc>
        <w:tc>
          <w:tcPr>
            <w:tcW w:w="222" w:type="dxa"/>
            <w:tcBorders>
              <w:top w:val="nil"/>
              <w:left w:val="nil"/>
              <w:bottom w:val="nil"/>
              <w:right w:val="nil"/>
            </w:tcBorders>
            <w:shd w:val="clear" w:color="auto" w:fill="auto"/>
            <w:noWrap/>
            <w:vAlign w:val="bottom"/>
            <w:hideMark/>
          </w:tcPr>
          <w:p w14:paraId="67EF2EC1"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5DE19AE5" w14:textId="5AB7DECD" w:rsidR="0058452A" w:rsidRPr="000D0588" w:rsidRDefault="0058452A" w:rsidP="00E06C7A">
            <w:pPr>
              <w:jc w:val="right"/>
              <w:rPr>
                <w:rFonts w:cs="Calibri"/>
                <w:color w:val="000000"/>
                <w:sz w:val="22"/>
                <w:szCs w:val="22"/>
              </w:rPr>
            </w:pPr>
            <w:r w:rsidRPr="000D0588">
              <w:rPr>
                <w:rFonts w:cs="Calibri"/>
                <w:color w:val="000000"/>
                <w:sz w:val="22"/>
                <w:szCs w:val="22"/>
              </w:rPr>
              <w:t>2,</w:t>
            </w:r>
            <w:r w:rsidR="000D0588" w:rsidRPr="000D0588">
              <w:rPr>
                <w:rFonts w:cs="Calibri"/>
                <w:color w:val="000000"/>
                <w:sz w:val="22"/>
                <w:szCs w:val="22"/>
              </w:rPr>
              <w:t>458</w:t>
            </w:r>
          </w:p>
        </w:tc>
        <w:tc>
          <w:tcPr>
            <w:tcW w:w="1218" w:type="dxa"/>
            <w:tcBorders>
              <w:top w:val="nil"/>
              <w:left w:val="nil"/>
              <w:bottom w:val="nil"/>
              <w:right w:val="nil"/>
            </w:tcBorders>
            <w:shd w:val="clear" w:color="auto" w:fill="auto"/>
            <w:noWrap/>
            <w:vAlign w:val="bottom"/>
            <w:hideMark/>
          </w:tcPr>
          <w:p w14:paraId="33003BE7" w14:textId="0E911315" w:rsidR="0058452A" w:rsidRPr="000D0588" w:rsidRDefault="000D0588" w:rsidP="00E06C7A">
            <w:pPr>
              <w:jc w:val="right"/>
              <w:rPr>
                <w:rFonts w:cs="Calibri"/>
                <w:color w:val="000000"/>
                <w:sz w:val="22"/>
                <w:szCs w:val="22"/>
              </w:rPr>
            </w:pPr>
            <w:r w:rsidRPr="000D0588">
              <w:rPr>
                <w:rFonts w:cs="Calibri"/>
                <w:color w:val="000000"/>
                <w:sz w:val="22"/>
                <w:szCs w:val="22"/>
              </w:rPr>
              <w:t>657</w:t>
            </w:r>
          </w:p>
        </w:tc>
        <w:tc>
          <w:tcPr>
            <w:tcW w:w="960" w:type="dxa"/>
            <w:tcBorders>
              <w:top w:val="nil"/>
              <w:left w:val="nil"/>
              <w:bottom w:val="nil"/>
              <w:right w:val="nil"/>
            </w:tcBorders>
          </w:tcPr>
          <w:p w14:paraId="328BB2C6" w14:textId="000373FD" w:rsidR="0058452A" w:rsidRPr="000D0588" w:rsidRDefault="000D0588" w:rsidP="00E06C7A">
            <w:pPr>
              <w:jc w:val="right"/>
              <w:rPr>
                <w:rFonts w:cs="Calibri"/>
                <w:color w:val="000000"/>
                <w:sz w:val="22"/>
                <w:szCs w:val="22"/>
              </w:rPr>
            </w:pPr>
            <w:r w:rsidRPr="000D0588">
              <w:rPr>
                <w:rFonts w:cs="Calibri"/>
                <w:color w:val="000000"/>
                <w:sz w:val="22"/>
                <w:szCs w:val="22"/>
              </w:rPr>
              <w:t>546</w:t>
            </w:r>
          </w:p>
        </w:tc>
        <w:tc>
          <w:tcPr>
            <w:tcW w:w="960" w:type="dxa"/>
            <w:tcBorders>
              <w:top w:val="nil"/>
              <w:left w:val="nil"/>
              <w:bottom w:val="nil"/>
              <w:right w:val="nil"/>
            </w:tcBorders>
            <w:shd w:val="clear" w:color="auto" w:fill="auto"/>
            <w:noWrap/>
            <w:vAlign w:val="bottom"/>
            <w:hideMark/>
          </w:tcPr>
          <w:p w14:paraId="2B06D84C" w14:textId="1F85581A" w:rsidR="0058452A" w:rsidRPr="000D0588" w:rsidRDefault="00740A2B" w:rsidP="00E06C7A">
            <w:pPr>
              <w:jc w:val="right"/>
              <w:rPr>
                <w:rFonts w:cs="Calibri"/>
                <w:color w:val="000000"/>
                <w:sz w:val="22"/>
                <w:szCs w:val="22"/>
              </w:rPr>
            </w:pPr>
            <w:r w:rsidRPr="000D0588">
              <w:rPr>
                <w:rFonts w:cs="Calibri"/>
                <w:color w:val="000000"/>
                <w:sz w:val="22"/>
                <w:szCs w:val="22"/>
              </w:rPr>
              <w:t>2,</w:t>
            </w:r>
            <w:r w:rsidR="00CD3B5E" w:rsidRPr="000D0588">
              <w:rPr>
                <w:rFonts w:cs="Calibri"/>
                <w:color w:val="000000"/>
                <w:sz w:val="22"/>
                <w:szCs w:val="22"/>
              </w:rPr>
              <w:t>1</w:t>
            </w:r>
            <w:r w:rsidR="000D0588" w:rsidRPr="000D0588">
              <w:rPr>
                <w:rFonts w:cs="Calibri"/>
                <w:color w:val="000000"/>
                <w:sz w:val="22"/>
                <w:szCs w:val="22"/>
              </w:rPr>
              <w:t>23</w:t>
            </w:r>
          </w:p>
        </w:tc>
        <w:tc>
          <w:tcPr>
            <w:tcW w:w="960" w:type="dxa"/>
            <w:tcBorders>
              <w:top w:val="nil"/>
              <w:left w:val="nil"/>
              <w:bottom w:val="nil"/>
              <w:right w:val="nil"/>
            </w:tcBorders>
            <w:shd w:val="clear" w:color="auto" w:fill="auto"/>
            <w:noWrap/>
            <w:vAlign w:val="bottom"/>
            <w:hideMark/>
          </w:tcPr>
          <w:p w14:paraId="40A4AB1C" w14:textId="599190D9" w:rsidR="0058452A" w:rsidRPr="00DB686A" w:rsidRDefault="000D0588" w:rsidP="00E06C7A">
            <w:pPr>
              <w:jc w:val="right"/>
              <w:rPr>
                <w:rFonts w:cs="Calibri"/>
                <w:color w:val="000000"/>
                <w:sz w:val="22"/>
                <w:szCs w:val="22"/>
              </w:rPr>
            </w:pPr>
            <w:r>
              <w:rPr>
                <w:rFonts w:cs="Calibri"/>
                <w:color w:val="000000"/>
                <w:sz w:val="22"/>
                <w:szCs w:val="22"/>
              </w:rPr>
              <w:t>5,784</w:t>
            </w:r>
          </w:p>
        </w:tc>
        <w:tc>
          <w:tcPr>
            <w:tcW w:w="960" w:type="dxa"/>
            <w:tcBorders>
              <w:top w:val="nil"/>
              <w:left w:val="nil"/>
              <w:bottom w:val="nil"/>
              <w:right w:val="nil"/>
            </w:tcBorders>
            <w:shd w:val="clear" w:color="auto" w:fill="auto"/>
            <w:noWrap/>
            <w:vAlign w:val="bottom"/>
            <w:hideMark/>
          </w:tcPr>
          <w:p w14:paraId="0845204D" w14:textId="70FD8061" w:rsidR="0058452A" w:rsidRPr="00DB686A" w:rsidRDefault="00CF68B5" w:rsidP="00E06C7A">
            <w:pPr>
              <w:jc w:val="right"/>
              <w:rPr>
                <w:rFonts w:cs="Calibri"/>
                <w:color w:val="000000"/>
                <w:sz w:val="22"/>
                <w:szCs w:val="22"/>
              </w:rPr>
            </w:pPr>
            <w:r w:rsidRPr="00DB686A">
              <w:rPr>
                <w:rFonts w:cs="Calibri"/>
                <w:color w:val="000000"/>
                <w:sz w:val="22"/>
                <w:szCs w:val="22"/>
              </w:rPr>
              <w:t>2</w:t>
            </w:r>
            <w:r w:rsidR="000D0588">
              <w:rPr>
                <w:rFonts w:cs="Calibri"/>
                <w:color w:val="000000"/>
                <w:sz w:val="22"/>
                <w:szCs w:val="22"/>
              </w:rPr>
              <w:t>6.17</w:t>
            </w:r>
          </w:p>
        </w:tc>
      </w:tr>
      <w:tr w:rsidR="00CD3B5E" w:rsidRPr="00E06C7A" w14:paraId="506E2823"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71CC62DD" w14:textId="77777777" w:rsidR="0058452A" w:rsidRPr="000D0588" w:rsidRDefault="0058452A" w:rsidP="00E06C7A">
            <w:pPr>
              <w:rPr>
                <w:rFonts w:cs="Calibri"/>
                <w:color w:val="000000"/>
                <w:sz w:val="22"/>
                <w:szCs w:val="22"/>
              </w:rPr>
            </w:pPr>
            <w:r w:rsidRPr="000D0588">
              <w:rPr>
                <w:rFonts w:cs="Calibri"/>
                <w:color w:val="000000"/>
                <w:sz w:val="22"/>
                <w:szCs w:val="22"/>
              </w:rPr>
              <w:t>2. Medium Priority</w:t>
            </w:r>
          </w:p>
        </w:tc>
        <w:tc>
          <w:tcPr>
            <w:tcW w:w="222" w:type="dxa"/>
            <w:tcBorders>
              <w:top w:val="nil"/>
              <w:left w:val="nil"/>
              <w:bottom w:val="nil"/>
              <w:right w:val="nil"/>
            </w:tcBorders>
            <w:shd w:val="clear" w:color="auto" w:fill="auto"/>
            <w:noWrap/>
            <w:vAlign w:val="bottom"/>
            <w:hideMark/>
          </w:tcPr>
          <w:p w14:paraId="48F99DAA"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2B225375" w14:textId="67B6548A" w:rsidR="0058452A" w:rsidRPr="000D0588" w:rsidRDefault="0058452A" w:rsidP="00E06C7A">
            <w:pPr>
              <w:jc w:val="right"/>
              <w:rPr>
                <w:rFonts w:cs="Calibri"/>
                <w:color w:val="000000"/>
                <w:sz w:val="22"/>
                <w:szCs w:val="22"/>
              </w:rPr>
            </w:pPr>
            <w:r w:rsidRPr="000D0588">
              <w:rPr>
                <w:rFonts w:cs="Calibri"/>
                <w:color w:val="000000"/>
                <w:sz w:val="22"/>
                <w:szCs w:val="22"/>
              </w:rPr>
              <w:t>5,</w:t>
            </w:r>
            <w:r w:rsidR="000D0588" w:rsidRPr="000D0588">
              <w:rPr>
                <w:rFonts w:cs="Calibri"/>
                <w:color w:val="000000"/>
                <w:sz w:val="22"/>
                <w:szCs w:val="22"/>
              </w:rPr>
              <w:t>608</w:t>
            </w:r>
          </w:p>
        </w:tc>
        <w:tc>
          <w:tcPr>
            <w:tcW w:w="1218" w:type="dxa"/>
            <w:tcBorders>
              <w:top w:val="nil"/>
              <w:left w:val="nil"/>
              <w:bottom w:val="nil"/>
              <w:right w:val="nil"/>
            </w:tcBorders>
            <w:shd w:val="clear" w:color="auto" w:fill="auto"/>
            <w:noWrap/>
            <w:vAlign w:val="bottom"/>
            <w:hideMark/>
          </w:tcPr>
          <w:p w14:paraId="5EE87B08" w14:textId="28FA6596" w:rsidR="0058452A" w:rsidRPr="000D0588" w:rsidRDefault="000D0588" w:rsidP="00E06C7A">
            <w:pPr>
              <w:jc w:val="right"/>
              <w:rPr>
                <w:rFonts w:cs="Calibri"/>
                <w:color w:val="000000"/>
                <w:sz w:val="22"/>
                <w:szCs w:val="22"/>
              </w:rPr>
            </w:pPr>
            <w:r w:rsidRPr="000D0588">
              <w:rPr>
                <w:rFonts w:cs="Calibri"/>
                <w:color w:val="000000"/>
                <w:sz w:val="22"/>
                <w:szCs w:val="22"/>
              </w:rPr>
              <w:t>1,755</w:t>
            </w:r>
          </w:p>
        </w:tc>
        <w:tc>
          <w:tcPr>
            <w:tcW w:w="960" w:type="dxa"/>
            <w:tcBorders>
              <w:top w:val="nil"/>
              <w:left w:val="nil"/>
              <w:bottom w:val="nil"/>
              <w:right w:val="nil"/>
            </w:tcBorders>
          </w:tcPr>
          <w:p w14:paraId="66852BFE" w14:textId="1D587595" w:rsidR="0058452A" w:rsidRPr="000D0588" w:rsidRDefault="000D0588" w:rsidP="00E06C7A">
            <w:pPr>
              <w:jc w:val="right"/>
              <w:rPr>
                <w:rFonts w:cs="Calibri"/>
                <w:color w:val="000000"/>
                <w:sz w:val="22"/>
                <w:szCs w:val="22"/>
              </w:rPr>
            </w:pPr>
            <w:r w:rsidRPr="000D0588">
              <w:rPr>
                <w:rFonts w:cs="Calibri"/>
                <w:color w:val="000000"/>
                <w:sz w:val="22"/>
                <w:szCs w:val="22"/>
              </w:rPr>
              <w:t>1,190</w:t>
            </w:r>
          </w:p>
        </w:tc>
        <w:tc>
          <w:tcPr>
            <w:tcW w:w="960" w:type="dxa"/>
            <w:tcBorders>
              <w:top w:val="nil"/>
              <w:left w:val="nil"/>
              <w:bottom w:val="nil"/>
              <w:right w:val="nil"/>
            </w:tcBorders>
            <w:shd w:val="clear" w:color="auto" w:fill="auto"/>
            <w:noWrap/>
            <w:vAlign w:val="bottom"/>
            <w:hideMark/>
          </w:tcPr>
          <w:p w14:paraId="17C4BF58" w14:textId="4F156476" w:rsidR="0058452A" w:rsidRPr="000D0588" w:rsidRDefault="00740A2B" w:rsidP="00E06C7A">
            <w:pPr>
              <w:jc w:val="right"/>
              <w:rPr>
                <w:rFonts w:cs="Calibri"/>
                <w:color w:val="000000"/>
                <w:sz w:val="22"/>
                <w:szCs w:val="22"/>
              </w:rPr>
            </w:pPr>
            <w:r w:rsidRPr="000D0588">
              <w:rPr>
                <w:rFonts w:cs="Calibri"/>
                <w:color w:val="000000"/>
                <w:sz w:val="22"/>
                <w:szCs w:val="22"/>
              </w:rPr>
              <w:t>4,</w:t>
            </w:r>
            <w:r w:rsidR="000D0588" w:rsidRPr="000D0588">
              <w:rPr>
                <w:rFonts w:cs="Calibri"/>
                <w:color w:val="000000"/>
                <w:sz w:val="22"/>
                <w:szCs w:val="22"/>
              </w:rPr>
              <w:t>417</w:t>
            </w:r>
          </w:p>
        </w:tc>
        <w:tc>
          <w:tcPr>
            <w:tcW w:w="960" w:type="dxa"/>
            <w:tcBorders>
              <w:top w:val="nil"/>
              <w:left w:val="nil"/>
              <w:bottom w:val="nil"/>
              <w:right w:val="nil"/>
            </w:tcBorders>
            <w:shd w:val="clear" w:color="auto" w:fill="auto"/>
            <w:noWrap/>
            <w:vAlign w:val="bottom"/>
            <w:hideMark/>
          </w:tcPr>
          <w:p w14:paraId="71ED59D9" w14:textId="02BBE075" w:rsidR="0058452A" w:rsidRPr="00DB686A" w:rsidRDefault="00CF68B5" w:rsidP="00E06C7A">
            <w:pPr>
              <w:jc w:val="right"/>
              <w:rPr>
                <w:rFonts w:cs="Calibri"/>
                <w:color w:val="000000"/>
                <w:sz w:val="22"/>
                <w:szCs w:val="22"/>
              </w:rPr>
            </w:pPr>
            <w:r w:rsidRPr="00DB686A">
              <w:rPr>
                <w:rFonts w:cs="Calibri"/>
                <w:color w:val="000000"/>
                <w:sz w:val="22"/>
                <w:szCs w:val="22"/>
              </w:rPr>
              <w:t>1</w:t>
            </w:r>
            <w:r w:rsidR="000D0588">
              <w:rPr>
                <w:rFonts w:cs="Calibri"/>
                <w:color w:val="000000"/>
                <w:sz w:val="22"/>
                <w:szCs w:val="22"/>
              </w:rPr>
              <w:t>2,970</w:t>
            </w:r>
          </w:p>
        </w:tc>
        <w:tc>
          <w:tcPr>
            <w:tcW w:w="960" w:type="dxa"/>
            <w:tcBorders>
              <w:top w:val="nil"/>
              <w:left w:val="nil"/>
              <w:bottom w:val="nil"/>
              <w:right w:val="nil"/>
            </w:tcBorders>
            <w:shd w:val="clear" w:color="auto" w:fill="auto"/>
            <w:noWrap/>
            <w:vAlign w:val="bottom"/>
            <w:hideMark/>
          </w:tcPr>
          <w:p w14:paraId="399CD397" w14:textId="325CB447" w:rsidR="0058452A" w:rsidRPr="00DB686A" w:rsidRDefault="00CF68B5" w:rsidP="00E06C7A">
            <w:pPr>
              <w:jc w:val="right"/>
              <w:rPr>
                <w:rFonts w:cs="Calibri"/>
                <w:color w:val="000000"/>
                <w:sz w:val="22"/>
                <w:szCs w:val="22"/>
              </w:rPr>
            </w:pPr>
            <w:r w:rsidRPr="00DB686A">
              <w:rPr>
                <w:rFonts w:cs="Calibri"/>
                <w:color w:val="000000"/>
                <w:sz w:val="22"/>
                <w:szCs w:val="22"/>
              </w:rPr>
              <w:t>5</w:t>
            </w:r>
            <w:r w:rsidR="000D0588">
              <w:rPr>
                <w:rFonts w:cs="Calibri"/>
                <w:color w:val="000000"/>
                <w:sz w:val="22"/>
                <w:szCs w:val="22"/>
              </w:rPr>
              <w:t>8.69</w:t>
            </w:r>
          </w:p>
        </w:tc>
      </w:tr>
      <w:tr w:rsidR="00CD3B5E" w:rsidRPr="00E06C7A" w14:paraId="711506B8"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2D06B037" w14:textId="77777777" w:rsidR="0058452A" w:rsidRPr="000D0588" w:rsidRDefault="0058452A" w:rsidP="00E06C7A">
            <w:pPr>
              <w:rPr>
                <w:rFonts w:cs="Calibri"/>
                <w:color w:val="000000"/>
                <w:sz w:val="22"/>
                <w:szCs w:val="22"/>
              </w:rPr>
            </w:pPr>
            <w:r w:rsidRPr="000D0588">
              <w:rPr>
                <w:rFonts w:cs="Calibri"/>
                <w:color w:val="000000"/>
                <w:sz w:val="22"/>
                <w:szCs w:val="22"/>
              </w:rPr>
              <w:t>3A. Low with H or M</w:t>
            </w:r>
          </w:p>
        </w:tc>
        <w:tc>
          <w:tcPr>
            <w:tcW w:w="222" w:type="dxa"/>
            <w:tcBorders>
              <w:top w:val="nil"/>
              <w:left w:val="nil"/>
              <w:bottom w:val="nil"/>
              <w:right w:val="nil"/>
            </w:tcBorders>
            <w:shd w:val="clear" w:color="auto" w:fill="auto"/>
            <w:noWrap/>
            <w:vAlign w:val="bottom"/>
            <w:hideMark/>
          </w:tcPr>
          <w:p w14:paraId="74A2FE3A"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2BFFE584" w14:textId="35CF2233" w:rsidR="0058452A" w:rsidRPr="000D0588" w:rsidRDefault="000D0588" w:rsidP="00E06C7A">
            <w:pPr>
              <w:jc w:val="right"/>
              <w:rPr>
                <w:rFonts w:cs="Calibri"/>
                <w:color w:val="000000"/>
                <w:sz w:val="22"/>
                <w:szCs w:val="22"/>
              </w:rPr>
            </w:pPr>
            <w:r w:rsidRPr="000D0588">
              <w:rPr>
                <w:rFonts w:cs="Calibri"/>
                <w:color w:val="000000"/>
                <w:sz w:val="22"/>
                <w:szCs w:val="22"/>
              </w:rPr>
              <w:t>627</w:t>
            </w:r>
          </w:p>
        </w:tc>
        <w:tc>
          <w:tcPr>
            <w:tcW w:w="1218" w:type="dxa"/>
            <w:tcBorders>
              <w:top w:val="nil"/>
              <w:left w:val="nil"/>
              <w:bottom w:val="nil"/>
              <w:right w:val="nil"/>
            </w:tcBorders>
            <w:shd w:val="clear" w:color="auto" w:fill="auto"/>
            <w:noWrap/>
            <w:vAlign w:val="bottom"/>
            <w:hideMark/>
          </w:tcPr>
          <w:p w14:paraId="1314C8E8" w14:textId="03337FE6" w:rsidR="0058452A" w:rsidRPr="000D0588" w:rsidRDefault="000D0588" w:rsidP="00E06C7A">
            <w:pPr>
              <w:jc w:val="right"/>
              <w:rPr>
                <w:rFonts w:cs="Calibri"/>
                <w:color w:val="000000"/>
                <w:sz w:val="22"/>
                <w:szCs w:val="22"/>
              </w:rPr>
            </w:pPr>
            <w:r w:rsidRPr="000D0588">
              <w:rPr>
                <w:rFonts w:cs="Calibri"/>
                <w:color w:val="000000"/>
                <w:sz w:val="22"/>
                <w:szCs w:val="22"/>
              </w:rPr>
              <w:t>284</w:t>
            </w:r>
          </w:p>
        </w:tc>
        <w:tc>
          <w:tcPr>
            <w:tcW w:w="960" w:type="dxa"/>
            <w:tcBorders>
              <w:top w:val="nil"/>
              <w:left w:val="nil"/>
              <w:bottom w:val="nil"/>
              <w:right w:val="nil"/>
            </w:tcBorders>
          </w:tcPr>
          <w:p w14:paraId="6FBF4D86" w14:textId="639138EE" w:rsidR="0058452A" w:rsidRPr="000D0588" w:rsidRDefault="000D0588" w:rsidP="00E06C7A">
            <w:pPr>
              <w:jc w:val="right"/>
              <w:rPr>
                <w:rFonts w:cs="Calibri"/>
                <w:color w:val="000000"/>
                <w:sz w:val="22"/>
                <w:szCs w:val="22"/>
              </w:rPr>
            </w:pPr>
            <w:r w:rsidRPr="000D0588">
              <w:rPr>
                <w:rFonts w:cs="Calibri"/>
                <w:color w:val="000000"/>
                <w:sz w:val="22"/>
                <w:szCs w:val="22"/>
              </w:rPr>
              <w:t>161</w:t>
            </w:r>
          </w:p>
        </w:tc>
        <w:tc>
          <w:tcPr>
            <w:tcW w:w="960" w:type="dxa"/>
            <w:tcBorders>
              <w:top w:val="nil"/>
              <w:left w:val="nil"/>
              <w:bottom w:val="nil"/>
              <w:right w:val="nil"/>
            </w:tcBorders>
            <w:shd w:val="clear" w:color="auto" w:fill="auto"/>
            <w:noWrap/>
            <w:vAlign w:val="bottom"/>
            <w:hideMark/>
          </w:tcPr>
          <w:p w14:paraId="1F6C187E" w14:textId="5541F387" w:rsidR="0058452A" w:rsidRPr="000D0588" w:rsidRDefault="00CD3B5E" w:rsidP="00E06C7A">
            <w:pPr>
              <w:jc w:val="right"/>
              <w:rPr>
                <w:rFonts w:cs="Calibri"/>
                <w:color w:val="000000"/>
                <w:sz w:val="22"/>
                <w:szCs w:val="22"/>
              </w:rPr>
            </w:pPr>
            <w:r w:rsidRPr="000D0588">
              <w:rPr>
                <w:rFonts w:cs="Calibri"/>
                <w:color w:val="000000"/>
                <w:sz w:val="22"/>
                <w:szCs w:val="22"/>
              </w:rPr>
              <w:t>7</w:t>
            </w:r>
            <w:r w:rsidR="000D0588" w:rsidRPr="000D0588">
              <w:rPr>
                <w:rFonts w:cs="Calibri"/>
                <w:color w:val="000000"/>
                <w:sz w:val="22"/>
                <w:szCs w:val="22"/>
              </w:rPr>
              <w:t>76</w:t>
            </w:r>
          </w:p>
        </w:tc>
        <w:tc>
          <w:tcPr>
            <w:tcW w:w="960" w:type="dxa"/>
            <w:tcBorders>
              <w:top w:val="nil"/>
              <w:left w:val="nil"/>
              <w:bottom w:val="nil"/>
              <w:right w:val="nil"/>
            </w:tcBorders>
            <w:shd w:val="clear" w:color="auto" w:fill="auto"/>
            <w:noWrap/>
            <w:vAlign w:val="bottom"/>
            <w:hideMark/>
          </w:tcPr>
          <w:p w14:paraId="10F453B2" w14:textId="4DE69870" w:rsidR="0058452A" w:rsidRPr="00DB686A" w:rsidRDefault="000D0588" w:rsidP="00E06C7A">
            <w:pPr>
              <w:jc w:val="right"/>
              <w:rPr>
                <w:rFonts w:cs="Calibri"/>
                <w:color w:val="000000"/>
                <w:sz w:val="22"/>
                <w:szCs w:val="22"/>
              </w:rPr>
            </w:pPr>
            <w:r>
              <w:rPr>
                <w:rFonts w:cs="Calibri"/>
                <w:color w:val="000000"/>
                <w:sz w:val="22"/>
                <w:szCs w:val="22"/>
              </w:rPr>
              <w:t>1,848</w:t>
            </w:r>
          </w:p>
        </w:tc>
        <w:tc>
          <w:tcPr>
            <w:tcW w:w="960" w:type="dxa"/>
            <w:tcBorders>
              <w:top w:val="nil"/>
              <w:left w:val="nil"/>
              <w:bottom w:val="nil"/>
              <w:right w:val="nil"/>
            </w:tcBorders>
            <w:shd w:val="clear" w:color="auto" w:fill="auto"/>
            <w:noWrap/>
            <w:vAlign w:val="bottom"/>
            <w:hideMark/>
          </w:tcPr>
          <w:p w14:paraId="083B96CE" w14:textId="2272CFF7" w:rsidR="0058452A" w:rsidRPr="00DB686A" w:rsidRDefault="00CF68B5" w:rsidP="00E06C7A">
            <w:pPr>
              <w:jc w:val="right"/>
              <w:rPr>
                <w:rFonts w:cs="Calibri"/>
                <w:color w:val="000000"/>
                <w:sz w:val="22"/>
                <w:szCs w:val="22"/>
              </w:rPr>
            </w:pPr>
            <w:r w:rsidRPr="00DB686A">
              <w:rPr>
                <w:rFonts w:cs="Calibri"/>
                <w:color w:val="000000"/>
                <w:sz w:val="22"/>
                <w:szCs w:val="22"/>
              </w:rPr>
              <w:t>8.</w:t>
            </w:r>
            <w:r w:rsidR="000D0588">
              <w:rPr>
                <w:rFonts w:cs="Calibri"/>
                <w:color w:val="000000"/>
                <w:sz w:val="22"/>
                <w:szCs w:val="22"/>
              </w:rPr>
              <w:t>3</w:t>
            </w:r>
            <w:r w:rsidR="00CD3B5E" w:rsidRPr="00DB686A">
              <w:rPr>
                <w:rFonts w:cs="Calibri"/>
                <w:color w:val="000000"/>
                <w:sz w:val="22"/>
                <w:szCs w:val="22"/>
              </w:rPr>
              <w:t>6</w:t>
            </w:r>
          </w:p>
        </w:tc>
      </w:tr>
      <w:tr w:rsidR="00CD3B5E" w:rsidRPr="00E06C7A" w14:paraId="759420EC"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4EAFAF4A" w14:textId="740A2610" w:rsidR="0058452A" w:rsidRPr="000D0588" w:rsidRDefault="0058452A" w:rsidP="00E06C7A">
            <w:pPr>
              <w:rPr>
                <w:rFonts w:cs="Calibri"/>
                <w:color w:val="000000"/>
                <w:sz w:val="22"/>
                <w:szCs w:val="22"/>
              </w:rPr>
            </w:pPr>
            <w:r w:rsidRPr="000D0588">
              <w:rPr>
                <w:rFonts w:cs="Calibri"/>
                <w:color w:val="000000"/>
                <w:sz w:val="22"/>
                <w:szCs w:val="22"/>
              </w:rPr>
              <w:t>3B. Low with</w:t>
            </w:r>
            <w:r w:rsidR="00CF68B5" w:rsidRPr="000D0588">
              <w:rPr>
                <w:rFonts w:cs="Calibri"/>
                <w:color w:val="000000"/>
                <w:sz w:val="22"/>
                <w:szCs w:val="22"/>
              </w:rPr>
              <w:t>out</w:t>
            </w:r>
            <w:r w:rsidRPr="000D0588">
              <w:rPr>
                <w:rFonts w:cs="Calibri"/>
                <w:color w:val="000000"/>
                <w:sz w:val="22"/>
                <w:szCs w:val="22"/>
              </w:rPr>
              <w:t xml:space="preserve"> </w:t>
            </w:r>
            <w:r w:rsidR="00CF68B5" w:rsidRPr="000D0588">
              <w:rPr>
                <w:rFonts w:cs="Calibri"/>
                <w:color w:val="000000"/>
                <w:sz w:val="22"/>
                <w:szCs w:val="22"/>
              </w:rPr>
              <w:t>H or M</w:t>
            </w:r>
          </w:p>
        </w:tc>
        <w:tc>
          <w:tcPr>
            <w:tcW w:w="222" w:type="dxa"/>
            <w:tcBorders>
              <w:top w:val="nil"/>
              <w:left w:val="nil"/>
              <w:bottom w:val="nil"/>
              <w:right w:val="nil"/>
            </w:tcBorders>
            <w:shd w:val="clear" w:color="auto" w:fill="auto"/>
            <w:noWrap/>
            <w:vAlign w:val="bottom"/>
            <w:hideMark/>
          </w:tcPr>
          <w:p w14:paraId="44E479D5"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0C22B2F4" w14:textId="1E48794A" w:rsidR="0058452A" w:rsidRPr="000D0588" w:rsidRDefault="000D0588" w:rsidP="00E06C7A">
            <w:pPr>
              <w:jc w:val="right"/>
              <w:rPr>
                <w:rFonts w:cs="Calibri"/>
                <w:color w:val="000000"/>
                <w:sz w:val="22"/>
                <w:szCs w:val="22"/>
              </w:rPr>
            </w:pPr>
            <w:r w:rsidRPr="000D0588">
              <w:rPr>
                <w:rFonts w:cs="Calibri"/>
                <w:color w:val="000000"/>
                <w:sz w:val="22"/>
                <w:szCs w:val="22"/>
              </w:rPr>
              <w:t>327</w:t>
            </w:r>
          </w:p>
        </w:tc>
        <w:tc>
          <w:tcPr>
            <w:tcW w:w="1218" w:type="dxa"/>
            <w:tcBorders>
              <w:top w:val="nil"/>
              <w:left w:val="nil"/>
              <w:bottom w:val="nil"/>
              <w:right w:val="nil"/>
            </w:tcBorders>
            <w:shd w:val="clear" w:color="auto" w:fill="auto"/>
            <w:noWrap/>
            <w:vAlign w:val="bottom"/>
            <w:hideMark/>
          </w:tcPr>
          <w:p w14:paraId="2A37F490" w14:textId="795DF084" w:rsidR="0058452A" w:rsidRPr="000D0588" w:rsidRDefault="0058452A" w:rsidP="00E06C7A">
            <w:pPr>
              <w:jc w:val="right"/>
              <w:rPr>
                <w:rFonts w:cs="Calibri"/>
                <w:color w:val="000000"/>
                <w:sz w:val="22"/>
                <w:szCs w:val="22"/>
              </w:rPr>
            </w:pPr>
            <w:r w:rsidRPr="000D0588">
              <w:rPr>
                <w:rFonts w:cs="Calibri"/>
                <w:color w:val="000000"/>
                <w:sz w:val="22"/>
                <w:szCs w:val="22"/>
              </w:rPr>
              <w:t>0</w:t>
            </w:r>
          </w:p>
        </w:tc>
        <w:tc>
          <w:tcPr>
            <w:tcW w:w="960" w:type="dxa"/>
            <w:tcBorders>
              <w:top w:val="nil"/>
              <w:left w:val="nil"/>
              <w:bottom w:val="nil"/>
              <w:right w:val="nil"/>
            </w:tcBorders>
          </w:tcPr>
          <w:p w14:paraId="48DEA3F4" w14:textId="5D61CBA5" w:rsidR="0058452A" w:rsidRPr="000D0588" w:rsidRDefault="000D0588" w:rsidP="00E06C7A">
            <w:pPr>
              <w:jc w:val="right"/>
              <w:rPr>
                <w:rFonts w:cs="Calibri"/>
                <w:color w:val="000000"/>
                <w:sz w:val="22"/>
                <w:szCs w:val="22"/>
              </w:rPr>
            </w:pPr>
            <w:r w:rsidRPr="000D0588">
              <w:rPr>
                <w:rFonts w:cs="Calibri"/>
                <w:color w:val="000000"/>
                <w:sz w:val="22"/>
                <w:szCs w:val="22"/>
              </w:rPr>
              <w:t>41</w:t>
            </w:r>
          </w:p>
        </w:tc>
        <w:tc>
          <w:tcPr>
            <w:tcW w:w="960" w:type="dxa"/>
            <w:tcBorders>
              <w:top w:val="nil"/>
              <w:left w:val="nil"/>
              <w:bottom w:val="nil"/>
              <w:right w:val="nil"/>
            </w:tcBorders>
            <w:shd w:val="clear" w:color="auto" w:fill="auto"/>
            <w:noWrap/>
            <w:vAlign w:val="bottom"/>
            <w:hideMark/>
          </w:tcPr>
          <w:p w14:paraId="3FADFB73" w14:textId="0BCE68E3" w:rsidR="0058452A" w:rsidRPr="000D0588" w:rsidRDefault="000D0588" w:rsidP="00E06C7A">
            <w:pPr>
              <w:jc w:val="right"/>
              <w:rPr>
                <w:rFonts w:cs="Calibri"/>
                <w:color w:val="000000"/>
                <w:sz w:val="22"/>
                <w:szCs w:val="22"/>
              </w:rPr>
            </w:pPr>
            <w:r w:rsidRPr="000D0588">
              <w:rPr>
                <w:rFonts w:cs="Calibri"/>
                <w:color w:val="000000"/>
                <w:sz w:val="22"/>
                <w:szCs w:val="22"/>
              </w:rPr>
              <w:t>0</w:t>
            </w:r>
          </w:p>
        </w:tc>
        <w:tc>
          <w:tcPr>
            <w:tcW w:w="960" w:type="dxa"/>
            <w:tcBorders>
              <w:top w:val="nil"/>
              <w:left w:val="nil"/>
              <w:bottom w:val="nil"/>
              <w:right w:val="nil"/>
            </w:tcBorders>
            <w:shd w:val="clear" w:color="auto" w:fill="auto"/>
            <w:noWrap/>
            <w:vAlign w:val="bottom"/>
            <w:hideMark/>
          </w:tcPr>
          <w:p w14:paraId="10943B07" w14:textId="089A8E2E" w:rsidR="0058452A" w:rsidRPr="00DB686A" w:rsidRDefault="00CF68B5" w:rsidP="00E06C7A">
            <w:pPr>
              <w:jc w:val="right"/>
              <w:rPr>
                <w:rFonts w:cs="Calibri"/>
                <w:color w:val="000000"/>
                <w:sz w:val="22"/>
                <w:szCs w:val="22"/>
              </w:rPr>
            </w:pPr>
            <w:r w:rsidRPr="00DB686A">
              <w:rPr>
                <w:rFonts w:cs="Calibri"/>
                <w:color w:val="000000"/>
                <w:sz w:val="22"/>
                <w:szCs w:val="22"/>
              </w:rPr>
              <w:t>3</w:t>
            </w:r>
            <w:r w:rsidR="000D0588">
              <w:rPr>
                <w:rFonts w:cs="Calibri"/>
                <w:color w:val="000000"/>
                <w:sz w:val="22"/>
                <w:szCs w:val="22"/>
              </w:rPr>
              <w:t>68</w:t>
            </w:r>
          </w:p>
        </w:tc>
        <w:tc>
          <w:tcPr>
            <w:tcW w:w="960" w:type="dxa"/>
            <w:tcBorders>
              <w:top w:val="nil"/>
              <w:left w:val="nil"/>
              <w:bottom w:val="nil"/>
              <w:right w:val="nil"/>
            </w:tcBorders>
            <w:shd w:val="clear" w:color="auto" w:fill="auto"/>
            <w:noWrap/>
            <w:vAlign w:val="bottom"/>
            <w:hideMark/>
          </w:tcPr>
          <w:p w14:paraId="21A943A0" w14:textId="2C4D39A7" w:rsidR="0058452A" w:rsidRPr="00DB686A" w:rsidRDefault="00CF68B5" w:rsidP="00E06C7A">
            <w:pPr>
              <w:jc w:val="right"/>
              <w:rPr>
                <w:rFonts w:cs="Calibri"/>
                <w:color w:val="000000"/>
                <w:sz w:val="22"/>
                <w:szCs w:val="22"/>
              </w:rPr>
            </w:pPr>
            <w:r w:rsidRPr="00DB686A">
              <w:rPr>
                <w:rFonts w:cs="Calibri"/>
                <w:color w:val="000000"/>
                <w:sz w:val="22"/>
                <w:szCs w:val="22"/>
              </w:rPr>
              <w:t>1.</w:t>
            </w:r>
            <w:r w:rsidR="00CD3B5E" w:rsidRPr="00DB686A">
              <w:rPr>
                <w:rFonts w:cs="Calibri"/>
                <w:color w:val="000000"/>
                <w:sz w:val="22"/>
                <w:szCs w:val="22"/>
              </w:rPr>
              <w:t>6</w:t>
            </w:r>
            <w:r w:rsidR="000D0588">
              <w:rPr>
                <w:rFonts w:cs="Calibri"/>
                <w:color w:val="000000"/>
                <w:sz w:val="22"/>
                <w:szCs w:val="22"/>
              </w:rPr>
              <w:t>7</w:t>
            </w:r>
          </w:p>
        </w:tc>
      </w:tr>
      <w:tr w:rsidR="00CD3B5E" w:rsidRPr="00E06C7A" w14:paraId="7CB8E8DA"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4EBFE8BB" w14:textId="77777777" w:rsidR="0058452A" w:rsidRPr="000D0588" w:rsidRDefault="0058452A" w:rsidP="00E06C7A">
            <w:pPr>
              <w:rPr>
                <w:rFonts w:cs="Calibri"/>
                <w:color w:val="000000"/>
                <w:sz w:val="22"/>
                <w:szCs w:val="22"/>
              </w:rPr>
            </w:pPr>
            <w:r w:rsidRPr="000D0588">
              <w:rPr>
                <w:rFonts w:cs="Calibri"/>
                <w:color w:val="000000"/>
                <w:sz w:val="22"/>
                <w:szCs w:val="22"/>
              </w:rPr>
              <w:t xml:space="preserve">4A. </w:t>
            </w:r>
            <w:proofErr w:type="spellStart"/>
            <w:r w:rsidRPr="000D0588">
              <w:rPr>
                <w:rFonts w:cs="Calibri"/>
                <w:color w:val="000000"/>
                <w:sz w:val="22"/>
                <w:szCs w:val="22"/>
              </w:rPr>
              <w:t>XLow</w:t>
            </w:r>
            <w:proofErr w:type="spellEnd"/>
            <w:r w:rsidRPr="000D0588">
              <w:rPr>
                <w:rFonts w:cs="Calibri"/>
                <w:color w:val="000000"/>
                <w:sz w:val="22"/>
                <w:szCs w:val="22"/>
              </w:rPr>
              <w:t xml:space="preserve"> with H or M</w:t>
            </w:r>
          </w:p>
        </w:tc>
        <w:tc>
          <w:tcPr>
            <w:tcW w:w="222" w:type="dxa"/>
            <w:tcBorders>
              <w:top w:val="nil"/>
              <w:left w:val="nil"/>
              <w:bottom w:val="nil"/>
              <w:right w:val="nil"/>
            </w:tcBorders>
            <w:shd w:val="clear" w:color="auto" w:fill="auto"/>
            <w:noWrap/>
            <w:vAlign w:val="bottom"/>
            <w:hideMark/>
          </w:tcPr>
          <w:p w14:paraId="33503676"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27460F41" w14:textId="29A98553" w:rsidR="0058452A" w:rsidRPr="000D0588" w:rsidRDefault="0058452A" w:rsidP="00E06C7A">
            <w:pPr>
              <w:jc w:val="right"/>
              <w:rPr>
                <w:rFonts w:cs="Calibri"/>
                <w:color w:val="000000"/>
                <w:sz w:val="22"/>
                <w:szCs w:val="22"/>
              </w:rPr>
            </w:pPr>
            <w:r w:rsidRPr="000D0588">
              <w:rPr>
                <w:rFonts w:cs="Calibri"/>
                <w:color w:val="000000"/>
                <w:sz w:val="22"/>
                <w:szCs w:val="22"/>
              </w:rPr>
              <w:t>2</w:t>
            </w:r>
            <w:r w:rsidR="000D0588" w:rsidRPr="000D0588">
              <w:rPr>
                <w:rFonts w:cs="Calibri"/>
                <w:color w:val="000000"/>
                <w:sz w:val="22"/>
                <w:szCs w:val="22"/>
              </w:rPr>
              <w:t>60</w:t>
            </w:r>
          </w:p>
        </w:tc>
        <w:tc>
          <w:tcPr>
            <w:tcW w:w="1218" w:type="dxa"/>
            <w:tcBorders>
              <w:top w:val="nil"/>
              <w:left w:val="nil"/>
              <w:bottom w:val="nil"/>
              <w:right w:val="nil"/>
            </w:tcBorders>
            <w:shd w:val="clear" w:color="auto" w:fill="auto"/>
            <w:noWrap/>
            <w:vAlign w:val="bottom"/>
            <w:hideMark/>
          </w:tcPr>
          <w:p w14:paraId="45C407E8" w14:textId="676C89D5" w:rsidR="0058452A" w:rsidRPr="000D0588" w:rsidRDefault="000D0588" w:rsidP="00E06C7A">
            <w:pPr>
              <w:jc w:val="right"/>
              <w:rPr>
                <w:rFonts w:cs="Calibri"/>
                <w:color w:val="000000"/>
                <w:sz w:val="22"/>
                <w:szCs w:val="22"/>
              </w:rPr>
            </w:pPr>
            <w:r w:rsidRPr="000D0588">
              <w:rPr>
                <w:rFonts w:cs="Calibri"/>
                <w:color w:val="000000"/>
                <w:sz w:val="22"/>
                <w:szCs w:val="22"/>
              </w:rPr>
              <w:t>142</w:t>
            </w:r>
          </w:p>
        </w:tc>
        <w:tc>
          <w:tcPr>
            <w:tcW w:w="960" w:type="dxa"/>
            <w:tcBorders>
              <w:top w:val="nil"/>
              <w:left w:val="nil"/>
              <w:bottom w:val="nil"/>
              <w:right w:val="nil"/>
            </w:tcBorders>
          </w:tcPr>
          <w:p w14:paraId="02D16A6C" w14:textId="49F09190" w:rsidR="0058452A" w:rsidRPr="000D0588" w:rsidRDefault="000D0588" w:rsidP="00E06C7A">
            <w:pPr>
              <w:jc w:val="right"/>
              <w:rPr>
                <w:rFonts w:cs="Calibri"/>
                <w:color w:val="000000"/>
                <w:sz w:val="22"/>
                <w:szCs w:val="22"/>
              </w:rPr>
            </w:pPr>
            <w:r w:rsidRPr="000D0588">
              <w:rPr>
                <w:rFonts w:cs="Calibri"/>
                <w:color w:val="000000"/>
                <w:sz w:val="22"/>
                <w:szCs w:val="22"/>
              </w:rPr>
              <w:t>52</w:t>
            </w:r>
          </w:p>
        </w:tc>
        <w:tc>
          <w:tcPr>
            <w:tcW w:w="960" w:type="dxa"/>
            <w:tcBorders>
              <w:top w:val="nil"/>
              <w:left w:val="nil"/>
              <w:bottom w:val="nil"/>
              <w:right w:val="nil"/>
            </w:tcBorders>
            <w:shd w:val="clear" w:color="auto" w:fill="auto"/>
            <w:noWrap/>
            <w:vAlign w:val="bottom"/>
            <w:hideMark/>
          </w:tcPr>
          <w:p w14:paraId="0C701A37" w14:textId="2D0D0B58" w:rsidR="0058452A" w:rsidRPr="000D0588" w:rsidRDefault="00CD3B5E" w:rsidP="00E06C7A">
            <w:pPr>
              <w:jc w:val="right"/>
              <w:rPr>
                <w:rFonts w:cs="Calibri"/>
                <w:color w:val="000000"/>
                <w:sz w:val="22"/>
                <w:szCs w:val="22"/>
              </w:rPr>
            </w:pPr>
            <w:r w:rsidRPr="000D0588">
              <w:rPr>
                <w:rFonts w:cs="Calibri"/>
                <w:color w:val="000000"/>
                <w:sz w:val="22"/>
                <w:szCs w:val="22"/>
              </w:rPr>
              <w:t>3</w:t>
            </w:r>
            <w:r w:rsidR="000D0588" w:rsidRPr="000D0588">
              <w:rPr>
                <w:rFonts w:cs="Calibri"/>
                <w:color w:val="000000"/>
                <w:sz w:val="22"/>
                <w:szCs w:val="22"/>
              </w:rPr>
              <w:t>8</w:t>
            </w:r>
            <w:r w:rsidRPr="000D0588">
              <w:rPr>
                <w:rFonts w:cs="Calibri"/>
                <w:color w:val="000000"/>
                <w:sz w:val="22"/>
                <w:szCs w:val="22"/>
              </w:rPr>
              <w:t>8</w:t>
            </w:r>
          </w:p>
        </w:tc>
        <w:tc>
          <w:tcPr>
            <w:tcW w:w="960" w:type="dxa"/>
            <w:tcBorders>
              <w:top w:val="nil"/>
              <w:left w:val="nil"/>
              <w:bottom w:val="nil"/>
              <w:right w:val="nil"/>
            </w:tcBorders>
            <w:shd w:val="clear" w:color="auto" w:fill="auto"/>
            <w:noWrap/>
            <w:vAlign w:val="bottom"/>
            <w:hideMark/>
          </w:tcPr>
          <w:p w14:paraId="43AA55AB" w14:textId="71E42093" w:rsidR="0058452A" w:rsidRPr="00DB686A" w:rsidRDefault="000D0588" w:rsidP="00E06C7A">
            <w:pPr>
              <w:jc w:val="right"/>
              <w:rPr>
                <w:rFonts w:cs="Calibri"/>
                <w:color w:val="000000"/>
                <w:sz w:val="22"/>
                <w:szCs w:val="22"/>
              </w:rPr>
            </w:pPr>
            <w:r>
              <w:rPr>
                <w:rFonts w:cs="Calibri"/>
                <w:color w:val="000000"/>
                <w:sz w:val="22"/>
                <w:szCs w:val="22"/>
              </w:rPr>
              <w:t>842</w:t>
            </w:r>
          </w:p>
        </w:tc>
        <w:tc>
          <w:tcPr>
            <w:tcW w:w="960" w:type="dxa"/>
            <w:tcBorders>
              <w:top w:val="nil"/>
              <w:left w:val="nil"/>
              <w:bottom w:val="nil"/>
              <w:right w:val="nil"/>
            </w:tcBorders>
            <w:shd w:val="clear" w:color="auto" w:fill="auto"/>
            <w:noWrap/>
            <w:vAlign w:val="bottom"/>
            <w:hideMark/>
          </w:tcPr>
          <w:p w14:paraId="78A568F8" w14:textId="57C2A7AE" w:rsidR="0058452A" w:rsidRPr="00DB686A" w:rsidRDefault="000D0588" w:rsidP="00E06C7A">
            <w:pPr>
              <w:jc w:val="right"/>
              <w:rPr>
                <w:rFonts w:cs="Calibri"/>
                <w:color w:val="000000"/>
                <w:sz w:val="22"/>
                <w:szCs w:val="22"/>
              </w:rPr>
            </w:pPr>
            <w:r>
              <w:rPr>
                <w:rFonts w:cs="Calibri"/>
                <w:color w:val="000000"/>
                <w:sz w:val="22"/>
                <w:szCs w:val="22"/>
              </w:rPr>
              <w:t>3.81</w:t>
            </w:r>
          </w:p>
        </w:tc>
      </w:tr>
      <w:tr w:rsidR="00CD3B5E" w:rsidRPr="00E06C7A" w14:paraId="23A298C6"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5CC9EFA6" w14:textId="77777777" w:rsidR="0058452A" w:rsidRPr="000D0588" w:rsidRDefault="0058452A" w:rsidP="00E06C7A">
            <w:pPr>
              <w:rPr>
                <w:rFonts w:cs="Calibri"/>
                <w:color w:val="000000"/>
                <w:sz w:val="22"/>
                <w:szCs w:val="22"/>
              </w:rPr>
            </w:pPr>
            <w:r w:rsidRPr="000D0588">
              <w:rPr>
                <w:rFonts w:cs="Calibri"/>
                <w:color w:val="000000"/>
                <w:sz w:val="22"/>
                <w:szCs w:val="22"/>
              </w:rPr>
              <w:t xml:space="preserve">4B. </w:t>
            </w:r>
            <w:proofErr w:type="spellStart"/>
            <w:r w:rsidRPr="000D0588">
              <w:rPr>
                <w:rFonts w:cs="Calibri"/>
                <w:color w:val="000000"/>
                <w:sz w:val="22"/>
                <w:szCs w:val="22"/>
              </w:rPr>
              <w:t>Xlow</w:t>
            </w:r>
            <w:proofErr w:type="spellEnd"/>
            <w:r w:rsidRPr="000D0588">
              <w:rPr>
                <w:rFonts w:cs="Calibri"/>
                <w:color w:val="000000"/>
                <w:sz w:val="22"/>
                <w:szCs w:val="22"/>
              </w:rPr>
              <w:t xml:space="preserve"> without H or M</w:t>
            </w:r>
          </w:p>
        </w:tc>
        <w:tc>
          <w:tcPr>
            <w:tcW w:w="222" w:type="dxa"/>
            <w:tcBorders>
              <w:top w:val="nil"/>
              <w:left w:val="nil"/>
              <w:bottom w:val="nil"/>
              <w:right w:val="nil"/>
            </w:tcBorders>
            <w:shd w:val="clear" w:color="auto" w:fill="auto"/>
            <w:noWrap/>
            <w:vAlign w:val="bottom"/>
            <w:hideMark/>
          </w:tcPr>
          <w:p w14:paraId="49FBA844"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5673274C" w14:textId="61A7ADED" w:rsidR="0058452A" w:rsidRPr="000D0588" w:rsidRDefault="0058452A" w:rsidP="00E06C7A">
            <w:pPr>
              <w:jc w:val="right"/>
              <w:rPr>
                <w:rFonts w:cs="Calibri"/>
                <w:color w:val="000000"/>
                <w:sz w:val="22"/>
                <w:szCs w:val="22"/>
              </w:rPr>
            </w:pPr>
            <w:r w:rsidRPr="000D0588">
              <w:rPr>
                <w:rFonts w:cs="Calibri"/>
                <w:color w:val="000000"/>
                <w:sz w:val="22"/>
                <w:szCs w:val="22"/>
              </w:rPr>
              <w:t>22</w:t>
            </w:r>
            <w:r w:rsidR="000D0588" w:rsidRPr="000D0588">
              <w:rPr>
                <w:rFonts w:cs="Calibri"/>
                <w:color w:val="000000"/>
                <w:sz w:val="22"/>
                <w:szCs w:val="22"/>
              </w:rPr>
              <w:t>4</w:t>
            </w:r>
          </w:p>
        </w:tc>
        <w:tc>
          <w:tcPr>
            <w:tcW w:w="1218" w:type="dxa"/>
            <w:tcBorders>
              <w:top w:val="nil"/>
              <w:left w:val="nil"/>
              <w:bottom w:val="nil"/>
              <w:right w:val="nil"/>
            </w:tcBorders>
            <w:shd w:val="clear" w:color="auto" w:fill="auto"/>
            <w:noWrap/>
            <w:vAlign w:val="bottom"/>
            <w:hideMark/>
          </w:tcPr>
          <w:p w14:paraId="1AB76C59" w14:textId="712FECEB" w:rsidR="0058452A" w:rsidRPr="000D0588" w:rsidRDefault="0058452A" w:rsidP="00E06C7A">
            <w:pPr>
              <w:jc w:val="right"/>
              <w:rPr>
                <w:rFonts w:cs="Calibri"/>
                <w:color w:val="000000"/>
                <w:sz w:val="22"/>
                <w:szCs w:val="22"/>
              </w:rPr>
            </w:pPr>
            <w:r w:rsidRPr="000D0588">
              <w:rPr>
                <w:rFonts w:cs="Calibri"/>
                <w:color w:val="000000"/>
                <w:sz w:val="22"/>
                <w:szCs w:val="22"/>
              </w:rPr>
              <w:t>0</w:t>
            </w:r>
          </w:p>
        </w:tc>
        <w:tc>
          <w:tcPr>
            <w:tcW w:w="960" w:type="dxa"/>
            <w:tcBorders>
              <w:top w:val="nil"/>
              <w:left w:val="nil"/>
              <w:bottom w:val="nil"/>
              <w:right w:val="nil"/>
            </w:tcBorders>
          </w:tcPr>
          <w:p w14:paraId="24F1D687" w14:textId="78C856A1" w:rsidR="0058452A" w:rsidRPr="000D0588" w:rsidRDefault="000D0588" w:rsidP="00E06C7A">
            <w:pPr>
              <w:jc w:val="right"/>
              <w:rPr>
                <w:rFonts w:cs="Calibri"/>
                <w:color w:val="000000"/>
                <w:sz w:val="22"/>
                <w:szCs w:val="22"/>
              </w:rPr>
            </w:pPr>
            <w:r w:rsidRPr="000D0588">
              <w:rPr>
                <w:rFonts w:cs="Calibri"/>
                <w:color w:val="000000"/>
                <w:sz w:val="22"/>
                <w:szCs w:val="22"/>
              </w:rPr>
              <w:t>60</w:t>
            </w:r>
          </w:p>
        </w:tc>
        <w:tc>
          <w:tcPr>
            <w:tcW w:w="960" w:type="dxa"/>
            <w:tcBorders>
              <w:top w:val="nil"/>
              <w:left w:val="nil"/>
              <w:bottom w:val="nil"/>
              <w:right w:val="nil"/>
            </w:tcBorders>
            <w:shd w:val="clear" w:color="auto" w:fill="auto"/>
            <w:noWrap/>
            <w:vAlign w:val="bottom"/>
            <w:hideMark/>
          </w:tcPr>
          <w:p w14:paraId="09C44EBA" w14:textId="38B05028" w:rsidR="0058452A" w:rsidRPr="000D0588" w:rsidRDefault="000D0588" w:rsidP="00E06C7A">
            <w:pPr>
              <w:jc w:val="right"/>
              <w:rPr>
                <w:rFonts w:cs="Calibri"/>
                <w:color w:val="000000"/>
                <w:sz w:val="22"/>
                <w:szCs w:val="22"/>
              </w:rPr>
            </w:pPr>
            <w:r w:rsidRPr="000D0588">
              <w:rPr>
                <w:rFonts w:cs="Calibri"/>
                <w:color w:val="000000"/>
                <w:sz w:val="22"/>
                <w:szCs w:val="22"/>
              </w:rPr>
              <w:t>2</w:t>
            </w:r>
          </w:p>
        </w:tc>
        <w:tc>
          <w:tcPr>
            <w:tcW w:w="960" w:type="dxa"/>
            <w:tcBorders>
              <w:top w:val="nil"/>
              <w:left w:val="nil"/>
              <w:bottom w:val="nil"/>
              <w:right w:val="nil"/>
            </w:tcBorders>
            <w:shd w:val="clear" w:color="auto" w:fill="auto"/>
            <w:noWrap/>
            <w:vAlign w:val="bottom"/>
            <w:hideMark/>
          </w:tcPr>
          <w:p w14:paraId="4B0CF87B" w14:textId="5EFFD723" w:rsidR="0058452A" w:rsidRPr="00DB686A" w:rsidRDefault="00910A59" w:rsidP="00E06C7A">
            <w:pPr>
              <w:jc w:val="right"/>
              <w:rPr>
                <w:rFonts w:cs="Calibri"/>
                <w:color w:val="000000"/>
                <w:sz w:val="22"/>
                <w:szCs w:val="22"/>
              </w:rPr>
            </w:pPr>
            <w:r w:rsidRPr="00DB686A">
              <w:rPr>
                <w:rFonts w:cs="Calibri"/>
                <w:color w:val="000000"/>
                <w:sz w:val="22"/>
                <w:szCs w:val="22"/>
              </w:rPr>
              <w:t>2</w:t>
            </w:r>
            <w:r w:rsidR="000D0588">
              <w:rPr>
                <w:rFonts w:cs="Calibri"/>
                <w:color w:val="000000"/>
                <w:sz w:val="22"/>
                <w:szCs w:val="22"/>
              </w:rPr>
              <w:t>86</w:t>
            </w:r>
          </w:p>
        </w:tc>
        <w:tc>
          <w:tcPr>
            <w:tcW w:w="960" w:type="dxa"/>
            <w:tcBorders>
              <w:top w:val="nil"/>
              <w:left w:val="nil"/>
              <w:bottom w:val="nil"/>
              <w:right w:val="nil"/>
            </w:tcBorders>
            <w:shd w:val="clear" w:color="auto" w:fill="auto"/>
            <w:noWrap/>
            <w:vAlign w:val="bottom"/>
            <w:hideMark/>
          </w:tcPr>
          <w:p w14:paraId="4BA56864" w14:textId="01EDFF9E" w:rsidR="0058452A" w:rsidRPr="00DB686A" w:rsidRDefault="000D0588" w:rsidP="00E06C7A">
            <w:pPr>
              <w:jc w:val="right"/>
              <w:rPr>
                <w:rFonts w:cs="Calibri"/>
                <w:color w:val="000000"/>
                <w:sz w:val="22"/>
                <w:szCs w:val="22"/>
              </w:rPr>
            </w:pPr>
            <w:r>
              <w:rPr>
                <w:rFonts w:cs="Calibri"/>
                <w:color w:val="000000"/>
                <w:sz w:val="22"/>
                <w:szCs w:val="22"/>
              </w:rPr>
              <w:t>1</w:t>
            </w:r>
            <w:r w:rsidR="00910A59" w:rsidRPr="00DB686A">
              <w:rPr>
                <w:rFonts w:cs="Calibri"/>
                <w:color w:val="000000"/>
                <w:sz w:val="22"/>
                <w:szCs w:val="22"/>
              </w:rPr>
              <w:t>.</w:t>
            </w:r>
            <w:r>
              <w:rPr>
                <w:rFonts w:cs="Calibri"/>
                <w:color w:val="000000"/>
                <w:sz w:val="22"/>
                <w:szCs w:val="22"/>
              </w:rPr>
              <w:t>2</w:t>
            </w:r>
            <w:r w:rsidR="00910A59" w:rsidRPr="00DB686A">
              <w:rPr>
                <w:rFonts w:cs="Calibri"/>
                <w:color w:val="000000"/>
                <w:sz w:val="22"/>
                <w:szCs w:val="22"/>
              </w:rPr>
              <w:t>9</w:t>
            </w:r>
          </w:p>
        </w:tc>
      </w:tr>
      <w:tr w:rsidR="00CD3B5E" w:rsidRPr="00E06C7A" w14:paraId="6496E406"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2FCBB29B" w14:textId="77777777" w:rsidR="0058452A" w:rsidRPr="000D0588" w:rsidRDefault="0058452A" w:rsidP="00E06C7A">
            <w:pPr>
              <w:rPr>
                <w:rFonts w:cs="Calibri"/>
                <w:color w:val="000000"/>
                <w:sz w:val="22"/>
                <w:szCs w:val="22"/>
              </w:rPr>
            </w:pPr>
            <w:r w:rsidRPr="000D0588">
              <w:rPr>
                <w:rFonts w:cs="Calibri"/>
                <w:color w:val="000000"/>
                <w:sz w:val="22"/>
                <w:szCs w:val="22"/>
              </w:rPr>
              <w:t>Total Released</w:t>
            </w:r>
          </w:p>
        </w:tc>
        <w:tc>
          <w:tcPr>
            <w:tcW w:w="222" w:type="dxa"/>
            <w:tcBorders>
              <w:top w:val="nil"/>
              <w:left w:val="nil"/>
              <w:bottom w:val="nil"/>
              <w:right w:val="nil"/>
            </w:tcBorders>
            <w:shd w:val="clear" w:color="auto" w:fill="auto"/>
            <w:noWrap/>
            <w:vAlign w:val="bottom"/>
            <w:hideMark/>
          </w:tcPr>
          <w:p w14:paraId="348FB382"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hideMark/>
          </w:tcPr>
          <w:p w14:paraId="07E65BD8" w14:textId="549DBE64" w:rsidR="0058452A" w:rsidRPr="000D0588" w:rsidRDefault="0058452A" w:rsidP="00E06C7A">
            <w:pPr>
              <w:jc w:val="right"/>
              <w:rPr>
                <w:rFonts w:cs="Calibri"/>
                <w:color w:val="000000"/>
                <w:sz w:val="22"/>
                <w:szCs w:val="22"/>
              </w:rPr>
            </w:pPr>
            <w:r w:rsidRPr="000D0588">
              <w:rPr>
                <w:rFonts w:cs="Calibri"/>
                <w:color w:val="000000"/>
                <w:sz w:val="22"/>
                <w:szCs w:val="22"/>
              </w:rPr>
              <w:t>9,</w:t>
            </w:r>
            <w:r w:rsidR="000D0588" w:rsidRPr="000D0588">
              <w:rPr>
                <w:rFonts w:cs="Calibri"/>
                <w:color w:val="000000"/>
                <w:sz w:val="22"/>
                <w:szCs w:val="22"/>
              </w:rPr>
              <w:t>504</w:t>
            </w:r>
          </w:p>
        </w:tc>
        <w:tc>
          <w:tcPr>
            <w:tcW w:w="1218" w:type="dxa"/>
            <w:tcBorders>
              <w:top w:val="nil"/>
              <w:left w:val="nil"/>
              <w:bottom w:val="nil"/>
              <w:right w:val="nil"/>
            </w:tcBorders>
            <w:shd w:val="clear" w:color="auto" w:fill="auto"/>
            <w:noWrap/>
            <w:vAlign w:val="bottom"/>
            <w:hideMark/>
          </w:tcPr>
          <w:p w14:paraId="2B5E2A3D" w14:textId="3BC6BE4C" w:rsidR="0058452A" w:rsidRPr="000D0588" w:rsidRDefault="000D0588" w:rsidP="00E06C7A">
            <w:pPr>
              <w:jc w:val="right"/>
              <w:rPr>
                <w:rFonts w:cs="Calibri"/>
                <w:color w:val="000000"/>
                <w:sz w:val="22"/>
                <w:szCs w:val="22"/>
              </w:rPr>
            </w:pPr>
            <w:r w:rsidRPr="000D0588">
              <w:rPr>
                <w:rFonts w:cs="Calibri"/>
                <w:color w:val="000000"/>
                <w:sz w:val="22"/>
                <w:szCs w:val="22"/>
              </w:rPr>
              <w:t>2,838</w:t>
            </w:r>
          </w:p>
        </w:tc>
        <w:tc>
          <w:tcPr>
            <w:tcW w:w="960" w:type="dxa"/>
            <w:tcBorders>
              <w:top w:val="nil"/>
              <w:left w:val="nil"/>
              <w:bottom w:val="nil"/>
              <w:right w:val="nil"/>
            </w:tcBorders>
          </w:tcPr>
          <w:p w14:paraId="132FDAA0" w14:textId="7420C8EB" w:rsidR="0058452A" w:rsidRPr="000D0588" w:rsidRDefault="000D0588" w:rsidP="00E06C7A">
            <w:pPr>
              <w:jc w:val="right"/>
              <w:rPr>
                <w:rFonts w:cs="Calibri"/>
                <w:color w:val="000000"/>
                <w:sz w:val="22"/>
                <w:szCs w:val="22"/>
              </w:rPr>
            </w:pPr>
            <w:r w:rsidRPr="000D0588">
              <w:rPr>
                <w:rFonts w:cs="Calibri"/>
                <w:color w:val="000000"/>
                <w:sz w:val="22"/>
                <w:szCs w:val="22"/>
              </w:rPr>
              <w:t>2,050</w:t>
            </w:r>
          </w:p>
        </w:tc>
        <w:tc>
          <w:tcPr>
            <w:tcW w:w="960" w:type="dxa"/>
            <w:tcBorders>
              <w:top w:val="nil"/>
              <w:left w:val="nil"/>
              <w:bottom w:val="nil"/>
              <w:right w:val="nil"/>
            </w:tcBorders>
            <w:shd w:val="clear" w:color="auto" w:fill="auto"/>
            <w:noWrap/>
            <w:vAlign w:val="bottom"/>
            <w:hideMark/>
          </w:tcPr>
          <w:p w14:paraId="5687258C" w14:textId="39140BBE" w:rsidR="0058452A" w:rsidRPr="000D0588" w:rsidRDefault="000D0588" w:rsidP="00E06C7A">
            <w:pPr>
              <w:jc w:val="right"/>
              <w:rPr>
                <w:rFonts w:cs="Calibri"/>
                <w:color w:val="000000"/>
                <w:sz w:val="22"/>
                <w:szCs w:val="22"/>
              </w:rPr>
            </w:pPr>
            <w:r w:rsidRPr="000D0588">
              <w:rPr>
                <w:rFonts w:cs="Calibri"/>
                <w:color w:val="000000"/>
                <w:sz w:val="22"/>
                <w:szCs w:val="22"/>
              </w:rPr>
              <w:t>7,706</w:t>
            </w:r>
          </w:p>
        </w:tc>
        <w:tc>
          <w:tcPr>
            <w:tcW w:w="960" w:type="dxa"/>
            <w:tcBorders>
              <w:top w:val="nil"/>
              <w:left w:val="nil"/>
              <w:bottom w:val="nil"/>
              <w:right w:val="nil"/>
            </w:tcBorders>
            <w:shd w:val="clear" w:color="auto" w:fill="auto"/>
            <w:noWrap/>
            <w:vAlign w:val="bottom"/>
            <w:hideMark/>
          </w:tcPr>
          <w:p w14:paraId="19B85F54" w14:textId="3E3DB31F" w:rsidR="0058452A" w:rsidRPr="00DB686A" w:rsidRDefault="00CF68B5" w:rsidP="00E06C7A">
            <w:pPr>
              <w:jc w:val="right"/>
              <w:rPr>
                <w:rFonts w:cs="Calibri"/>
                <w:color w:val="000000"/>
                <w:sz w:val="22"/>
                <w:szCs w:val="22"/>
              </w:rPr>
            </w:pPr>
            <w:r w:rsidRPr="00DB686A">
              <w:rPr>
                <w:rFonts w:cs="Calibri"/>
                <w:color w:val="000000"/>
                <w:sz w:val="22"/>
                <w:szCs w:val="22"/>
              </w:rPr>
              <w:t>2</w:t>
            </w:r>
            <w:r w:rsidR="000D0588">
              <w:rPr>
                <w:rFonts w:cs="Calibri"/>
                <w:color w:val="000000"/>
                <w:sz w:val="22"/>
                <w:szCs w:val="22"/>
              </w:rPr>
              <w:t>2,098</w:t>
            </w:r>
          </w:p>
        </w:tc>
        <w:tc>
          <w:tcPr>
            <w:tcW w:w="960" w:type="dxa"/>
            <w:tcBorders>
              <w:top w:val="nil"/>
              <w:left w:val="nil"/>
              <w:bottom w:val="nil"/>
              <w:right w:val="nil"/>
            </w:tcBorders>
            <w:shd w:val="clear" w:color="auto" w:fill="auto"/>
            <w:noWrap/>
            <w:vAlign w:val="bottom"/>
            <w:hideMark/>
          </w:tcPr>
          <w:p w14:paraId="512DC978" w14:textId="77777777" w:rsidR="0058452A" w:rsidRPr="00DB686A" w:rsidRDefault="0058452A" w:rsidP="00E06C7A">
            <w:pPr>
              <w:jc w:val="right"/>
              <w:rPr>
                <w:rFonts w:cs="Calibri"/>
                <w:color w:val="000000"/>
                <w:sz w:val="22"/>
                <w:szCs w:val="22"/>
              </w:rPr>
            </w:pPr>
            <w:r w:rsidRPr="00DB686A">
              <w:rPr>
                <w:rFonts w:cs="Calibri"/>
                <w:color w:val="000000"/>
                <w:sz w:val="22"/>
                <w:szCs w:val="22"/>
              </w:rPr>
              <w:t>100.00</w:t>
            </w:r>
          </w:p>
        </w:tc>
      </w:tr>
      <w:tr w:rsidR="00CD3B5E" w:rsidRPr="00E06C7A" w14:paraId="0941B25C" w14:textId="77777777" w:rsidTr="000D0588">
        <w:trPr>
          <w:trHeight w:val="288"/>
        </w:trPr>
        <w:tc>
          <w:tcPr>
            <w:tcW w:w="3182" w:type="dxa"/>
            <w:gridSpan w:val="2"/>
            <w:tcBorders>
              <w:top w:val="nil"/>
              <w:left w:val="nil"/>
              <w:bottom w:val="nil"/>
              <w:right w:val="nil"/>
            </w:tcBorders>
            <w:shd w:val="clear" w:color="auto" w:fill="auto"/>
            <w:noWrap/>
            <w:vAlign w:val="bottom"/>
          </w:tcPr>
          <w:p w14:paraId="0BB69572" w14:textId="37137B64" w:rsidR="0058452A" w:rsidRPr="000D0588" w:rsidRDefault="0058452A" w:rsidP="00E06C7A">
            <w:pPr>
              <w:rPr>
                <w:rFonts w:cs="Calibri"/>
                <w:color w:val="000000"/>
                <w:sz w:val="22"/>
                <w:szCs w:val="22"/>
              </w:rPr>
            </w:pPr>
            <w:r w:rsidRPr="000D0588">
              <w:rPr>
                <w:rFonts w:cs="Calibri"/>
                <w:color w:val="000000"/>
                <w:sz w:val="22"/>
                <w:szCs w:val="22"/>
              </w:rPr>
              <w:t>Notes excluded*</w:t>
            </w:r>
          </w:p>
        </w:tc>
        <w:tc>
          <w:tcPr>
            <w:tcW w:w="222" w:type="dxa"/>
            <w:tcBorders>
              <w:top w:val="nil"/>
              <w:left w:val="nil"/>
              <w:bottom w:val="nil"/>
              <w:right w:val="nil"/>
            </w:tcBorders>
            <w:shd w:val="clear" w:color="auto" w:fill="auto"/>
            <w:noWrap/>
            <w:vAlign w:val="bottom"/>
          </w:tcPr>
          <w:p w14:paraId="768FF307" w14:textId="77777777" w:rsidR="0058452A" w:rsidRPr="000D0588" w:rsidRDefault="0058452A" w:rsidP="00E06C7A">
            <w:pPr>
              <w:rPr>
                <w:rFonts w:cs="Calibri"/>
                <w:color w:val="000000"/>
                <w:sz w:val="22"/>
                <w:szCs w:val="22"/>
              </w:rPr>
            </w:pPr>
          </w:p>
        </w:tc>
        <w:tc>
          <w:tcPr>
            <w:tcW w:w="1330" w:type="dxa"/>
            <w:gridSpan w:val="2"/>
            <w:tcBorders>
              <w:top w:val="nil"/>
              <w:left w:val="nil"/>
              <w:bottom w:val="nil"/>
              <w:right w:val="nil"/>
            </w:tcBorders>
            <w:shd w:val="clear" w:color="auto" w:fill="auto"/>
            <w:noWrap/>
            <w:vAlign w:val="bottom"/>
          </w:tcPr>
          <w:p w14:paraId="0B6B51BA" w14:textId="600D8DE4" w:rsidR="0058452A" w:rsidRPr="000D0588" w:rsidRDefault="000D0588" w:rsidP="00E06C7A">
            <w:pPr>
              <w:jc w:val="right"/>
              <w:rPr>
                <w:rFonts w:cs="Calibri"/>
                <w:color w:val="000000"/>
                <w:sz w:val="22"/>
                <w:szCs w:val="22"/>
              </w:rPr>
            </w:pPr>
            <w:r w:rsidRPr="000D0588">
              <w:rPr>
                <w:rFonts w:cs="Calibri"/>
                <w:color w:val="000000"/>
                <w:sz w:val="22"/>
                <w:szCs w:val="22"/>
              </w:rPr>
              <w:t>138</w:t>
            </w:r>
          </w:p>
        </w:tc>
        <w:tc>
          <w:tcPr>
            <w:tcW w:w="1218" w:type="dxa"/>
            <w:tcBorders>
              <w:top w:val="nil"/>
              <w:left w:val="nil"/>
              <w:bottom w:val="nil"/>
              <w:right w:val="nil"/>
            </w:tcBorders>
            <w:shd w:val="clear" w:color="auto" w:fill="auto"/>
            <w:noWrap/>
            <w:vAlign w:val="bottom"/>
          </w:tcPr>
          <w:p w14:paraId="2F2AFB8D" w14:textId="030957AC" w:rsidR="0058452A" w:rsidRPr="000D0588" w:rsidRDefault="000D0588" w:rsidP="00E06C7A">
            <w:pPr>
              <w:jc w:val="right"/>
              <w:rPr>
                <w:rFonts w:cs="Calibri"/>
                <w:color w:val="000000"/>
                <w:sz w:val="22"/>
                <w:szCs w:val="22"/>
              </w:rPr>
            </w:pPr>
            <w:r w:rsidRPr="000D0588">
              <w:rPr>
                <w:rFonts w:cs="Calibri"/>
                <w:color w:val="000000"/>
                <w:sz w:val="22"/>
                <w:szCs w:val="22"/>
              </w:rPr>
              <w:t>34</w:t>
            </w:r>
          </w:p>
        </w:tc>
        <w:tc>
          <w:tcPr>
            <w:tcW w:w="960" w:type="dxa"/>
            <w:tcBorders>
              <w:top w:val="nil"/>
              <w:left w:val="nil"/>
              <w:bottom w:val="nil"/>
              <w:right w:val="nil"/>
            </w:tcBorders>
          </w:tcPr>
          <w:p w14:paraId="753B5682" w14:textId="18750DEB" w:rsidR="0058452A" w:rsidRPr="000D0588" w:rsidRDefault="000D0588" w:rsidP="00E06C7A">
            <w:pPr>
              <w:jc w:val="right"/>
              <w:rPr>
                <w:rFonts w:cs="Calibri"/>
                <w:color w:val="000000"/>
                <w:sz w:val="22"/>
                <w:szCs w:val="22"/>
              </w:rPr>
            </w:pPr>
            <w:r w:rsidRPr="000D0588">
              <w:rPr>
                <w:rFonts w:cs="Calibri"/>
                <w:color w:val="000000"/>
                <w:sz w:val="22"/>
                <w:szCs w:val="22"/>
              </w:rPr>
              <w:t>56</w:t>
            </w:r>
          </w:p>
        </w:tc>
        <w:tc>
          <w:tcPr>
            <w:tcW w:w="960" w:type="dxa"/>
            <w:tcBorders>
              <w:top w:val="nil"/>
              <w:left w:val="nil"/>
              <w:bottom w:val="nil"/>
              <w:right w:val="nil"/>
            </w:tcBorders>
            <w:shd w:val="clear" w:color="auto" w:fill="auto"/>
            <w:noWrap/>
            <w:vAlign w:val="bottom"/>
          </w:tcPr>
          <w:p w14:paraId="1F0125CB" w14:textId="5DA3BF32" w:rsidR="0058452A" w:rsidRPr="000D0588" w:rsidRDefault="000D0588" w:rsidP="00E06C7A">
            <w:pPr>
              <w:jc w:val="right"/>
              <w:rPr>
                <w:rFonts w:cs="Calibri"/>
                <w:color w:val="000000"/>
                <w:sz w:val="22"/>
                <w:szCs w:val="22"/>
              </w:rPr>
            </w:pPr>
            <w:r w:rsidRPr="000D0588">
              <w:rPr>
                <w:rFonts w:cs="Calibri"/>
                <w:color w:val="000000"/>
                <w:sz w:val="22"/>
                <w:szCs w:val="22"/>
              </w:rPr>
              <w:t>122</w:t>
            </w:r>
          </w:p>
        </w:tc>
        <w:tc>
          <w:tcPr>
            <w:tcW w:w="960" w:type="dxa"/>
            <w:tcBorders>
              <w:top w:val="nil"/>
              <w:left w:val="nil"/>
              <w:bottom w:val="nil"/>
              <w:right w:val="nil"/>
            </w:tcBorders>
            <w:shd w:val="clear" w:color="auto" w:fill="auto"/>
            <w:noWrap/>
            <w:vAlign w:val="bottom"/>
            <w:hideMark/>
          </w:tcPr>
          <w:p w14:paraId="0A13A0DC" w14:textId="2B27CF1C" w:rsidR="0058452A" w:rsidRPr="00DB686A" w:rsidRDefault="000D0588" w:rsidP="00E06C7A">
            <w:pPr>
              <w:jc w:val="right"/>
              <w:rPr>
                <w:rFonts w:cs="Calibri"/>
                <w:color w:val="000000"/>
                <w:sz w:val="22"/>
                <w:szCs w:val="22"/>
              </w:rPr>
            </w:pPr>
            <w:r>
              <w:rPr>
                <w:rFonts w:cs="Calibri"/>
                <w:color w:val="000000"/>
                <w:sz w:val="22"/>
                <w:szCs w:val="22"/>
              </w:rPr>
              <w:t>350</w:t>
            </w:r>
          </w:p>
        </w:tc>
        <w:tc>
          <w:tcPr>
            <w:tcW w:w="960" w:type="dxa"/>
            <w:tcBorders>
              <w:top w:val="nil"/>
              <w:left w:val="nil"/>
              <w:bottom w:val="nil"/>
              <w:right w:val="nil"/>
            </w:tcBorders>
            <w:shd w:val="clear" w:color="auto" w:fill="auto"/>
            <w:noWrap/>
            <w:vAlign w:val="bottom"/>
            <w:hideMark/>
          </w:tcPr>
          <w:p w14:paraId="2E0ECFAC" w14:textId="77777777" w:rsidR="0058452A" w:rsidRPr="00DB686A" w:rsidRDefault="0058452A" w:rsidP="00E06C7A">
            <w:pPr>
              <w:rPr>
                <w:rFonts w:ascii="Times New Roman" w:hAnsi="Times New Roman"/>
                <w:sz w:val="20"/>
              </w:rPr>
            </w:pPr>
          </w:p>
        </w:tc>
      </w:tr>
      <w:tr w:rsidR="00CD3B5E" w:rsidRPr="00E06C7A" w14:paraId="6FEEBC94" w14:textId="77777777" w:rsidTr="0058452A">
        <w:trPr>
          <w:trHeight w:val="288"/>
        </w:trPr>
        <w:tc>
          <w:tcPr>
            <w:tcW w:w="3182" w:type="dxa"/>
            <w:gridSpan w:val="2"/>
            <w:tcBorders>
              <w:top w:val="nil"/>
              <w:left w:val="nil"/>
              <w:bottom w:val="nil"/>
              <w:right w:val="nil"/>
            </w:tcBorders>
            <w:shd w:val="clear" w:color="auto" w:fill="auto"/>
            <w:noWrap/>
            <w:vAlign w:val="bottom"/>
            <w:hideMark/>
          </w:tcPr>
          <w:p w14:paraId="386421BA" w14:textId="77777777" w:rsidR="0058452A" w:rsidRPr="000D0588" w:rsidRDefault="0058452A" w:rsidP="00E06C7A">
            <w:pPr>
              <w:rPr>
                <w:rFonts w:ascii="Times New Roman" w:hAnsi="Times New Roman"/>
                <w:sz w:val="20"/>
              </w:rPr>
            </w:pPr>
          </w:p>
        </w:tc>
        <w:tc>
          <w:tcPr>
            <w:tcW w:w="222" w:type="dxa"/>
            <w:tcBorders>
              <w:top w:val="nil"/>
              <w:left w:val="nil"/>
              <w:bottom w:val="nil"/>
              <w:right w:val="nil"/>
            </w:tcBorders>
            <w:shd w:val="clear" w:color="auto" w:fill="auto"/>
            <w:noWrap/>
            <w:vAlign w:val="bottom"/>
            <w:hideMark/>
          </w:tcPr>
          <w:p w14:paraId="746EC026" w14:textId="77777777" w:rsidR="0058452A" w:rsidRPr="000D0588" w:rsidRDefault="0058452A" w:rsidP="00E06C7A">
            <w:pPr>
              <w:rPr>
                <w:rFonts w:ascii="Times New Roman" w:hAnsi="Times New Roman"/>
                <w:sz w:val="20"/>
              </w:rPr>
            </w:pPr>
          </w:p>
        </w:tc>
        <w:tc>
          <w:tcPr>
            <w:tcW w:w="1330" w:type="dxa"/>
            <w:gridSpan w:val="2"/>
            <w:tcBorders>
              <w:top w:val="nil"/>
              <w:left w:val="nil"/>
              <w:bottom w:val="nil"/>
              <w:right w:val="nil"/>
            </w:tcBorders>
            <w:shd w:val="clear" w:color="auto" w:fill="auto"/>
            <w:noWrap/>
            <w:vAlign w:val="bottom"/>
            <w:hideMark/>
          </w:tcPr>
          <w:p w14:paraId="57CE5B01" w14:textId="77777777" w:rsidR="0058452A" w:rsidRPr="000D0588" w:rsidRDefault="0058452A" w:rsidP="00E06C7A">
            <w:pPr>
              <w:rPr>
                <w:rFonts w:ascii="Times New Roman" w:hAnsi="Times New Roman"/>
                <w:sz w:val="20"/>
              </w:rPr>
            </w:pPr>
          </w:p>
        </w:tc>
        <w:tc>
          <w:tcPr>
            <w:tcW w:w="1218" w:type="dxa"/>
            <w:tcBorders>
              <w:top w:val="nil"/>
              <w:left w:val="nil"/>
              <w:bottom w:val="nil"/>
              <w:right w:val="nil"/>
            </w:tcBorders>
            <w:shd w:val="clear" w:color="auto" w:fill="auto"/>
            <w:noWrap/>
            <w:vAlign w:val="bottom"/>
            <w:hideMark/>
          </w:tcPr>
          <w:p w14:paraId="2286101B" w14:textId="77777777"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tcPr>
          <w:p w14:paraId="4BF5C612" w14:textId="77777777"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shd w:val="clear" w:color="auto" w:fill="auto"/>
            <w:noWrap/>
            <w:vAlign w:val="bottom"/>
            <w:hideMark/>
          </w:tcPr>
          <w:p w14:paraId="0C248E04" w14:textId="0072B77C" w:rsidR="0058452A" w:rsidRPr="00DC26B4" w:rsidRDefault="0058452A" w:rsidP="00E06C7A">
            <w:pPr>
              <w:rPr>
                <w:rFonts w:ascii="Times New Roman" w:hAnsi="Times New Roman"/>
                <w:sz w:val="20"/>
                <w:highlight w:val="yellow"/>
              </w:rPr>
            </w:pPr>
          </w:p>
        </w:tc>
        <w:tc>
          <w:tcPr>
            <w:tcW w:w="960" w:type="dxa"/>
            <w:tcBorders>
              <w:top w:val="nil"/>
              <w:left w:val="nil"/>
              <w:bottom w:val="nil"/>
              <w:right w:val="nil"/>
            </w:tcBorders>
            <w:shd w:val="clear" w:color="auto" w:fill="auto"/>
            <w:noWrap/>
            <w:vAlign w:val="bottom"/>
            <w:hideMark/>
          </w:tcPr>
          <w:p w14:paraId="7168D763" w14:textId="77777777" w:rsidR="0058452A" w:rsidRPr="00E06C7A" w:rsidRDefault="0058452A" w:rsidP="00E06C7A">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5E1BEA0C" w14:textId="77777777" w:rsidR="0058452A" w:rsidRPr="00E06C7A" w:rsidRDefault="0058452A" w:rsidP="00E06C7A">
            <w:pPr>
              <w:rPr>
                <w:rFonts w:ascii="Times New Roman" w:hAnsi="Times New Roman"/>
                <w:sz w:val="20"/>
              </w:rPr>
            </w:pPr>
          </w:p>
        </w:tc>
      </w:tr>
      <w:tr w:rsidR="0058452A" w:rsidRPr="00E06C7A" w14:paraId="1241C655" w14:textId="77777777" w:rsidTr="0058452A">
        <w:trPr>
          <w:trHeight w:val="288"/>
        </w:trPr>
        <w:tc>
          <w:tcPr>
            <w:tcW w:w="960" w:type="dxa"/>
            <w:tcBorders>
              <w:top w:val="nil"/>
              <w:left w:val="nil"/>
              <w:bottom w:val="nil"/>
              <w:right w:val="nil"/>
            </w:tcBorders>
          </w:tcPr>
          <w:p w14:paraId="0F791AD6" w14:textId="77777777" w:rsidR="0058452A" w:rsidRPr="000D0588" w:rsidRDefault="0058452A" w:rsidP="00E06C7A">
            <w:pPr>
              <w:rPr>
                <w:rFonts w:cs="Calibri"/>
                <w:color w:val="000000"/>
                <w:sz w:val="22"/>
                <w:szCs w:val="22"/>
              </w:rPr>
            </w:pPr>
          </w:p>
        </w:tc>
        <w:tc>
          <w:tcPr>
            <w:tcW w:w="8832" w:type="dxa"/>
            <w:gridSpan w:val="9"/>
            <w:tcBorders>
              <w:top w:val="nil"/>
              <w:left w:val="nil"/>
              <w:bottom w:val="nil"/>
              <w:right w:val="nil"/>
            </w:tcBorders>
            <w:shd w:val="clear" w:color="auto" w:fill="auto"/>
            <w:noWrap/>
            <w:vAlign w:val="bottom"/>
            <w:hideMark/>
          </w:tcPr>
          <w:p w14:paraId="34C55B06" w14:textId="3FF1616A" w:rsidR="0058452A" w:rsidRPr="000D0588" w:rsidRDefault="0058452A" w:rsidP="00E06C7A">
            <w:pPr>
              <w:rPr>
                <w:rFonts w:cs="Calibri"/>
                <w:color w:val="000000"/>
                <w:sz w:val="22"/>
                <w:szCs w:val="22"/>
              </w:rPr>
            </w:pPr>
            <w:r w:rsidRPr="000D0588">
              <w:rPr>
                <w:rFonts w:cs="Calibri"/>
                <w:color w:val="000000"/>
                <w:sz w:val="22"/>
                <w:szCs w:val="22"/>
              </w:rPr>
              <w:t>* Nodes determined to duplicate an OBD were excluded from the Wave 1/2</w:t>
            </w:r>
            <w:r w:rsidR="00CF68B5" w:rsidRPr="000D0588">
              <w:rPr>
                <w:rFonts w:cs="Calibri"/>
                <w:color w:val="000000"/>
                <w:sz w:val="22"/>
                <w:szCs w:val="22"/>
              </w:rPr>
              <w:t>/3</w:t>
            </w:r>
            <w:r w:rsidRPr="000D0588">
              <w:rPr>
                <w:rFonts w:cs="Calibri"/>
                <w:color w:val="000000"/>
                <w:sz w:val="22"/>
                <w:szCs w:val="22"/>
              </w:rPr>
              <w:t xml:space="preserve"> subsamples. </w:t>
            </w:r>
          </w:p>
        </w:tc>
      </w:tr>
      <w:tr w:rsidR="0058452A" w:rsidRPr="00E06C7A" w14:paraId="5729CD7B" w14:textId="77777777" w:rsidTr="0058452A">
        <w:trPr>
          <w:trHeight w:val="288"/>
        </w:trPr>
        <w:tc>
          <w:tcPr>
            <w:tcW w:w="960" w:type="dxa"/>
            <w:tcBorders>
              <w:top w:val="nil"/>
              <w:left w:val="nil"/>
              <w:bottom w:val="nil"/>
              <w:right w:val="nil"/>
            </w:tcBorders>
          </w:tcPr>
          <w:p w14:paraId="12D5BCEB" w14:textId="77777777" w:rsidR="0058452A" w:rsidRPr="000D0588" w:rsidRDefault="0058452A" w:rsidP="00E06C7A">
            <w:pPr>
              <w:rPr>
                <w:rFonts w:cs="Calibri"/>
                <w:color w:val="000000"/>
                <w:sz w:val="22"/>
                <w:szCs w:val="22"/>
              </w:rPr>
            </w:pPr>
          </w:p>
        </w:tc>
        <w:tc>
          <w:tcPr>
            <w:tcW w:w="8832" w:type="dxa"/>
            <w:gridSpan w:val="9"/>
            <w:tcBorders>
              <w:top w:val="nil"/>
              <w:left w:val="nil"/>
              <w:bottom w:val="nil"/>
              <w:right w:val="nil"/>
            </w:tcBorders>
            <w:shd w:val="clear" w:color="auto" w:fill="auto"/>
            <w:noWrap/>
            <w:vAlign w:val="bottom"/>
            <w:hideMark/>
          </w:tcPr>
          <w:p w14:paraId="0062537F" w14:textId="2C7B4D5C" w:rsidR="0058452A" w:rsidRPr="000D0588" w:rsidRDefault="0058452A" w:rsidP="00E06C7A">
            <w:pPr>
              <w:rPr>
                <w:rFonts w:cs="Calibri"/>
                <w:color w:val="000000"/>
                <w:sz w:val="22"/>
                <w:szCs w:val="22"/>
              </w:rPr>
            </w:pPr>
            <w:r w:rsidRPr="000D0588">
              <w:rPr>
                <w:rFonts w:cs="Calibri"/>
                <w:color w:val="000000"/>
                <w:sz w:val="22"/>
                <w:szCs w:val="22"/>
              </w:rPr>
              <w:t xml:space="preserve">In addition, nodes for HC nonrespondents were excluded from the Wave </w:t>
            </w:r>
            <w:r w:rsidR="00CF68B5" w:rsidRPr="000D0588">
              <w:rPr>
                <w:rFonts w:cs="Calibri"/>
                <w:color w:val="000000"/>
                <w:sz w:val="22"/>
                <w:szCs w:val="22"/>
              </w:rPr>
              <w:t>4</w:t>
            </w:r>
            <w:r w:rsidRPr="000D0588">
              <w:rPr>
                <w:rFonts w:cs="Calibri"/>
                <w:color w:val="000000"/>
                <w:sz w:val="22"/>
                <w:szCs w:val="22"/>
              </w:rPr>
              <w:t xml:space="preserve"> subsample. </w:t>
            </w:r>
          </w:p>
        </w:tc>
      </w:tr>
    </w:tbl>
    <w:p w14:paraId="6C5B98B8" w14:textId="5EAC34C9" w:rsidR="00D9142C" w:rsidRDefault="00D9142C" w:rsidP="005868EA">
      <w:pPr>
        <w:pStyle w:val="BodyText"/>
        <w:rPr>
          <w:b/>
          <w:lang w:val="en-US"/>
        </w:rPr>
      </w:pPr>
    </w:p>
    <w:p w14:paraId="00420AE8" w14:textId="77777777" w:rsidR="00503AA1" w:rsidRDefault="00503AA1" w:rsidP="005868EA">
      <w:pPr>
        <w:pStyle w:val="BodyText"/>
        <w:rPr>
          <w:b/>
          <w:lang w:val="en-US"/>
        </w:rPr>
      </w:pPr>
    </w:p>
    <w:p w14:paraId="46FCE9F7" w14:textId="77777777" w:rsidR="00503AA1" w:rsidRDefault="00503AA1" w:rsidP="005868EA">
      <w:pPr>
        <w:pStyle w:val="BodyText"/>
        <w:rPr>
          <w:b/>
          <w:lang w:val="en-US"/>
        </w:rPr>
      </w:pPr>
    </w:p>
    <w:p w14:paraId="51BD9391" w14:textId="5B4968ED" w:rsidR="005868EA" w:rsidRPr="005868EA" w:rsidRDefault="00827F07" w:rsidP="002176EF">
      <w:pPr>
        <w:pStyle w:val="BodyText"/>
        <w:rPr>
          <w:lang w:val="en-US"/>
        </w:rPr>
      </w:pPr>
      <w:bookmarkStart w:id="27" w:name="_Hlk505775391"/>
      <w:bookmarkEnd w:id="26"/>
      <w:r>
        <w:rPr>
          <w:lang w:val="en-US"/>
        </w:rPr>
        <w:t xml:space="preserve">The MPC team </w:t>
      </w:r>
      <w:r w:rsidR="005868EA" w:rsidRPr="00CC3EFB">
        <w:t>look</w:t>
      </w:r>
      <w:r w:rsidR="00433B37">
        <w:rPr>
          <w:lang w:val="en-US"/>
        </w:rPr>
        <w:t>s</w:t>
      </w:r>
      <w:r w:rsidR="005868EA" w:rsidRPr="00CC3EFB">
        <w:t xml:space="preserve"> forward to working with AHRQ staff to </w:t>
      </w:r>
      <w:r w:rsidR="00882E74" w:rsidRPr="00CC3EFB">
        <w:rPr>
          <w:lang w:val="en-US"/>
        </w:rPr>
        <w:t>determine a</w:t>
      </w:r>
      <w:r w:rsidR="005868EA" w:rsidRPr="00CC3EFB">
        <w:t xml:space="preserve"> plan</w:t>
      </w:r>
      <w:r w:rsidR="00882E74" w:rsidRPr="00CC3EFB">
        <w:rPr>
          <w:lang w:val="en-US"/>
        </w:rPr>
        <w:t xml:space="preserve"> </w:t>
      </w:r>
      <w:r w:rsidR="007360EA" w:rsidRPr="00CC3EFB">
        <w:rPr>
          <w:lang w:val="en-US"/>
        </w:rPr>
        <w:t>for selection and release of SBD nodes.</w:t>
      </w:r>
      <w:r w:rsidR="002176EF" w:rsidRPr="00CC3EFB">
        <w:rPr>
          <w:lang w:val="en-US"/>
        </w:rPr>
        <w:t xml:space="preserve"> </w:t>
      </w:r>
      <w:r w:rsidR="005868EA" w:rsidRPr="007E0D29">
        <w:t xml:space="preserve">Because of the schedule for SBD data collection, </w:t>
      </w:r>
      <w:r>
        <w:rPr>
          <w:lang w:val="en-US"/>
        </w:rPr>
        <w:t>the MPC team</w:t>
      </w:r>
      <w:r w:rsidR="00433B37" w:rsidRPr="007E0D29">
        <w:t xml:space="preserve"> </w:t>
      </w:r>
      <w:r w:rsidR="005868EA" w:rsidRPr="007E0D29">
        <w:t>suggest</w:t>
      </w:r>
      <w:r w:rsidR="00433B37">
        <w:rPr>
          <w:lang w:val="en-US"/>
        </w:rPr>
        <w:t>s</w:t>
      </w:r>
      <w:r w:rsidR="005868EA" w:rsidRPr="007E0D29">
        <w:t xml:space="preserve"> that a </w:t>
      </w:r>
      <w:r w:rsidR="007360EA" w:rsidRPr="007E0D29">
        <w:rPr>
          <w:lang w:val="en-US"/>
        </w:rPr>
        <w:t>final</w:t>
      </w:r>
      <w:r w:rsidR="007360EA" w:rsidRPr="007E0D29">
        <w:t xml:space="preserve"> </w:t>
      </w:r>
      <w:r w:rsidR="005868EA" w:rsidRPr="007E0D29">
        <w:t xml:space="preserve">plan </w:t>
      </w:r>
      <w:r w:rsidR="005868EA" w:rsidRPr="00E476FF">
        <w:t xml:space="preserve">be in place by </w:t>
      </w:r>
      <w:r w:rsidR="00560C19" w:rsidRPr="00E476FF">
        <w:rPr>
          <w:lang w:val="en-US"/>
        </w:rPr>
        <w:t xml:space="preserve">June </w:t>
      </w:r>
      <w:r w:rsidR="00E476FF" w:rsidRPr="00E476FF">
        <w:rPr>
          <w:lang w:val="en-US"/>
        </w:rPr>
        <w:t>28</w:t>
      </w:r>
      <w:r w:rsidR="009A046A" w:rsidRPr="00E476FF">
        <w:rPr>
          <w:lang w:val="en-US"/>
        </w:rPr>
        <w:t xml:space="preserve">, </w:t>
      </w:r>
      <w:r w:rsidR="00B77027" w:rsidRPr="00E476FF">
        <w:rPr>
          <w:lang w:val="en-US"/>
        </w:rPr>
        <w:t>202</w:t>
      </w:r>
      <w:r w:rsidR="0024575F" w:rsidRPr="00E476FF">
        <w:rPr>
          <w:lang w:val="en-US"/>
        </w:rPr>
        <w:t>4</w:t>
      </w:r>
      <w:r w:rsidR="00B77027" w:rsidRPr="00E476FF">
        <w:t xml:space="preserve"> </w:t>
      </w:r>
      <w:r w:rsidR="005868EA" w:rsidRPr="00E476FF">
        <w:t xml:space="preserve">so that </w:t>
      </w:r>
      <w:r w:rsidR="00650F0B" w:rsidRPr="00E476FF">
        <w:rPr>
          <w:lang w:val="en-US"/>
        </w:rPr>
        <w:t>the final plan</w:t>
      </w:r>
      <w:r w:rsidR="005868EA" w:rsidRPr="00E476FF">
        <w:t xml:space="preserve"> can be implemented from the beginning of SBD data collection</w:t>
      </w:r>
      <w:r w:rsidR="00BD3A2F" w:rsidRPr="00E476FF">
        <w:rPr>
          <w:lang w:val="en-US"/>
        </w:rPr>
        <w:t xml:space="preserve">, scheduled for August </w:t>
      </w:r>
      <w:r w:rsidR="00BA1232" w:rsidRPr="00E476FF">
        <w:rPr>
          <w:lang w:val="en-US"/>
        </w:rPr>
        <w:t>1</w:t>
      </w:r>
      <w:r w:rsidR="00E476FF" w:rsidRPr="00E476FF">
        <w:rPr>
          <w:lang w:val="en-US"/>
        </w:rPr>
        <w:t>4</w:t>
      </w:r>
      <w:r w:rsidR="009A046A" w:rsidRPr="00E476FF">
        <w:rPr>
          <w:lang w:val="en-US"/>
        </w:rPr>
        <w:t xml:space="preserve">, </w:t>
      </w:r>
      <w:r w:rsidR="0024575F" w:rsidRPr="00E476FF">
        <w:rPr>
          <w:lang w:val="en-US"/>
        </w:rPr>
        <w:t>2024</w:t>
      </w:r>
      <w:r w:rsidR="005868EA" w:rsidRPr="00E476FF">
        <w:t>.</w:t>
      </w:r>
      <w:r w:rsidR="005868EA">
        <w:t xml:space="preserve"> </w:t>
      </w:r>
    </w:p>
    <w:bookmarkEnd w:id="27"/>
    <w:p w14:paraId="70D2FD3C" w14:textId="77777777" w:rsidR="0071589E" w:rsidRDefault="0071589E" w:rsidP="00693FD0">
      <w:pPr>
        <w:pStyle w:val="BodyText"/>
        <w:rPr>
          <w:lang w:val="en-US"/>
        </w:rPr>
      </w:pPr>
    </w:p>
    <w:p w14:paraId="6949E5A6" w14:textId="77777777" w:rsidR="0071589E" w:rsidRPr="00674CB4" w:rsidRDefault="0071589E" w:rsidP="0071589E">
      <w:pPr>
        <w:pStyle w:val="Heading2"/>
      </w:pPr>
      <w:bookmarkStart w:id="28" w:name="_Toc354754886"/>
      <w:bookmarkStart w:id="29" w:name="_Toc188880703"/>
      <w:r w:rsidRPr="00EC2364">
        <w:t>Resolving</w:t>
      </w:r>
      <w:r w:rsidRPr="00674CB4">
        <w:t xml:space="preserve"> Overlaps between SBD Nodes and OBD Events</w:t>
      </w:r>
      <w:bookmarkEnd w:id="28"/>
      <w:bookmarkEnd w:id="29"/>
    </w:p>
    <w:p w14:paraId="52FBFF13" w14:textId="06F0E856" w:rsidR="0071589E" w:rsidRPr="00AB5D93" w:rsidRDefault="0071589E" w:rsidP="0098597B">
      <w:pPr>
        <w:pStyle w:val="BodyText"/>
        <w:rPr>
          <w:rFonts w:asciiTheme="majorBidi" w:hAnsiTheme="majorBidi" w:cstheme="majorBidi"/>
          <w:lang w:val="en-US"/>
        </w:rPr>
      </w:pPr>
      <w:r w:rsidRPr="0071589E">
        <w:rPr>
          <w:rFonts w:asciiTheme="majorBidi" w:hAnsiTheme="majorBidi" w:cstheme="majorBidi"/>
          <w:lang w:val="en-US"/>
        </w:rPr>
        <w:t>I</w:t>
      </w:r>
      <w:r w:rsidRPr="0071589E">
        <w:rPr>
          <w:rFonts w:asciiTheme="majorBidi" w:hAnsiTheme="majorBidi" w:cstheme="majorBidi"/>
        </w:rPr>
        <w:t xml:space="preserve">t is possible that an SBD identified through record abstraction is also identified by the </w:t>
      </w:r>
      <w:r w:rsidR="00827F07">
        <w:rPr>
          <w:rFonts w:asciiTheme="majorBidi" w:hAnsiTheme="majorBidi" w:cstheme="majorBidi"/>
          <w:lang w:val="en-US"/>
        </w:rPr>
        <w:t>HC</w:t>
      </w:r>
      <w:r w:rsidR="00827F07" w:rsidRPr="0071589E">
        <w:rPr>
          <w:rFonts w:asciiTheme="majorBidi" w:hAnsiTheme="majorBidi" w:cstheme="majorBidi"/>
        </w:rPr>
        <w:t xml:space="preserve"> </w:t>
      </w:r>
      <w:r w:rsidRPr="0071589E">
        <w:rPr>
          <w:rFonts w:asciiTheme="majorBidi" w:hAnsiTheme="majorBidi" w:cstheme="majorBidi"/>
        </w:rPr>
        <w:t xml:space="preserve">respondent and is included in the sample of OBD developed during the HC. The potential overlap of the SBD and </w:t>
      </w:r>
      <w:r w:rsidRPr="0071589E">
        <w:rPr>
          <w:rFonts w:asciiTheme="majorBidi" w:hAnsiTheme="majorBidi" w:cstheme="majorBidi"/>
        </w:rPr>
        <w:lastRenderedPageBreak/>
        <w:t>OBD samples is assessed to minimize double-counting medical expenditures and to avoid contacting providers in SBD data collection who have already been contacted during OBD data collection. Overlap of the two samples is assessed through a combination of computer</w:t>
      </w:r>
      <w:r w:rsidR="0032611F">
        <w:rPr>
          <w:rFonts w:asciiTheme="majorBidi" w:hAnsiTheme="majorBidi" w:cstheme="majorBidi"/>
          <w:lang w:val="en-US"/>
        </w:rPr>
        <w:t>-</w:t>
      </w:r>
      <w:r w:rsidRPr="0071589E">
        <w:rPr>
          <w:rFonts w:asciiTheme="majorBidi" w:hAnsiTheme="majorBidi" w:cstheme="majorBidi"/>
        </w:rPr>
        <w:t>assisted matching programs and manual review of possible matches in the two samples.</w:t>
      </w:r>
      <w:r w:rsidR="005B7478">
        <w:rPr>
          <w:rFonts w:asciiTheme="majorBidi" w:hAnsiTheme="majorBidi" w:cstheme="majorBidi"/>
          <w:lang w:val="en-US"/>
        </w:rPr>
        <w:t xml:space="preserve"> For the 2014</w:t>
      </w:r>
      <w:r w:rsidR="00B936E7">
        <w:rPr>
          <w:rFonts w:asciiTheme="majorBidi" w:hAnsiTheme="majorBidi" w:cstheme="majorBidi"/>
          <w:lang w:val="en-US"/>
        </w:rPr>
        <w:t>-</w:t>
      </w:r>
      <w:r w:rsidR="00FD4C46">
        <w:rPr>
          <w:rFonts w:asciiTheme="majorBidi" w:hAnsiTheme="majorBidi" w:cstheme="majorBidi"/>
          <w:lang w:val="en-US"/>
        </w:rPr>
        <w:t>20</w:t>
      </w:r>
      <w:r w:rsidR="007024D3">
        <w:rPr>
          <w:rFonts w:asciiTheme="majorBidi" w:hAnsiTheme="majorBidi" w:cstheme="majorBidi"/>
          <w:lang w:val="en-US"/>
        </w:rPr>
        <w:t>2</w:t>
      </w:r>
      <w:r w:rsidR="0024575F">
        <w:rPr>
          <w:rFonts w:asciiTheme="majorBidi" w:hAnsiTheme="majorBidi" w:cstheme="majorBidi"/>
          <w:lang w:val="en-US"/>
        </w:rPr>
        <w:t>2</w:t>
      </w:r>
      <w:r w:rsidR="00FD4C46">
        <w:rPr>
          <w:rFonts w:asciiTheme="majorBidi" w:hAnsiTheme="majorBidi" w:cstheme="majorBidi"/>
          <w:lang w:val="en-US"/>
        </w:rPr>
        <w:t xml:space="preserve"> </w:t>
      </w:r>
      <w:r w:rsidR="005B7478">
        <w:rPr>
          <w:rFonts w:asciiTheme="majorBidi" w:hAnsiTheme="majorBidi" w:cstheme="majorBidi"/>
          <w:lang w:val="en-US"/>
        </w:rPr>
        <w:t>cycle</w:t>
      </w:r>
      <w:r w:rsidR="0098597B">
        <w:rPr>
          <w:rFonts w:asciiTheme="majorBidi" w:hAnsiTheme="majorBidi" w:cstheme="majorBidi"/>
          <w:lang w:val="en-US"/>
        </w:rPr>
        <w:t>s</w:t>
      </w:r>
      <w:r w:rsidR="005B7478">
        <w:rPr>
          <w:rFonts w:asciiTheme="majorBidi" w:hAnsiTheme="majorBidi" w:cstheme="majorBidi"/>
          <w:lang w:val="en-US"/>
        </w:rPr>
        <w:t xml:space="preserve">, </w:t>
      </w:r>
      <w:r w:rsidR="00827F07">
        <w:rPr>
          <w:rFonts w:asciiTheme="majorBidi" w:hAnsiTheme="majorBidi" w:cstheme="majorBidi"/>
          <w:lang w:val="en-US"/>
        </w:rPr>
        <w:t xml:space="preserve">the MPC team </w:t>
      </w:r>
      <w:r w:rsidR="0098597B">
        <w:rPr>
          <w:rFonts w:asciiTheme="majorBidi" w:hAnsiTheme="majorBidi" w:cstheme="majorBidi"/>
          <w:lang w:val="en-US"/>
        </w:rPr>
        <w:t>used</w:t>
      </w:r>
      <w:r w:rsidR="005B7478">
        <w:rPr>
          <w:rFonts w:asciiTheme="majorBidi" w:hAnsiTheme="majorBidi" w:cstheme="majorBidi"/>
          <w:lang w:val="en-US"/>
        </w:rPr>
        <w:t xml:space="preserve"> additional rules for algorithmic and manual processing of potential overlaps</w:t>
      </w:r>
      <w:r w:rsidR="00141941">
        <w:rPr>
          <w:rFonts w:asciiTheme="majorBidi" w:hAnsiTheme="majorBidi" w:cstheme="majorBidi"/>
          <w:lang w:val="en-US"/>
        </w:rPr>
        <w:t xml:space="preserve">, and </w:t>
      </w:r>
      <w:r w:rsidR="00827F07">
        <w:rPr>
          <w:rFonts w:asciiTheme="majorBidi" w:hAnsiTheme="majorBidi" w:cstheme="majorBidi"/>
          <w:lang w:val="en-US"/>
        </w:rPr>
        <w:t xml:space="preserve">the </w:t>
      </w:r>
      <w:r w:rsidR="00827F07" w:rsidRPr="00AB5D93">
        <w:rPr>
          <w:rFonts w:asciiTheme="majorBidi" w:hAnsiTheme="majorBidi" w:cstheme="majorBidi"/>
          <w:lang w:val="en-US"/>
        </w:rPr>
        <w:t>MPC team</w:t>
      </w:r>
      <w:r w:rsidR="00141941" w:rsidRPr="00AB5D93">
        <w:rPr>
          <w:rFonts w:asciiTheme="majorBidi" w:hAnsiTheme="majorBidi" w:cstheme="majorBidi"/>
          <w:lang w:val="en-US"/>
        </w:rPr>
        <w:t xml:space="preserve"> will continue to do so for the </w:t>
      </w:r>
      <w:r w:rsidR="00FD4C46" w:rsidRPr="00AB5D93">
        <w:rPr>
          <w:rFonts w:asciiTheme="majorBidi" w:hAnsiTheme="majorBidi" w:cstheme="majorBidi"/>
          <w:lang w:val="en-US"/>
        </w:rPr>
        <w:t>202</w:t>
      </w:r>
      <w:r w:rsidR="0024575F" w:rsidRPr="00AB5D93">
        <w:rPr>
          <w:rFonts w:asciiTheme="majorBidi" w:hAnsiTheme="majorBidi" w:cstheme="majorBidi"/>
          <w:lang w:val="en-US"/>
        </w:rPr>
        <w:t>3</w:t>
      </w:r>
      <w:r w:rsidR="00FD4C46" w:rsidRPr="00AB5D93">
        <w:rPr>
          <w:rFonts w:asciiTheme="majorBidi" w:hAnsiTheme="majorBidi" w:cstheme="majorBidi"/>
          <w:lang w:val="en-US"/>
        </w:rPr>
        <w:t xml:space="preserve"> </w:t>
      </w:r>
      <w:r w:rsidR="00141941" w:rsidRPr="00AB5D93">
        <w:rPr>
          <w:rFonts w:asciiTheme="majorBidi" w:hAnsiTheme="majorBidi" w:cstheme="majorBidi"/>
          <w:lang w:val="en-US"/>
        </w:rPr>
        <w:t>cycle</w:t>
      </w:r>
      <w:r w:rsidR="00786851" w:rsidRPr="00AB5D93">
        <w:rPr>
          <w:rFonts w:asciiTheme="majorBidi" w:hAnsiTheme="majorBidi" w:cstheme="majorBidi"/>
          <w:lang w:val="en-US"/>
        </w:rPr>
        <w:t>.</w:t>
      </w:r>
      <w:r w:rsidR="00BD3A2F" w:rsidRPr="00AB5D93">
        <w:rPr>
          <w:rFonts w:asciiTheme="majorBidi" w:hAnsiTheme="majorBidi" w:cstheme="majorBidi"/>
          <w:lang w:val="en-US"/>
        </w:rPr>
        <w:t xml:space="preserve"> </w:t>
      </w:r>
    </w:p>
    <w:p w14:paraId="17C0D04F" w14:textId="2F82922F" w:rsidR="008A716D" w:rsidRPr="00AB5D93" w:rsidRDefault="00E03295" w:rsidP="003C2B28">
      <w:pPr>
        <w:pStyle w:val="Heading2"/>
      </w:pPr>
      <w:bookmarkStart w:id="30" w:name="_Toc354754892"/>
      <w:bookmarkStart w:id="31" w:name="_Hlk502933947"/>
      <w:bookmarkStart w:id="32" w:name="_Toc188880704"/>
      <w:r w:rsidRPr="00AB5D93">
        <w:t xml:space="preserve">Schedule for </w:t>
      </w:r>
      <w:r w:rsidR="008A716D" w:rsidRPr="00AB5D93">
        <w:t xml:space="preserve">SBD </w:t>
      </w:r>
      <w:r w:rsidRPr="00AB5D93">
        <w:t>Sample Development, Preparation</w:t>
      </w:r>
      <w:r w:rsidR="008A716D" w:rsidRPr="00AB5D93">
        <w:t xml:space="preserve">, </w:t>
      </w:r>
      <w:r w:rsidRPr="00AB5D93">
        <w:t>and Fielding</w:t>
      </w:r>
      <w:bookmarkEnd w:id="30"/>
      <w:bookmarkEnd w:id="32"/>
    </w:p>
    <w:tbl>
      <w:tblPr>
        <w:tblStyle w:val="TableGrid"/>
        <w:tblpPr w:leftFromText="180" w:rightFromText="180" w:vertAnchor="text"/>
        <w:tblW w:w="0" w:type="auto"/>
        <w:tblLook w:val="04A0" w:firstRow="1" w:lastRow="0" w:firstColumn="1" w:lastColumn="0" w:noHBand="0" w:noVBand="1"/>
      </w:tblPr>
      <w:tblGrid>
        <w:gridCol w:w="2858"/>
        <w:gridCol w:w="5400"/>
      </w:tblGrid>
      <w:tr w:rsidR="00201FD7" w14:paraId="32C40F09" w14:textId="77777777" w:rsidTr="005E62CB">
        <w:trPr>
          <w:cnfStyle w:val="100000000000" w:firstRow="1" w:lastRow="0" w:firstColumn="0" w:lastColumn="0" w:oddVBand="0" w:evenVBand="0" w:oddHBand="0" w:evenHBand="0" w:firstRowFirstColumn="0" w:firstRowLastColumn="0" w:lastRowFirstColumn="0" w:lastRowLastColumn="0"/>
        </w:trPr>
        <w:tc>
          <w:tcPr>
            <w:tcW w:w="2858" w:type="dxa"/>
            <w:hideMark/>
          </w:tcPr>
          <w:p w14:paraId="702571C1" w14:textId="25D58E23" w:rsidR="00201FD7" w:rsidRPr="00201FD7" w:rsidRDefault="00772EF9" w:rsidP="00201FD7">
            <w:pPr>
              <w:jc w:val="left"/>
              <w:rPr>
                <w:rFonts w:asciiTheme="minorHAnsi" w:hAnsiTheme="minorHAnsi"/>
                <w:color w:val="000000"/>
                <w:sz w:val="22"/>
                <w:szCs w:val="22"/>
              </w:rPr>
            </w:pPr>
            <w:r>
              <w:rPr>
                <w:rFonts w:asciiTheme="minorHAnsi" w:hAnsiTheme="minorHAnsi"/>
                <w:color w:val="000000"/>
                <w:sz w:val="22"/>
                <w:szCs w:val="22"/>
              </w:rPr>
              <w:t>3</w:t>
            </w:r>
            <w:r w:rsidR="00324591">
              <w:rPr>
                <w:rFonts w:asciiTheme="minorHAnsi" w:hAnsiTheme="minorHAnsi"/>
                <w:color w:val="000000"/>
                <w:sz w:val="22"/>
                <w:szCs w:val="22"/>
              </w:rPr>
              <w:t>/</w:t>
            </w:r>
            <w:r w:rsidR="00FE74E2">
              <w:rPr>
                <w:rFonts w:asciiTheme="minorHAnsi" w:hAnsiTheme="minorHAnsi"/>
                <w:color w:val="000000"/>
                <w:sz w:val="22"/>
                <w:szCs w:val="22"/>
              </w:rPr>
              <w:t>18</w:t>
            </w:r>
            <w:r w:rsidR="00324591">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6789F68B" w14:textId="77777777" w:rsidR="00201FD7" w:rsidRPr="00201FD7" w:rsidRDefault="00201FD7" w:rsidP="00201FD7">
            <w:pPr>
              <w:jc w:val="left"/>
              <w:rPr>
                <w:rFonts w:asciiTheme="minorHAnsi" w:hAnsiTheme="minorHAnsi"/>
                <w:color w:val="000000"/>
                <w:sz w:val="22"/>
                <w:szCs w:val="22"/>
              </w:rPr>
            </w:pPr>
            <w:r w:rsidRPr="00201FD7">
              <w:rPr>
                <w:rFonts w:asciiTheme="minorHAnsi" w:hAnsiTheme="minorHAnsi"/>
                <w:color w:val="000000"/>
                <w:sz w:val="22"/>
                <w:szCs w:val="22"/>
              </w:rPr>
              <w:t>Start AO and AO QC</w:t>
            </w:r>
          </w:p>
        </w:tc>
      </w:tr>
      <w:tr w:rsidR="00201FD7" w14:paraId="2741F095" w14:textId="77777777" w:rsidTr="005E62CB">
        <w:tc>
          <w:tcPr>
            <w:tcW w:w="2858" w:type="dxa"/>
            <w:hideMark/>
          </w:tcPr>
          <w:p w14:paraId="26818C43" w14:textId="0CBAAE68" w:rsidR="00201FD7" w:rsidRPr="00201FD7" w:rsidRDefault="00324591">
            <w:pPr>
              <w:rPr>
                <w:rFonts w:asciiTheme="minorHAnsi" w:hAnsiTheme="minorHAnsi"/>
                <w:color w:val="000000"/>
                <w:sz w:val="22"/>
                <w:szCs w:val="22"/>
              </w:rPr>
            </w:pPr>
            <w:r>
              <w:rPr>
                <w:rFonts w:asciiTheme="minorHAnsi" w:hAnsiTheme="minorHAnsi"/>
                <w:color w:val="000000"/>
                <w:sz w:val="22"/>
                <w:szCs w:val="22"/>
              </w:rPr>
              <w:t>7/</w:t>
            </w:r>
            <w:r w:rsidR="00FE74E2">
              <w:rPr>
                <w:rFonts w:asciiTheme="minorHAnsi" w:hAnsiTheme="minorHAnsi"/>
                <w:color w:val="000000"/>
                <w:sz w:val="22"/>
                <w:szCs w:val="22"/>
              </w:rPr>
              <w:t>9</w:t>
            </w:r>
            <w:r>
              <w:rPr>
                <w:rFonts w:asciiTheme="minorHAnsi" w:hAnsiTheme="minorHAnsi"/>
                <w:color w:val="000000"/>
                <w:sz w:val="22"/>
                <w:szCs w:val="22"/>
              </w:rPr>
              <w:t>/</w:t>
            </w:r>
            <w:r w:rsidR="00A23503">
              <w:rPr>
                <w:rFonts w:asciiTheme="minorHAnsi" w:hAnsiTheme="minorHAnsi"/>
                <w:color w:val="000000"/>
                <w:sz w:val="22"/>
                <w:szCs w:val="22"/>
              </w:rPr>
              <w:t>2023</w:t>
            </w:r>
            <w:r w:rsidR="00FE74E2">
              <w:rPr>
                <w:rFonts w:asciiTheme="minorHAnsi" w:hAnsiTheme="minorHAnsi"/>
                <w:color w:val="000000"/>
                <w:sz w:val="22"/>
                <w:szCs w:val="22"/>
              </w:rPr>
              <w:t>4</w:t>
            </w:r>
          </w:p>
        </w:tc>
        <w:tc>
          <w:tcPr>
            <w:tcW w:w="5400" w:type="dxa"/>
            <w:hideMark/>
          </w:tcPr>
          <w:p w14:paraId="52EE9E76" w14:textId="77777777" w:rsidR="00201FD7" w:rsidRPr="00201FD7" w:rsidRDefault="00201FD7">
            <w:pPr>
              <w:rPr>
                <w:rFonts w:asciiTheme="minorHAnsi" w:hAnsiTheme="minorHAnsi"/>
                <w:color w:val="000000"/>
                <w:sz w:val="22"/>
                <w:szCs w:val="22"/>
              </w:rPr>
            </w:pPr>
            <w:r w:rsidRPr="00201FD7">
              <w:rPr>
                <w:rFonts w:asciiTheme="minorHAnsi" w:hAnsiTheme="minorHAnsi"/>
                <w:color w:val="000000"/>
                <w:sz w:val="22"/>
                <w:szCs w:val="22"/>
              </w:rPr>
              <w:t>Cut off for Wave 1 AO QC</w:t>
            </w:r>
          </w:p>
        </w:tc>
      </w:tr>
      <w:tr w:rsidR="00201FD7" w14:paraId="2A972235" w14:textId="77777777" w:rsidTr="005E62CB">
        <w:tc>
          <w:tcPr>
            <w:tcW w:w="2858" w:type="dxa"/>
            <w:hideMark/>
          </w:tcPr>
          <w:p w14:paraId="27B74432" w14:textId="7C7923C2" w:rsidR="00201FD7" w:rsidRPr="00201FD7" w:rsidRDefault="00324591">
            <w:pPr>
              <w:rPr>
                <w:rFonts w:asciiTheme="minorHAnsi" w:hAnsiTheme="minorHAnsi"/>
                <w:color w:val="000000"/>
                <w:sz w:val="22"/>
                <w:szCs w:val="22"/>
              </w:rPr>
            </w:pPr>
            <w:r>
              <w:rPr>
                <w:rFonts w:asciiTheme="minorHAnsi" w:hAnsiTheme="minorHAnsi"/>
                <w:color w:val="000000"/>
                <w:sz w:val="22"/>
                <w:szCs w:val="22"/>
              </w:rPr>
              <w:t>7/</w:t>
            </w:r>
            <w:r w:rsidR="00FE74E2">
              <w:rPr>
                <w:rFonts w:asciiTheme="minorHAnsi" w:hAnsiTheme="minorHAnsi"/>
                <w:color w:val="000000"/>
                <w:sz w:val="22"/>
                <w:szCs w:val="22"/>
              </w:rPr>
              <w:t>10</w:t>
            </w:r>
            <w:r w:rsidR="003E0179">
              <w:rPr>
                <w:rFonts w:asciiTheme="minorHAnsi" w:hAnsiTheme="minorHAnsi"/>
                <w:color w:val="000000"/>
                <w:sz w:val="22"/>
                <w:szCs w:val="22"/>
              </w:rPr>
              <w:t>-</w:t>
            </w:r>
            <w:r w:rsidR="00FE74E2">
              <w:rPr>
                <w:rFonts w:asciiTheme="minorHAnsi" w:hAnsiTheme="minorHAnsi"/>
                <w:color w:val="000000"/>
                <w:sz w:val="22"/>
                <w:szCs w:val="22"/>
              </w:rPr>
              <w:t>11</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3CBFF141" w14:textId="02EF482E" w:rsidR="00201FD7" w:rsidRPr="00201FD7" w:rsidRDefault="00FE74E2">
            <w:pPr>
              <w:rPr>
                <w:rFonts w:asciiTheme="minorHAnsi" w:hAnsiTheme="minorHAnsi"/>
                <w:color w:val="000000"/>
                <w:sz w:val="22"/>
                <w:szCs w:val="22"/>
              </w:rPr>
            </w:pPr>
            <w:r>
              <w:rPr>
                <w:rFonts w:asciiTheme="minorHAnsi" w:hAnsiTheme="minorHAnsi"/>
                <w:color w:val="000000"/>
                <w:sz w:val="22"/>
                <w:szCs w:val="22"/>
              </w:rPr>
              <w:t xml:space="preserve">Wave 1 </w:t>
            </w:r>
            <w:proofErr w:type="spellStart"/>
            <w:r w:rsidR="00201FD7" w:rsidRPr="00201FD7">
              <w:rPr>
                <w:rFonts w:asciiTheme="minorHAnsi" w:hAnsiTheme="minorHAnsi"/>
                <w:color w:val="000000"/>
                <w:sz w:val="22"/>
                <w:szCs w:val="22"/>
              </w:rPr>
              <w:t>Autocoding</w:t>
            </w:r>
            <w:proofErr w:type="spellEnd"/>
            <w:r w:rsidR="00201FD7" w:rsidRPr="00201FD7">
              <w:rPr>
                <w:rFonts w:asciiTheme="minorHAnsi" w:hAnsiTheme="minorHAnsi"/>
                <w:color w:val="000000"/>
                <w:sz w:val="22"/>
                <w:szCs w:val="22"/>
              </w:rPr>
              <w:t xml:space="preserve"> </w:t>
            </w:r>
          </w:p>
        </w:tc>
      </w:tr>
      <w:tr w:rsidR="00201FD7" w14:paraId="58462BC9" w14:textId="77777777" w:rsidTr="005E62CB">
        <w:tc>
          <w:tcPr>
            <w:tcW w:w="2858" w:type="dxa"/>
            <w:hideMark/>
          </w:tcPr>
          <w:p w14:paraId="03080BB2" w14:textId="60A3DD7C" w:rsidR="00201FD7" w:rsidRPr="00201FD7" w:rsidRDefault="00324591">
            <w:pPr>
              <w:rPr>
                <w:rFonts w:asciiTheme="minorHAnsi" w:hAnsiTheme="minorHAnsi"/>
                <w:color w:val="000000"/>
                <w:sz w:val="22"/>
                <w:szCs w:val="22"/>
              </w:rPr>
            </w:pPr>
            <w:r>
              <w:rPr>
                <w:rFonts w:asciiTheme="minorHAnsi" w:hAnsiTheme="minorHAnsi"/>
                <w:color w:val="000000"/>
                <w:sz w:val="22"/>
                <w:szCs w:val="22"/>
              </w:rPr>
              <w:t>7/</w:t>
            </w:r>
            <w:r w:rsidR="00FE74E2">
              <w:rPr>
                <w:rFonts w:asciiTheme="minorHAnsi" w:hAnsiTheme="minorHAnsi"/>
                <w:color w:val="000000"/>
                <w:sz w:val="22"/>
                <w:szCs w:val="22"/>
              </w:rPr>
              <w:t>12</w:t>
            </w:r>
            <w:r>
              <w:rPr>
                <w:rFonts w:asciiTheme="minorHAnsi" w:hAnsiTheme="minorHAnsi"/>
                <w:color w:val="000000"/>
                <w:sz w:val="22"/>
                <w:szCs w:val="22"/>
              </w:rPr>
              <w:t>-</w:t>
            </w:r>
            <w:r w:rsidR="00FE74E2">
              <w:rPr>
                <w:rFonts w:asciiTheme="minorHAnsi" w:hAnsiTheme="minorHAnsi"/>
                <w:color w:val="000000"/>
                <w:sz w:val="22"/>
                <w:szCs w:val="22"/>
              </w:rPr>
              <w:t>16</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66B5673B" w14:textId="0C10C951" w:rsidR="00201FD7" w:rsidRPr="00201FD7" w:rsidRDefault="00201FD7">
            <w:pPr>
              <w:rPr>
                <w:rFonts w:asciiTheme="minorHAnsi" w:hAnsiTheme="minorHAnsi"/>
                <w:color w:val="000000"/>
                <w:sz w:val="22"/>
                <w:szCs w:val="22"/>
              </w:rPr>
            </w:pPr>
            <w:r w:rsidRPr="00201FD7">
              <w:rPr>
                <w:rFonts w:asciiTheme="minorHAnsi" w:hAnsiTheme="minorHAnsi"/>
                <w:color w:val="000000"/>
                <w:sz w:val="22"/>
                <w:szCs w:val="22"/>
              </w:rPr>
              <w:t xml:space="preserve">Build </w:t>
            </w:r>
            <w:r w:rsidR="00FE74E2">
              <w:rPr>
                <w:rFonts w:asciiTheme="minorHAnsi" w:hAnsiTheme="minorHAnsi"/>
                <w:color w:val="000000"/>
                <w:sz w:val="22"/>
                <w:szCs w:val="22"/>
              </w:rPr>
              <w:t xml:space="preserve">Wave 1 </w:t>
            </w:r>
            <w:r w:rsidRPr="00201FD7">
              <w:rPr>
                <w:rFonts w:asciiTheme="minorHAnsi" w:hAnsiTheme="minorHAnsi"/>
                <w:color w:val="000000"/>
                <w:sz w:val="22"/>
                <w:szCs w:val="22"/>
              </w:rPr>
              <w:t>sample</w:t>
            </w:r>
          </w:p>
        </w:tc>
      </w:tr>
      <w:tr w:rsidR="00201FD7" w14:paraId="547A4F5F" w14:textId="77777777" w:rsidTr="005E62CB">
        <w:tc>
          <w:tcPr>
            <w:tcW w:w="2858" w:type="dxa"/>
            <w:hideMark/>
          </w:tcPr>
          <w:p w14:paraId="170A9756" w14:textId="5BF81606" w:rsidR="00201FD7" w:rsidRPr="00201FD7" w:rsidRDefault="00324591">
            <w:pPr>
              <w:rPr>
                <w:rFonts w:asciiTheme="minorHAnsi" w:hAnsiTheme="minorHAnsi"/>
                <w:color w:val="000000"/>
                <w:sz w:val="22"/>
                <w:szCs w:val="22"/>
              </w:rPr>
            </w:pPr>
            <w:r>
              <w:rPr>
                <w:rFonts w:asciiTheme="minorHAnsi" w:hAnsiTheme="minorHAnsi"/>
                <w:color w:val="000000"/>
                <w:sz w:val="22"/>
                <w:szCs w:val="22"/>
              </w:rPr>
              <w:t>7/</w:t>
            </w:r>
            <w:r w:rsidR="00FE74E2">
              <w:rPr>
                <w:rFonts w:asciiTheme="minorHAnsi" w:hAnsiTheme="minorHAnsi"/>
                <w:color w:val="000000"/>
                <w:sz w:val="22"/>
                <w:szCs w:val="22"/>
              </w:rPr>
              <w:t>17</w:t>
            </w:r>
            <w:r>
              <w:rPr>
                <w:rFonts w:asciiTheme="minorHAnsi" w:hAnsiTheme="minorHAnsi"/>
                <w:color w:val="000000"/>
                <w:sz w:val="22"/>
                <w:szCs w:val="22"/>
              </w:rPr>
              <w:t>-</w:t>
            </w:r>
            <w:r w:rsidR="00FE74E2">
              <w:rPr>
                <w:rFonts w:asciiTheme="minorHAnsi" w:hAnsiTheme="minorHAnsi"/>
                <w:color w:val="000000"/>
                <w:sz w:val="22"/>
                <w:szCs w:val="22"/>
              </w:rPr>
              <w:t>30</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0C5C8581" w14:textId="77777777" w:rsidR="00201FD7" w:rsidRPr="00201FD7" w:rsidRDefault="00201FD7">
            <w:pPr>
              <w:rPr>
                <w:rFonts w:asciiTheme="minorHAnsi" w:hAnsiTheme="minorHAnsi"/>
                <w:color w:val="000000"/>
                <w:sz w:val="22"/>
                <w:szCs w:val="22"/>
              </w:rPr>
            </w:pPr>
            <w:r w:rsidRPr="00201FD7">
              <w:rPr>
                <w:rFonts w:asciiTheme="minorHAnsi" w:hAnsiTheme="minorHAnsi"/>
                <w:color w:val="000000"/>
                <w:sz w:val="22"/>
                <w:szCs w:val="22"/>
              </w:rPr>
              <w:t>Prepare contact groups and identify overlaps</w:t>
            </w:r>
          </w:p>
        </w:tc>
      </w:tr>
      <w:tr w:rsidR="00201FD7" w14:paraId="126C4756" w14:textId="77777777" w:rsidTr="005E62CB">
        <w:tc>
          <w:tcPr>
            <w:tcW w:w="2858" w:type="dxa"/>
            <w:hideMark/>
          </w:tcPr>
          <w:p w14:paraId="7343E17A" w14:textId="1E593418" w:rsidR="00201FD7" w:rsidRPr="00201FD7" w:rsidRDefault="00FE74E2">
            <w:pPr>
              <w:rPr>
                <w:rFonts w:asciiTheme="minorHAnsi" w:hAnsiTheme="minorHAnsi"/>
                <w:color w:val="000000"/>
                <w:sz w:val="22"/>
                <w:szCs w:val="22"/>
              </w:rPr>
            </w:pPr>
            <w:r>
              <w:rPr>
                <w:rFonts w:asciiTheme="minorHAnsi" w:hAnsiTheme="minorHAnsi"/>
                <w:color w:val="000000"/>
                <w:sz w:val="22"/>
                <w:szCs w:val="22"/>
              </w:rPr>
              <w:t>7/31-8/6/2024</w:t>
            </w:r>
          </w:p>
        </w:tc>
        <w:tc>
          <w:tcPr>
            <w:tcW w:w="5400" w:type="dxa"/>
            <w:hideMark/>
          </w:tcPr>
          <w:p w14:paraId="0E2DE9BA" w14:textId="77777777" w:rsidR="00201FD7" w:rsidRPr="00201FD7" w:rsidRDefault="00201FD7">
            <w:pPr>
              <w:rPr>
                <w:rFonts w:asciiTheme="minorHAnsi" w:hAnsiTheme="minorHAnsi"/>
                <w:color w:val="000000"/>
                <w:sz w:val="22"/>
                <w:szCs w:val="22"/>
              </w:rPr>
            </w:pPr>
            <w:r w:rsidRPr="00201FD7">
              <w:rPr>
                <w:rFonts w:asciiTheme="minorHAnsi" w:hAnsiTheme="minorHAnsi"/>
                <w:color w:val="000000"/>
                <w:sz w:val="22"/>
                <w:szCs w:val="22"/>
              </w:rPr>
              <w:t>Merge groups, apply overlaps, code out, etc.</w:t>
            </w:r>
          </w:p>
        </w:tc>
      </w:tr>
      <w:tr w:rsidR="00201FD7" w14:paraId="20C79D33" w14:textId="77777777" w:rsidTr="005E62CB">
        <w:tc>
          <w:tcPr>
            <w:tcW w:w="2858" w:type="dxa"/>
            <w:hideMark/>
          </w:tcPr>
          <w:p w14:paraId="5EF95BA6" w14:textId="7E058D9B" w:rsidR="00201FD7" w:rsidRPr="00201FD7" w:rsidRDefault="00D30D6C">
            <w:pPr>
              <w:rPr>
                <w:rFonts w:asciiTheme="minorHAnsi" w:hAnsiTheme="minorHAnsi"/>
                <w:color w:val="000000"/>
                <w:sz w:val="22"/>
                <w:szCs w:val="22"/>
              </w:rPr>
            </w:pPr>
            <w:r>
              <w:rPr>
                <w:rFonts w:asciiTheme="minorHAnsi" w:hAnsiTheme="minorHAnsi"/>
                <w:color w:val="000000"/>
                <w:sz w:val="22"/>
                <w:szCs w:val="22"/>
              </w:rPr>
              <w:t>8/</w:t>
            </w:r>
            <w:r w:rsidR="00FE74E2">
              <w:rPr>
                <w:rFonts w:asciiTheme="minorHAnsi" w:hAnsiTheme="minorHAnsi"/>
                <w:color w:val="000000"/>
                <w:sz w:val="22"/>
                <w:szCs w:val="22"/>
              </w:rPr>
              <w:t>7</w:t>
            </w:r>
            <w:r w:rsidR="00B836DA">
              <w:rPr>
                <w:rFonts w:asciiTheme="minorHAnsi" w:hAnsiTheme="minorHAnsi"/>
                <w:color w:val="000000"/>
                <w:sz w:val="22"/>
                <w:szCs w:val="22"/>
              </w:rPr>
              <w:t>-8/</w:t>
            </w:r>
            <w:r w:rsidR="00FE74E2">
              <w:rPr>
                <w:rFonts w:asciiTheme="minorHAnsi" w:hAnsiTheme="minorHAnsi"/>
                <w:color w:val="000000"/>
                <w:sz w:val="22"/>
                <w:szCs w:val="22"/>
              </w:rPr>
              <w:t>14</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1F3DCBFE" w14:textId="77777777" w:rsidR="00201FD7" w:rsidRPr="00201FD7" w:rsidRDefault="00201FD7">
            <w:pPr>
              <w:rPr>
                <w:rFonts w:asciiTheme="minorHAnsi" w:hAnsiTheme="minorHAnsi"/>
                <w:color w:val="000000"/>
                <w:sz w:val="22"/>
                <w:szCs w:val="22"/>
              </w:rPr>
            </w:pPr>
            <w:r w:rsidRPr="00201FD7">
              <w:rPr>
                <w:rFonts w:asciiTheme="minorHAnsi" w:hAnsiTheme="minorHAnsi"/>
                <w:color w:val="000000"/>
                <w:sz w:val="22"/>
                <w:szCs w:val="22"/>
              </w:rPr>
              <w:t>Release Wave 1 for case assignments</w:t>
            </w:r>
          </w:p>
        </w:tc>
      </w:tr>
      <w:tr w:rsidR="003E0179" w14:paraId="347E7F33" w14:textId="77777777" w:rsidTr="005E62CB">
        <w:tc>
          <w:tcPr>
            <w:tcW w:w="2858" w:type="dxa"/>
          </w:tcPr>
          <w:p w14:paraId="1CFB8DE8" w14:textId="637C49F9" w:rsidR="003E0179" w:rsidRDefault="003E0179">
            <w:pPr>
              <w:rPr>
                <w:rFonts w:asciiTheme="minorHAnsi" w:hAnsiTheme="minorHAnsi"/>
                <w:color w:val="000000"/>
                <w:sz w:val="22"/>
                <w:szCs w:val="22"/>
              </w:rPr>
            </w:pPr>
            <w:r>
              <w:rPr>
                <w:rFonts w:asciiTheme="minorHAnsi" w:hAnsiTheme="minorHAnsi"/>
                <w:color w:val="000000"/>
                <w:sz w:val="22"/>
                <w:szCs w:val="22"/>
              </w:rPr>
              <w:t>8/</w:t>
            </w:r>
            <w:r w:rsidR="00FE74E2">
              <w:rPr>
                <w:rFonts w:asciiTheme="minorHAnsi" w:hAnsiTheme="minorHAnsi"/>
                <w:color w:val="000000"/>
                <w:sz w:val="22"/>
                <w:szCs w:val="22"/>
              </w:rPr>
              <w:t>14</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tcPr>
          <w:p w14:paraId="797FBCE4" w14:textId="32799945" w:rsidR="003E0179" w:rsidRPr="00201FD7" w:rsidRDefault="003E0179">
            <w:pPr>
              <w:rPr>
                <w:rFonts w:asciiTheme="minorHAnsi" w:hAnsiTheme="minorHAnsi"/>
                <w:color w:val="000000"/>
                <w:sz w:val="22"/>
                <w:szCs w:val="22"/>
              </w:rPr>
            </w:pPr>
            <w:r w:rsidRPr="00201FD7">
              <w:rPr>
                <w:rFonts w:asciiTheme="minorHAnsi" w:hAnsiTheme="minorHAnsi"/>
                <w:sz w:val="22"/>
                <w:szCs w:val="22"/>
              </w:rPr>
              <w:t>Begin Wave 1 data collection</w:t>
            </w:r>
          </w:p>
        </w:tc>
      </w:tr>
      <w:tr w:rsidR="005E62CB" w14:paraId="7F567677" w14:textId="77777777" w:rsidTr="005E62CB">
        <w:tc>
          <w:tcPr>
            <w:tcW w:w="2858" w:type="dxa"/>
          </w:tcPr>
          <w:p w14:paraId="4968603C" w14:textId="452CFB17" w:rsidR="005E62CB" w:rsidRPr="00201FD7" w:rsidDel="00324591" w:rsidRDefault="005E62CB" w:rsidP="005E62CB">
            <w:pPr>
              <w:rPr>
                <w:rFonts w:asciiTheme="minorHAnsi" w:hAnsiTheme="minorHAnsi"/>
                <w:sz w:val="22"/>
                <w:szCs w:val="22"/>
              </w:rPr>
            </w:pPr>
            <w:bookmarkStart w:id="33" w:name="_Hlk504483794"/>
            <w:r>
              <w:rPr>
                <w:rFonts w:asciiTheme="minorHAnsi" w:hAnsiTheme="minorHAnsi"/>
                <w:color w:val="000000"/>
                <w:sz w:val="22"/>
                <w:szCs w:val="22"/>
              </w:rPr>
              <w:t>8/</w:t>
            </w:r>
            <w:r w:rsidR="00FE74E2">
              <w:rPr>
                <w:rFonts w:asciiTheme="minorHAnsi" w:hAnsiTheme="minorHAnsi"/>
                <w:color w:val="000000"/>
                <w:sz w:val="22"/>
                <w:szCs w:val="22"/>
              </w:rPr>
              <w:t>8</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tcPr>
          <w:p w14:paraId="4440A714" w14:textId="600B3F6B" w:rsidR="005E62CB" w:rsidRPr="00201FD7" w:rsidRDefault="005E62CB" w:rsidP="005E62CB">
            <w:pPr>
              <w:rPr>
                <w:rFonts w:asciiTheme="minorHAnsi" w:hAnsiTheme="minorHAnsi"/>
                <w:sz w:val="22"/>
                <w:szCs w:val="22"/>
              </w:rPr>
            </w:pPr>
            <w:r w:rsidRPr="00201FD7">
              <w:rPr>
                <w:rFonts w:asciiTheme="minorHAnsi" w:hAnsiTheme="minorHAnsi"/>
                <w:color w:val="000000"/>
                <w:sz w:val="22"/>
                <w:szCs w:val="22"/>
              </w:rPr>
              <w:t>Cut off for Wave 2 AO QC</w:t>
            </w:r>
          </w:p>
        </w:tc>
      </w:tr>
      <w:bookmarkEnd w:id="33"/>
      <w:tr w:rsidR="00781EFF" w14:paraId="7DD3CF23" w14:textId="77777777" w:rsidTr="005E62CB">
        <w:tc>
          <w:tcPr>
            <w:tcW w:w="2858" w:type="dxa"/>
          </w:tcPr>
          <w:p w14:paraId="303397CB" w14:textId="348ECF62" w:rsidR="00781EFF" w:rsidRDefault="00781EFF" w:rsidP="00781EFF">
            <w:pPr>
              <w:rPr>
                <w:rFonts w:asciiTheme="minorHAnsi" w:hAnsiTheme="minorHAnsi"/>
                <w:color w:val="000000"/>
                <w:sz w:val="22"/>
                <w:szCs w:val="22"/>
              </w:rPr>
            </w:pPr>
            <w:r>
              <w:rPr>
                <w:rFonts w:asciiTheme="minorHAnsi" w:hAnsiTheme="minorHAnsi"/>
                <w:color w:val="000000"/>
                <w:sz w:val="22"/>
                <w:szCs w:val="22"/>
              </w:rPr>
              <w:t>8/</w:t>
            </w:r>
            <w:r w:rsidR="00FE74E2">
              <w:rPr>
                <w:rFonts w:asciiTheme="minorHAnsi" w:hAnsiTheme="minorHAnsi"/>
                <w:color w:val="000000"/>
                <w:sz w:val="22"/>
                <w:szCs w:val="22"/>
              </w:rPr>
              <w:t>9</w:t>
            </w:r>
            <w:r>
              <w:rPr>
                <w:rFonts w:asciiTheme="minorHAnsi" w:hAnsiTheme="minorHAnsi"/>
                <w:color w:val="000000"/>
                <w:sz w:val="22"/>
                <w:szCs w:val="22"/>
              </w:rPr>
              <w:t>-</w:t>
            </w:r>
            <w:r w:rsidR="00FE74E2">
              <w:rPr>
                <w:rFonts w:asciiTheme="minorHAnsi" w:hAnsiTheme="minorHAnsi"/>
                <w:color w:val="000000"/>
                <w:sz w:val="22"/>
                <w:szCs w:val="22"/>
              </w:rPr>
              <w:t>12</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tcPr>
          <w:p w14:paraId="46531EDD" w14:textId="4CACAF86" w:rsidR="00781EFF" w:rsidRPr="00201FD7" w:rsidRDefault="00FE74E2" w:rsidP="00781EFF">
            <w:pPr>
              <w:rPr>
                <w:rFonts w:asciiTheme="minorHAnsi" w:hAnsiTheme="minorHAnsi"/>
                <w:color w:val="000000"/>
                <w:sz w:val="22"/>
                <w:szCs w:val="22"/>
              </w:rPr>
            </w:pPr>
            <w:r>
              <w:rPr>
                <w:rFonts w:asciiTheme="minorHAnsi" w:hAnsiTheme="minorHAnsi"/>
                <w:color w:val="000000"/>
                <w:sz w:val="22"/>
                <w:szCs w:val="22"/>
              </w:rPr>
              <w:t xml:space="preserve">Wave 2 </w:t>
            </w:r>
            <w:proofErr w:type="spellStart"/>
            <w:r w:rsidR="00781EFF" w:rsidRPr="00201FD7">
              <w:rPr>
                <w:rFonts w:asciiTheme="minorHAnsi" w:hAnsiTheme="minorHAnsi"/>
                <w:color w:val="000000"/>
                <w:sz w:val="22"/>
                <w:szCs w:val="22"/>
              </w:rPr>
              <w:t>Autocoding</w:t>
            </w:r>
            <w:proofErr w:type="spellEnd"/>
            <w:r w:rsidR="00781EFF" w:rsidRPr="00201FD7">
              <w:rPr>
                <w:rFonts w:asciiTheme="minorHAnsi" w:hAnsiTheme="minorHAnsi"/>
                <w:color w:val="000000"/>
                <w:sz w:val="22"/>
                <w:szCs w:val="22"/>
              </w:rPr>
              <w:t xml:space="preserve"> </w:t>
            </w:r>
          </w:p>
        </w:tc>
      </w:tr>
      <w:tr w:rsidR="00781EFF" w14:paraId="3CDDA7F8" w14:textId="77777777" w:rsidTr="005E62CB">
        <w:tc>
          <w:tcPr>
            <w:tcW w:w="2858" w:type="dxa"/>
          </w:tcPr>
          <w:p w14:paraId="3EF0583E" w14:textId="1A1BE8CD" w:rsidR="00781EFF" w:rsidRDefault="00781EFF" w:rsidP="00781EFF">
            <w:pPr>
              <w:rPr>
                <w:rFonts w:asciiTheme="minorHAnsi" w:hAnsiTheme="minorHAnsi"/>
                <w:color w:val="000000"/>
                <w:sz w:val="22"/>
                <w:szCs w:val="22"/>
              </w:rPr>
            </w:pPr>
            <w:r>
              <w:rPr>
                <w:rFonts w:asciiTheme="minorHAnsi" w:hAnsiTheme="minorHAnsi"/>
                <w:color w:val="000000"/>
                <w:sz w:val="22"/>
                <w:szCs w:val="22"/>
              </w:rPr>
              <w:t>8/</w:t>
            </w:r>
            <w:r w:rsidR="00FE74E2">
              <w:rPr>
                <w:rFonts w:asciiTheme="minorHAnsi" w:hAnsiTheme="minorHAnsi"/>
                <w:color w:val="000000"/>
                <w:sz w:val="22"/>
                <w:szCs w:val="22"/>
              </w:rPr>
              <w:t>13</w:t>
            </w:r>
            <w:r>
              <w:rPr>
                <w:rFonts w:asciiTheme="minorHAnsi" w:hAnsiTheme="minorHAnsi"/>
                <w:color w:val="000000"/>
                <w:sz w:val="22"/>
                <w:szCs w:val="22"/>
              </w:rPr>
              <w:t>-</w:t>
            </w:r>
            <w:r w:rsidR="00FE74E2">
              <w:rPr>
                <w:rFonts w:asciiTheme="minorHAnsi" w:hAnsiTheme="minorHAnsi"/>
                <w:color w:val="000000"/>
                <w:sz w:val="22"/>
                <w:szCs w:val="22"/>
              </w:rPr>
              <w:t>15</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tcPr>
          <w:p w14:paraId="25760D01" w14:textId="34A8FB1A"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 xml:space="preserve">Build </w:t>
            </w:r>
            <w:r w:rsidR="00FE74E2">
              <w:rPr>
                <w:rFonts w:asciiTheme="minorHAnsi" w:hAnsiTheme="minorHAnsi"/>
                <w:color w:val="000000"/>
                <w:sz w:val="22"/>
                <w:szCs w:val="22"/>
              </w:rPr>
              <w:t xml:space="preserve">Wave 2 </w:t>
            </w:r>
            <w:r w:rsidRPr="00201FD7">
              <w:rPr>
                <w:rFonts w:asciiTheme="minorHAnsi" w:hAnsiTheme="minorHAnsi"/>
                <w:color w:val="000000"/>
                <w:sz w:val="22"/>
                <w:szCs w:val="22"/>
              </w:rPr>
              <w:t>sample</w:t>
            </w:r>
          </w:p>
        </w:tc>
      </w:tr>
      <w:tr w:rsidR="00781EFF" w14:paraId="1AA30150" w14:textId="77777777" w:rsidTr="005E62CB">
        <w:tc>
          <w:tcPr>
            <w:tcW w:w="2858" w:type="dxa"/>
            <w:hideMark/>
          </w:tcPr>
          <w:p w14:paraId="72F9867C" w14:textId="7767F3B2"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8/</w:t>
            </w:r>
            <w:r w:rsidR="00FE74E2">
              <w:rPr>
                <w:rFonts w:asciiTheme="minorHAnsi" w:hAnsiTheme="minorHAnsi"/>
                <w:color w:val="000000"/>
                <w:sz w:val="22"/>
                <w:szCs w:val="22"/>
              </w:rPr>
              <w:t>16</w:t>
            </w:r>
            <w:r>
              <w:rPr>
                <w:rFonts w:asciiTheme="minorHAnsi" w:hAnsiTheme="minorHAnsi"/>
                <w:color w:val="000000"/>
                <w:sz w:val="22"/>
                <w:szCs w:val="22"/>
              </w:rPr>
              <w:t>-</w:t>
            </w:r>
            <w:r w:rsidR="00FE74E2">
              <w:rPr>
                <w:rFonts w:asciiTheme="minorHAnsi" w:hAnsiTheme="minorHAnsi"/>
                <w:color w:val="000000"/>
                <w:sz w:val="22"/>
                <w:szCs w:val="22"/>
              </w:rPr>
              <w:t>29</w:t>
            </w:r>
            <w:r>
              <w:rPr>
                <w:rFonts w:asciiTheme="minorHAnsi" w:hAnsiTheme="minorHAnsi"/>
                <w:color w:val="000000"/>
                <w:sz w:val="22"/>
                <w:szCs w:val="22"/>
              </w:rPr>
              <w:t>/</w:t>
            </w:r>
            <w:r w:rsidR="00FE74E2">
              <w:rPr>
                <w:rFonts w:asciiTheme="minorHAnsi" w:hAnsiTheme="minorHAnsi"/>
                <w:color w:val="000000"/>
                <w:sz w:val="22"/>
                <w:szCs w:val="22"/>
              </w:rPr>
              <w:t>2024</w:t>
            </w:r>
          </w:p>
        </w:tc>
        <w:tc>
          <w:tcPr>
            <w:tcW w:w="5400" w:type="dxa"/>
            <w:hideMark/>
          </w:tcPr>
          <w:p w14:paraId="69A92FFE"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Prepare contact groups and identify overlaps</w:t>
            </w:r>
          </w:p>
        </w:tc>
      </w:tr>
      <w:tr w:rsidR="00781EFF" w14:paraId="64B36098" w14:textId="77777777" w:rsidTr="005E62CB">
        <w:tc>
          <w:tcPr>
            <w:tcW w:w="2858" w:type="dxa"/>
            <w:hideMark/>
          </w:tcPr>
          <w:p w14:paraId="7A760BF6" w14:textId="320E202B" w:rsidR="00781EFF" w:rsidRPr="00201FD7" w:rsidRDefault="00FE74E2" w:rsidP="00781EFF">
            <w:pPr>
              <w:rPr>
                <w:rFonts w:asciiTheme="minorHAnsi" w:hAnsiTheme="minorHAnsi"/>
                <w:color w:val="000000"/>
                <w:sz w:val="22"/>
                <w:szCs w:val="22"/>
              </w:rPr>
            </w:pPr>
            <w:r>
              <w:rPr>
                <w:rFonts w:asciiTheme="minorHAnsi" w:hAnsiTheme="minorHAnsi"/>
                <w:color w:val="000000"/>
                <w:sz w:val="22"/>
                <w:szCs w:val="22"/>
              </w:rPr>
              <w:t>8/30-9/6</w:t>
            </w:r>
            <w:r w:rsidR="00781EFF">
              <w:rPr>
                <w:rFonts w:asciiTheme="minorHAnsi" w:hAnsiTheme="minorHAnsi"/>
                <w:color w:val="000000"/>
                <w:sz w:val="22"/>
                <w:szCs w:val="22"/>
              </w:rPr>
              <w:t>/</w:t>
            </w:r>
            <w:r>
              <w:rPr>
                <w:rFonts w:asciiTheme="minorHAnsi" w:hAnsiTheme="minorHAnsi"/>
                <w:color w:val="000000"/>
                <w:sz w:val="22"/>
                <w:szCs w:val="22"/>
              </w:rPr>
              <w:t>2024</w:t>
            </w:r>
          </w:p>
        </w:tc>
        <w:tc>
          <w:tcPr>
            <w:tcW w:w="5400" w:type="dxa"/>
            <w:hideMark/>
          </w:tcPr>
          <w:p w14:paraId="1DB5DB86"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Merge groups, apply overlaps, code out, etc.</w:t>
            </w:r>
          </w:p>
        </w:tc>
      </w:tr>
      <w:tr w:rsidR="00781EFF" w14:paraId="3F4CA8EE" w14:textId="77777777" w:rsidTr="005E62CB">
        <w:tc>
          <w:tcPr>
            <w:tcW w:w="2858" w:type="dxa"/>
            <w:hideMark/>
          </w:tcPr>
          <w:p w14:paraId="508D9AE8" w14:textId="45E9871E"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9/</w:t>
            </w:r>
            <w:r w:rsidR="00724C03">
              <w:rPr>
                <w:rFonts w:asciiTheme="minorHAnsi" w:hAnsiTheme="minorHAnsi"/>
                <w:color w:val="000000"/>
                <w:sz w:val="22"/>
                <w:szCs w:val="22"/>
              </w:rPr>
              <w:t>6</w:t>
            </w:r>
            <w:r w:rsidR="00B836DA">
              <w:rPr>
                <w:rFonts w:asciiTheme="minorHAnsi" w:hAnsiTheme="minorHAnsi"/>
                <w:color w:val="000000"/>
                <w:sz w:val="22"/>
                <w:szCs w:val="22"/>
              </w:rPr>
              <w:t>-</w:t>
            </w:r>
            <w:r w:rsidR="00724C03">
              <w:rPr>
                <w:rFonts w:asciiTheme="minorHAnsi" w:hAnsiTheme="minorHAnsi"/>
                <w:color w:val="000000"/>
                <w:sz w:val="22"/>
                <w:szCs w:val="22"/>
              </w:rPr>
              <w:t>11</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637CA180"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Release Wave 2 for case assignments</w:t>
            </w:r>
          </w:p>
        </w:tc>
      </w:tr>
      <w:tr w:rsidR="00781EFF" w14:paraId="74259E9C" w14:textId="77777777" w:rsidTr="00AB5D93">
        <w:tc>
          <w:tcPr>
            <w:tcW w:w="2858" w:type="dxa"/>
            <w:shd w:val="clear" w:color="auto" w:fill="auto"/>
            <w:hideMark/>
          </w:tcPr>
          <w:p w14:paraId="7AF98ED8" w14:textId="0AFC0AC8" w:rsidR="00781EFF" w:rsidRPr="00AB5D93" w:rsidRDefault="00781EFF" w:rsidP="00781EFF">
            <w:pPr>
              <w:rPr>
                <w:rFonts w:asciiTheme="minorHAnsi" w:hAnsiTheme="minorHAnsi"/>
                <w:sz w:val="22"/>
                <w:szCs w:val="22"/>
              </w:rPr>
            </w:pPr>
            <w:r w:rsidRPr="00AB5D93">
              <w:rPr>
                <w:rFonts w:asciiTheme="minorHAnsi" w:hAnsiTheme="minorHAnsi"/>
                <w:sz w:val="22"/>
                <w:szCs w:val="22"/>
              </w:rPr>
              <w:t>9/</w:t>
            </w:r>
            <w:r w:rsidR="00724C03" w:rsidRPr="00AB5D93">
              <w:rPr>
                <w:rFonts w:asciiTheme="minorHAnsi" w:hAnsiTheme="minorHAnsi"/>
                <w:sz w:val="22"/>
                <w:szCs w:val="22"/>
              </w:rPr>
              <w:t>11</w:t>
            </w:r>
            <w:r w:rsidRPr="00AB5D93">
              <w:rPr>
                <w:rFonts w:asciiTheme="minorHAnsi" w:hAnsiTheme="minorHAnsi"/>
                <w:sz w:val="22"/>
                <w:szCs w:val="22"/>
              </w:rPr>
              <w:t>/</w:t>
            </w:r>
            <w:r w:rsidR="00724C03" w:rsidRPr="00AB5D93">
              <w:rPr>
                <w:rFonts w:asciiTheme="minorHAnsi" w:hAnsiTheme="minorHAnsi"/>
                <w:sz w:val="22"/>
                <w:szCs w:val="22"/>
              </w:rPr>
              <w:t>2024</w:t>
            </w:r>
          </w:p>
        </w:tc>
        <w:tc>
          <w:tcPr>
            <w:tcW w:w="5400" w:type="dxa"/>
            <w:shd w:val="clear" w:color="auto" w:fill="auto"/>
            <w:hideMark/>
          </w:tcPr>
          <w:p w14:paraId="52E9F33F" w14:textId="77777777" w:rsidR="00781EFF" w:rsidRPr="00AB5D93" w:rsidRDefault="00781EFF" w:rsidP="00781EFF">
            <w:pPr>
              <w:rPr>
                <w:rFonts w:asciiTheme="minorHAnsi" w:hAnsiTheme="minorHAnsi"/>
                <w:sz w:val="22"/>
                <w:szCs w:val="22"/>
              </w:rPr>
            </w:pPr>
            <w:r w:rsidRPr="00AB5D93">
              <w:rPr>
                <w:rFonts w:asciiTheme="minorHAnsi" w:hAnsiTheme="minorHAnsi"/>
                <w:sz w:val="22"/>
                <w:szCs w:val="22"/>
              </w:rPr>
              <w:t>Begin Wave 2 data collection</w:t>
            </w:r>
          </w:p>
        </w:tc>
      </w:tr>
      <w:tr w:rsidR="00781EFF" w14:paraId="005C06DB" w14:textId="77777777" w:rsidTr="005E62CB">
        <w:tc>
          <w:tcPr>
            <w:tcW w:w="2858" w:type="dxa"/>
            <w:hideMark/>
          </w:tcPr>
          <w:p w14:paraId="6242C7FF" w14:textId="79BEF03E"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9/</w:t>
            </w:r>
            <w:r w:rsidR="00724C03">
              <w:rPr>
                <w:rFonts w:asciiTheme="minorHAnsi" w:hAnsiTheme="minorHAnsi"/>
                <w:color w:val="000000"/>
                <w:sz w:val="22"/>
                <w:szCs w:val="22"/>
              </w:rPr>
              <w:t>10</w:t>
            </w:r>
            <w:r>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36FF6F42"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Cut off for Wave 3 AO QC</w:t>
            </w:r>
          </w:p>
        </w:tc>
      </w:tr>
      <w:tr w:rsidR="00781EFF" w14:paraId="36BA3B1A" w14:textId="77777777" w:rsidTr="005E62CB">
        <w:tc>
          <w:tcPr>
            <w:tcW w:w="2858" w:type="dxa"/>
            <w:hideMark/>
          </w:tcPr>
          <w:p w14:paraId="657FA4CC" w14:textId="7972E1C4"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9/</w:t>
            </w:r>
            <w:r w:rsidR="00724C03">
              <w:rPr>
                <w:rFonts w:asciiTheme="minorHAnsi" w:hAnsiTheme="minorHAnsi"/>
                <w:color w:val="000000"/>
                <w:sz w:val="22"/>
                <w:szCs w:val="22"/>
              </w:rPr>
              <w:t>11</w:t>
            </w:r>
            <w:r>
              <w:rPr>
                <w:rFonts w:asciiTheme="minorHAnsi" w:hAnsiTheme="minorHAnsi"/>
                <w:color w:val="000000"/>
                <w:sz w:val="22"/>
                <w:szCs w:val="22"/>
              </w:rPr>
              <w:t>-</w:t>
            </w:r>
            <w:r w:rsidR="00724C03">
              <w:rPr>
                <w:rFonts w:asciiTheme="minorHAnsi" w:hAnsiTheme="minorHAnsi"/>
                <w:color w:val="000000"/>
                <w:sz w:val="22"/>
                <w:szCs w:val="22"/>
              </w:rPr>
              <w:t>12</w:t>
            </w:r>
            <w:r>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6CE20A83" w14:textId="35CC810F" w:rsidR="00781EFF" w:rsidRPr="00201FD7" w:rsidRDefault="00724C03" w:rsidP="00781EFF">
            <w:pPr>
              <w:rPr>
                <w:rFonts w:asciiTheme="minorHAnsi" w:hAnsiTheme="minorHAnsi"/>
                <w:color w:val="000000"/>
                <w:sz w:val="22"/>
                <w:szCs w:val="22"/>
              </w:rPr>
            </w:pPr>
            <w:r>
              <w:rPr>
                <w:rFonts w:asciiTheme="minorHAnsi" w:hAnsiTheme="minorHAnsi"/>
                <w:color w:val="000000"/>
                <w:sz w:val="22"/>
                <w:szCs w:val="22"/>
              </w:rPr>
              <w:t xml:space="preserve">Wave 3 </w:t>
            </w:r>
            <w:proofErr w:type="spellStart"/>
            <w:r w:rsidR="00781EFF" w:rsidRPr="00201FD7">
              <w:rPr>
                <w:rFonts w:asciiTheme="minorHAnsi" w:hAnsiTheme="minorHAnsi"/>
                <w:color w:val="000000"/>
                <w:sz w:val="22"/>
                <w:szCs w:val="22"/>
              </w:rPr>
              <w:t>Autocoding</w:t>
            </w:r>
            <w:proofErr w:type="spellEnd"/>
            <w:r w:rsidR="00781EFF" w:rsidRPr="00201FD7">
              <w:rPr>
                <w:rFonts w:asciiTheme="minorHAnsi" w:hAnsiTheme="minorHAnsi"/>
                <w:color w:val="000000"/>
                <w:sz w:val="22"/>
                <w:szCs w:val="22"/>
              </w:rPr>
              <w:t xml:space="preserve"> </w:t>
            </w:r>
          </w:p>
        </w:tc>
      </w:tr>
      <w:tr w:rsidR="00781EFF" w14:paraId="40CA38EF" w14:textId="77777777" w:rsidTr="005E62CB">
        <w:tc>
          <w:tcPr>
            <w:tcW w:w="2858" w:type="dxa"/>
            <w:hideMark/>
          </w:tcPr>
          <w:p w14:paraId="217A237F" w14:textId="05DEA2F8"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9/</w:t>
            </w:r>
            <w:r w:rsidR="00724C03">
              <w:rPr>
                <w:rFonts w:asciiTheme="minorHAnsi" w:hAnsiTheme="minorHAnsi"/>
                <w:color w:val="000000"/>
                <w:sz w:val="22"/>
                <w:szCs w:val="22"/>
              </w:rPr>
              <w:t>13</w:t>
            </w:r>
            <w:r>
              <w:rPr>
                <w:rFonts w:asciiTheme="minorHAnsi" w:hAnsiTheme="minorHAnsi"/>
                <w:color w:val="000000"/>
                <w:sz w:val="22"/>
                <w:szCs w:val="22"/>
              </w:rPr>
              <w:t>-</w:t>
            </w:r>
            <w:r w:rsidR="00724C03">
              <w:rPr>
                <w:rFonts w:asciiTheme="minorHAnsi" w:hAnsiTheme="minorHAnsi"/>
                <w:color w:val="000000"/>
                <w:sz w:val="22"/>
                <w:szCs w:val="22"/>
              </w:rPr>
              <w:t>17</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65B08AD0" w14:textId="07A395BF"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 xml:space="preserve">Build </w:t>
            </w:r>
            <w:r w:rsidR="00724C03">
              <w:rPr>
                <w:rFonts w:asciiTheme="minorHAnsi" w:hAnsiTheme="minorHAnsi"/>
                <w:color w:val="000000"/>
                <w:sz w:val="22"/>
                <w:szCs w:val="22"/>
              </w:rPr>
              <w:t xml:space="preserve">Wave 3 </w:t>
            </w:r>
            <w:r w:rsidRPr="00201FD7">
              <w:rPr>
                <w:rFonts w:asciiTheme="minorHAnsi" w:hAnsiTheme="minorHAnsi"/>
                <w:color w:val="000000"/>
                <w:sz w:val="22"/>
                <w:szCs w:val="22"/>
              </w:rPr>
              <w:t>sample</w:t>
            </w:r>
          </w:p>
        </w:tc>
      </w:tr>
      <w:tr w:rsidR="00781EFF" w14:paraId="5A8EC80F" w14:textId="77777777" w:rsidTr="005E62CB">
        <w:tc>
          <w:tcPr>
            <w:tcW w:w="2858" w:type="dxa"/>
            <w:hideMark/>
          </w:tcPr>
          <w:p w14:paraId="28F70DD4" w14:textId="3C293E4B"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9/</w:t>
            </w:r>
            <w:r w:rsidR="00724C03">
              <w:rPr>
                <w:rFonts w:asciiTheme="minorHAnsi" w:hAnsiTheme="minorHAnsi"/>
                <w:color w:val="000000"/>
                <w:sz w:val="22"/>
                <w:szCs w:val="22"/>
              </w:rPr>
              <w:t>18</w:t>
            </w:r>
            <w:r>
              <w:rPr>
                <w:rFonts w:asciiTheme="minorHAnsi" w:hAnsiTheme="minorHAnsi"/>
                <w:color w:val="000000"/>
                <w:sz w:val="22"/>
                <w:szCs w:val="22"/>
              </w:rPr>
              <w:t>-</w:t>
            </w:r>
            <w:r w:rsidR="00724C03">
              <w:rPr>
                <w:rFonts w:asciiTheme="minorHAnsi" w:hAnsiTheme="minorHAnsi"/>
                <w:color w:val="000000"/>
                <w:sz w:val="22"/>
                <w:szCs w:val="22"/>
              </w:rPr>
              <w:t>10/1</w:t>
            </w:r>
            <w:r>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28DA5229"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Prepare contact groups and identify overlaps</w:t>
            </w:r>
          </w:p>
        </w:tc>
      </w:tr>
      <w:tr w:rsidR="00781EFF" w14:paraId="4D0F3572" w14:textId="77777777" w:rsidTr="005E62CB">
        <w:tc>
          <w:tcPr>
            <w:tcW w:w="2858" w:type="dxa"/>
            <w:hideMark/>
          </w:tcPr>
          <w:p w14:paraId="329DC722" w14:textId="67863C82" w:rsidR="00781EFF" w:rsidRPr="00201FD7" w:rsidRDefault="00724C03" w:rsidP="00781EFF">
            <w:pPr>
              <w:rPr>
                <w:rFonts w:asciiTheme="minorHAnsi" w:hAnsiTheme="minorHAnsi"/>
                <w:color w:val="000000"/>
                <w:sz w:val="22"/>
                <w:szCs w:val="22"/>
              </w:rPr>
            </w:pPr>
            <w:r>
              <w:rPr>
                <w:rFonts w:asciiTheme="minorHAnsi" w:hAnsiTheme="minorHAnsi"/>
                <w:color w:val="000000"/>
                <w:sz w:val="22"/>
                <w:szCs w:val="22"/>
              </w:rPr>
              <w:t>10/2-8</w:t>
            </w:r>
            <w:r w:rsidR="00781EFF">
              <w:rPr>
                <w:rFonts w:asciiTheme="minorHAnsi" w:hAnsiTheme="minorHAnsi"/>
                <w:color w:val="000000"/>
                <w:sz w:val="22"/>
                <w:szCs w:val="22"/>
              </w:rPr>
              <w:t>/</w:t>
            </w:r>
            <w:r w:rsidR="00A23503">
              <w:rPr>
                <w:rFonts w:asciiTheme="minorHAnsi" w:hAnsiTheme="minorHAnsi"/>
                <w:color w:val="000000"/>
                <w:sz w:val="22"/>
                <w:szCs w:val="22"/>
              </w:rPr>
              <w:t>202</w:t>
            </w:r>
            <w:r>
              <w:rPr>
                <w:rFonts w:asciiTheme="minorHAnsi" w:hAnsiTheme="minorHAnsi"/>
                <w:color w:val="000000"/>
                <w:sz w:val="22"/>
                <w:szCs w:val="22"/>
              </w:rPr>
              <w:t>4</w:t>
            </w:r>
          </w:p>
        </w:tc>
        <w:tc>
          <w:tcPr>
            <w:tcW w:w="5400" w:type="dxa"/>
            <w:hideMark/>
          </w:tcPr>
          <w:p w14:paraId="69ED3B77"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Merge groups, apply overlaps, code out, etc.</w:t>
            </w:r>
          </w:p>
        </w:tc>
      </w:tr>
      <w:tr w:rsidR="00781EFF" w14:paraId="4CCEA137" w14:textId="77777777" w:rsidTr="005E62CB">
        <w:tc>
          <w:tcPr>
            <w:tcW w:w="2858" w:type="dxa"/>
            <w:hideMark/>
          </w:tcPr>
          <w:p w14:paraId="5B8241DC" w14:textId="6BB27D1A"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10/</w:t>
            </w:r>
            <w:r w:rsidR="00724C03">
              <w:rPr>
                <w:rFonts w:asciiTheme="minorHAnsi" w:hAnsiTheme="minorHAnsi"/>
                <w:color w:val="000000"/>
                <w:sz w:val="22"/>
                <w:szCs w:val="22"/>
              </w:rPr>
              <w:t>9</w:t>
            </w:r>
            <w:r w:rsidR="00C04A0D">
              <w:rPr>
                <w:rFonts w:asciiTheme="minorHAnsi" w:hAnsiTheme="minorHAnsi"/>
                <w:color w:val="000000"/>
                <w:sz w:val="22"/>
                <w:szCs w:val="22"/>
              </w:rPr>
              <w:t>-</w:t>
            </w:r>
            <w:r w:rsidR="00EE15E6">
              <w:rPr>
                <w:rFonts w:asciiTheme="minorHAnsi" w:hAnsiTheme="minorHAnsi"/>
                <w:color w:val="000000"/>
                <w:sz w:val="22"/>
                <w:szCs w:val="22"/>
              </w:rPr>
              <w:t>11</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2F2580E5"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Release Wave 3 for case assignments</w:t>
            </w:r>
          </w:p>
        </w:tc>
      </w:tr>
      <w:tr w:rsidR="00781EFF" w14:paraId="735FC831" w14:textId="77777777" w:rsidTr="00AB5D93">
        <w:tc>
          <w:tcPr>
            <w:tcW w:w="2858" w:type="dxa"/>
            <w:shd w:val="clear" w:color="auto" w:fill="auto"/>
            <w:hideMark/>
          </w:tcPr>
          <w:p w14:paraId="2E0B9485" w14:textId="39763313" w:rsidR="00781EFF" w:rsidRPr="00AB5D93" w:rsidRDefault="00781EFF" w:rsidP="00781EFF">
            <w:pPr>
              <w:rPr>
                <w:rFonts w:asciiTheme="minorHAnsi" w:hAnsiTheme="minorHAnsi"/>
                <w:sz w:val="22"/>
                <w:szCs w:val="22"/>
              </w:rPr>
            </w:pPr>
            <w:r w:rsidRPr="00AB5D93">
              <w:rPr>
                <w:rFonts w:asciiTheme="minorHAnsi" w:hAnsiTheme="minorHAnsi"/>
                <w:sz w:val="22"/>
                <w:szCs w:val="22"/>
              </w:rPr>
              <w:t>10/</w:t>
            </w:r>
            <w:r w:rsidR="00EE15E6" w:rsidRPr="00AB5D93">
              <w:rPr>
                <w:rFonts w:asciiTheme="minorHAnsi" w:hAnsiTheme="minorHAnsi"/>
                <w:sz w:val="22"/>
                <w:szCs w:val="22"/>
              </w:rPr>
              <w:t>11</w:t>
            </w:r>
            <w:r w:rsidRPr="00AB5D93">
              <w:rPr>
                <w:rFonts w:asciiTheme="minorHAnsi" w:hAnsiTheme="minorHAnsi"/>
                <w:sz w:val="22"/>
                <w:szCs w:val="22"/>
              </w:rPr>
              <w:t>/</w:t>
            </w:r>
            <w:r w:rsidR="00724C03" w:rsidRPr="00AB5D93">
              <w:rPr>
                <w:rFonts w:asciiTheme="minorHAnsi" w:hAnsiTheme="minorHAnsi"/>
                <w:sz w:val="22"/>
                <w:szCs w:val="22"/>
              </w:rPr>
              <w:t>2024</w:t>
            </w:r>
          </w:p>
        </w:tc>
        <w:tc>
          <w:tcPr>
            <w:tcW w:w="5400" w:type="dxa"/>
            <w:shd w:val="clear" w:color="auto" w:fill="auto"/>
            <w:hideMark/>
          </w:tcPr>
          <w:p w14:paraId="0D4D8E7B" w14:textId="77777777" w:rsidR="00781EFF" w:rsidRPr="00AB5D93" w:rsidRDefault="00781EFF" w:rsidP="00781EFF">
            <w:pPr>
              <w:rPr>
                <w:rFonts w:asciiTheme="minorHAnsi" w:hAnsiTheme="minorHAnsi"/>
                <w:sz w:val="22"/>
                <w:szCs w:val="22"/>
              </w:rPr>
            </w:pPr>
            <w:r w:rsidRPr="00AB5D93">
              <w:rPr>
                <w:rFonts w:asciiTheme="minorHAnsi" w:hAnsiTheme="minorHAnsi"/>
                <w:sz w:val="22"/>
                <w:szCs w:val="22"/>
              </w:rPr>
              <w:t>Begin Wave 3 data collection</w:t>
            </w:r>
          </w:p>
        </w:tc>
      </w:tr>
      <w:tr w:rsidR="00781EFF" w14:paraId="5681E7CB" w14:textId="77777777" w:rsidTr="00AB5D93">
        <w:tc>
          <w:tcPr>
            <w:tcW w:w="2858" w:type="dxa"/>
            <w:shd w:val="clear" w:color="auto" w:fill="auto"/>
            <w:hideMark/>
          </w:tcPr>
          <w:p w14:paraId="3C8FF2E4" w14:textId="326D8351"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10/</w:t>
            </w:r>
            <w:r w:rsidR="00724C03">
              <w:rPr>
                <w:rFonts w:asciiTheme="minorHAnsi" w:hAnsiTheme="minorHAnsi"/>
                <w:color w:val="000000"/>
                <w:sz w:val="22"/>
                <w:szCs w:val="22"/>
              </w:rPr>
              <w:t>11</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shd w:val="clear" w:color="auto" w:fill="auto"/>
            <w:hideMark/>
          </w:tcPr>
          <w:p w14:paraId="7965EEAA"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End of Hospital data collection</w:t>
            </w:r>
          </w:p>
        </w:tc>
      </w:tr>
      <w:tr w:rsidR="00781EFF" w14:paraId="4EFFC916" w14:textId="77777777" w:rsidTr="005E62CB">
        <w:tc>
          <w:tcPr>
            <w:tcW w:w="2858" w:type="dxa"/>
            <w:hideMark/>
          </w:tcPr>
          <w:p w14:paraId="50A63049" w14:textId="576606A2"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10/</w:t>
            </w:r>
            <w:r w:rsidR="00724C03">
              <w:rPr>
                <w:rFonts w:asciiTheme="minorHAnsi" w:hAnsiTheme="minorHAnsi"/>
                <w:color w:val="000000"/>
                <w:sz w:val="22"/>
                <w:szCs w:val="22"/>
              </w:rPr>
              <w:t>18</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12973CAF"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Cut off for Wave 4 AO QC</w:t>
            </w:r>
          </w:p>
        </w:tc>
      </w:tr>
      <w:tr w:rsidR="00781EFF" w14:paraId="0D400C40" w14:textId="77777777" w:rsidTr="005E62CB">
        <w:tc>
          <w:tcPr>
            <w:tcW w:w="2858" w:type="dxa"/>
            <w:hideMark/>
          </w:tcPr>
          <w:p w14:paraId="45D21DB8" w14:textId="1076077B"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10/</w:t>
            </w:r>
            <w:r w:rsidR="00724C03">
              <w:rPr>
                <w:rFonts w:asciiTheme="minorHAnsi" w:hAnsiTheme="minorHAnsi"/>
                <w:color w:val="000000"/>
                <w:sz w:val="22"/>
                <w:szCs w:val="22"/>
              </w:rPr>
              <w:t>21</w:t>
            </w:r>
            <w:r>
              <w:rPr>
                <w:rFonts w:asciiTheme="minorHAnsi" w:hAnsiTheme="minorHAnsi"/>
                <w:color w:val="000000"/>
                <w:sz w:val="22"/>
                <w:szCs w:val="22"/>
              </w:rPr>
              <w:t>-</w:t>
            </w:r>
            <w:r w:rsidR="00724C03">
              <w:rPr>
                <w:rFonts w:asciiTheme="minorHAnsi" w:hAnsiTheme="minorHAnsi"/>
                <w:color w:val="000000"/>
                <w:sz w:val="22"/>
                <w:szCs w:val="22"/>
              </w:rPr>
              <w:t>22</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28CAF5AF" w14:textId="507210DB" w:rsidR="00781EFF" w:rsidRPr="00201FD7" w:rsidRDefault="00724C03" w:rsidP="00781EFF">
            <w:pPr>
              <w:rPr>
                <w:rFonts w:asciiTheme="minorHAnsi" w:hAnsiTheme="minorHAnsi"/>
                <w:color w:val="000000"/>
                <w:sz w:val="22"/>
                <w:szCs w:val="22"/>
              </w:rPr>
            </w:pPr>
            <w:r>
              <w:rPr>
                <w:rFonts w:asciiTheme="minorHAnsi" w:hAnsiTheme="minorHAnsi"/>
                <w:color w:val="000000"/>
                <w:sz w:val="22"/>
                <w:szCs w:val="22"/>
              </w:rPr>
              <w:t xml:space="preserve">Wave 4 </w:t>
            </w:r>
            <w:proofErr w:type="spellStart"/>
            <w:r w:rsidR="00781EFF" w:rsidRPr="00201FD7">
              <w:rPr>
                <w:rFonts w:asciiTheme="minorHAnsi" w:hAnsiTheme="minorHAnsi"/>
                <w:color w:val="000000"/>
                <w:sz w:val="22"/>
                <w:szCs w:val="22"/>
              </w:rPr>
              <w:t>Autocoding</w:t>
            </w:r>
            <w:proofErr w:type="spellEnd"/>
            <w:r w:rsidR="00781EFF" w:rsidRPr="00201FD7">
              <w:rPr>
                <w:rFonts w:asciiTheme="minorHAnsi" w:hAnsiTheme="minorHAnsi"/>
                <w:color w:val="000000"/>
                <w:sz w:val="22"/>
                <w:szCs w:val="22"/>
              </w:rPr>
              <w:t xml:space="preserve"> </w:t>
            </w:r>
          </w:p>
        </w:tc>
      </w:tr>
      <w:tr w:rsidR="00781EFF" w14:paraId="0C404B93" w14:textId="77777777" w:rsidTr="005E62CB">
        <w:tc>
          <w:tcPr>
            <w:tcW w:w="2858" w:type="dxa"/>
            <w:hideMark/>
          </w:tcPr>
          <w:p w14:paraId="6D22A646" w14:textId="477C413D"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10/</w:t>
            </w:r>
            <w:r w:rsidR="00724C03">
              <w:rPr>
                <w:rFonts w:asciiTheme="minorHAnsi" w:hAnsiTheme="minorHAnsi"/>
                <w:color w:val="000000"/>
                <w:sz w:val="22"/>
                <w:szCs w:val="22"/>
              </w:rPr>
              <w:t>23</w:t>
            </w:r>
            <w:r>
              <w:rPr>
                <w:rFonts w:asciiTheme="minorHAnsi" w:hAnsiTheme="minorHAnsi"/>
                <w:color w:val="000000"/>
                <w:sz w:val="22"/>
                <w:szCs w:val="22"/>
              </w:rPr>
              <w:t>-</w:t>
            </w:r>
            <w:r w:rsidR="00724C03">
              <w:rPr>
                <w:rFonts w:asciiTheme="minorHAnsi" w:hAnsiTheme="minorHAnsi"/>
                <w:color w:val="000000"/>
                <w:sz w:val="22"/>
                <w:szCs w:val="22"/>
              </w:rPr>
              <w:t>25</w:t>
            </w:r>
            <w:r>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6551C004" w14:textId="0CFEA3FE"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 xml:space="preserve">Build </w:t>
            </w:r>
            <w:r w:rsidR="00724C03">
              <w:rPr>
                <w:rFonts w:asciiTheme="minorHAnsi" w:hAnsiTheme="minorHAnsi"/>
                <w:color w:val="000000"/>
                <w:sz w:val="22"/>
                <w:szCs w:val="22"/>
              </w:rPr>
              <w:t xml:space="preserve">Wave 4 </w:t>
            </w:r>
            <w:r w:rsidRPr="00201FD7">
              <w:rPr>
                <w:rFonts w:asciiTheme="minorHAnsi" w:hAnsiTheme="minorHAnsi"/>
                <w:color w:val="000000"/>
                <w:sz w:val="22"/>
                <w:szCs w:val="22"/>
              </w:rPr>
              <w:t>sample</w:t>
            </w:r>
          </w:p>
        </w:tc>
      </w:tr>
      <w:tr w:rsidR="00781EFF" w14:paraId="32E755C3" w14:textId="77777777" w:rsidTr="005E62CB">
        <w:tc>
          <w:tcPr>
            <w:tcW w:w="2858" w:type="dxa"/>
            <w:hideMark/>
          </w:tcPr>
          <w:p w14:paraId="199FEC05" w14:textId="015485B1" w:rsidR="00781EFF" w:rsidRPr="00201FD7" w:rsidRDefault="00C04A0D" w:rsidP="00781EFF">
            <w:pPr>
              <w:rPr>
                <w:rFonts w:asciiTheme="minorHAnsi" w:hAnsiTheme="minorHAnsi"/>
                <w:color w:val="000000"/>
                <w:sz w:val="22"/>
                <w:szCs w:val="22"/>
              </w:rPr>
            </w:pPr>
            <w:r>
              <w:rPr>
                <w:rFonts w:asciiTheme="minorHAnsi" w:hAnsiTheme="minorHAnsi"/>
                <w:color w:val="000000"/>
                <w:sz w:val="22"/>
                <w:szCs w:val="22"/>
              </w:rPr>
              <w:t>10</w:t>
            </w:r>
            <w:r w:rsidR="00781EFF">
              <w:rPr>
                <w:rFonts w:asciiTheme="minorHAnsi" w:hAnsiTheme="minorHAnsi"/>
                <w:color w:val="000000"/>
                <w:sz w:val="22"/>
                <w:szCs w:val="22"/>
              </w:rPr>
              <w:t>/</w:t>
            </w:r>
            <w:r w:rsidR="00724C03">
              <w:rPr>
                <w:rFonts w:asciiTheme="minorHAnsi" w:hAnsiTheme="minorHAnsi"/>
                <w:color w:val="000000"/>
                <w:sz w:val="22"/>
                <w:szCs w:val="22"/>
              </w:rPr>
              <w:t>28</w:t>
            </w:r>
            <w:r w:rsidR="00781EFF">
              <w:rPr>
                <w:rFonts w:asciiTheme="minorHAnsi" w:hAnsiTheme="minorHAnsi"/>
                <w:color w:val="000000"/>
                <w:sz w:val="22"/>
                <w:szCs w:val="22"/>
              </w:rPr>
              <w:t>-</w:t>
            </w:r>
            <w:r>
              <w:rPr>
                <w:rFonts w:asciiTheme="minorHAnsi" w:hAnsiTheme="minorHAnsi"/>
                <w:color w:val="000000"/>
                <w:sz w:val="22"/>
                <w:szCs w:val="22"/>
              </w:rPr>
              <w:t>11/</w:t>
            </w:r>
            <w:r w:rsidR="00724C03">
              <w:rPr>
                <w:rFonts w:asciiTheme="minorHAnsi" w:hAnsiTheme="minorHAnsi"/>
                <w:color w:val="000000"/>
                <w:sz w:val="22"/>
                <w:szCs w:val="22"/>
              </w:rPr>
              <w:t>8</w:t>
            </w:r>
            <w:r w:rsidR="00781EFF">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272E3656"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Prepare contact groups and identify overlaps</w:t>
            </w:r>
          </w:p>
        </w:tc>
      </w:tr>
      <w:tr w:rsidR="00781EFF" w14:paraId="37FF2CC4" w14:textId="77777777" w:rsidTr="005E62CB">
        <w:tc>
          <w:tcPr>
            <w:tcW w:w="2858" w:type="dxa"/>
            <w:hideMark/>
          </w:tcPr>
          <w:p w14:paraId="6FD1EF7B" w14:textId="182FB9A3"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w:t>
            </w:r>
            <w:r w:rsidR="00583926">
              <w:rPr>
                <w:rFonts w:asciiTheme="minorHAnsi" w:hAnsiTheme="minorHAnsi"/>
                <w:color w:val="000000"/>
                <w:sz w:val="22"/>
                <w:szCs w:val="22"/>
              </w:rPr>
              <w:t>1</w:t>
            </w:r>
            <w:r>
              <w:rPr>
                <w:rFonts w:asciiTheme="minorHAnsi" w:hAnsiTheme="minorHAnsi"/>
                <w:color w:val="000000"/>
                <w:sz w:val="22"/>
                <w:szCs w:val="22"/>
              </w:rPr>
              <w:t>/</w:t>
            </w:r>
            <w:r w:rsidR="00724C03">
              <w:rPr>
                <w:rFonts w:asciiTheme="minorHAnsi" w:hAnsiTheme="minorHAnsi"/>
                <w:color w:val="000000"/>
                <w:sz w:val="22"/>
                <w:szCs w:val="22"/>
              </w:rPr>
              <w:t>11</w:t>
            </w:r>
            <w:r>
              <w:rPr>
                <w:rFonts w:asciiTheme="minorHAnsi" w:hAnsiTheme="minorHAnsi"/>
                <w:color w:val="000000"/>
                <w:sz w:val="22"/>
                <w:szCs w:val="22"/>
              </w:rPr>
              <w:t>-</w:t>
            </w:r>
            <w:r w:rsidR="00724C03">
              <w:rPr>
                <w:rFonts w:asciiTheme="minorHAnsi" w:hAnsiTheme="minorHAnsi"/>
                <w:color w:val="000000"/>
                <w:sz w:val="22"/>
                <w:szCs w:val="22"/>
              </w:rPr>
              <w:t>15</w:t>
            </w:r>
            <w:r>
              <w:rPr>
                <w:rFonts w:asciiTheme="minorHAnsi" w:hAnsiTheme="minorHAnsi"/>
                <w:color w:val="000000"/>
                <w:sz w:val="22"/>
                <w:szCs w:val="22"/>
              </w:rPr>
              <w:t>/</w:t>
            </w:r>
            <w:r w:rsidR="00A23503">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63DD3320"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Merge groups, apply overlaps, code out, etc.</w:t>
            </w:r>
          </w:p>
        </w:tc>
      </w:tr>
      <w:tr w:rsidR="00781EFF" w14:paraId="102C52BD" w14:textId="77777777" w:rsidTr="005E62CB">
        <w:tc>
          <w:tcPr>
            <w:tcW w:w="2858" w:type="dxa"/>
            <w:hideMark/>
          </w:tcPr>
          <w:p w14:paraId="53652262" w14:textId="651A7F73" w:rsidR="00781EFF" w:rsidRPr="00201FD7" w:rsidRDefault="00781EFF" w:rsidP="00781EFF">
            <w:pPr>
              <w:rPr>
                <w:rFonts w:asciiTheme="minorHAnsi" w:hAnsiTheme="minorHAnsi"/>
                <w:color w:val="000000"/>
                <w:sz w:val="22"/>
                <w:szCs w:val="22"/>
              </w:rPr>
            </w:pPr>
            <w:r>
              <w:rPr>
                <w:rFonts w:asciiTheme="minorHAnsi" w:hAnsiTheme="minorHAnsi"/>
                <w:color w:val="000000"/>
                <w:sz w:val="22"/>
                <w:szCs w:val="22"/>
              </w:rPr>
              <w:t>11/</w:t>
            </w:r>
            <w:r w:rsidR="00724C03">
              <w:rPr>
                <w:rFonts w:asciiTheme="minorHAnsi" w:hAnsiTheme="minorHAnsi"/>
                <w:color w:val="000000"/>
                <w:sz w:val="22"/>
                <w:szCs w:val="22"/>
              </w:rPr>
              <w:t>18</w:t>
            </w:r>
            <w:r w:rsidR="007A275E">
              <w:rPr>
                <w:rFonts w:asciiTheme="minorHAnsi" w:hAnsiTheme="minorHAnsi"/>
                <w:color w:val="000000"/>
                <w:sz w:val="22"/>
                <w:szCs w:val="22"/>
              </w:rPr>
              <w:t>-</w:t>
            </w:r>
            <w:r w:rsidR="00724C03">
              <w:rPr>
                <w:rFonts w:asciiTheme="minorHAnsi" w:hAnsiTheme="minorHAnsi"/>
                <w:color w:val="000000"/>
                <w:sz w:val="22"/>
                <w:szCs w:val="22"/>
              </w:rPr>
              <w:t>20</w:t>
            </w:r>
            <w:r>
              <w:rPr>
                <w:rFonts w:asciiTheme="minorHAnsi" w:hAnsiTheme="minorHAnsi"/>
                <w:color w:val="000000"/>
                <w:sz w:val="22"/>
                <w:szCs w:val="22"/>
              </w:rPr>
              <w:t>/</w:t>
            </w:r>
            <w:r w:rsidR="00724C03">
              <w:rPr>
                <w:rFonts w:asciiTheme="minorHAnsi" w:hAnsiTheme="minorHAnsi"/>
                <w:color w:val="000000"/>
                <w:sz w:val="22"/>
                <w:szCs w:val="22"/>
              </w:rPr>
              <w:t>2024</w:t>
            </w:r>
          </w:p>
        </w:tc>
        <w:tc>
          <w:tcPr>
            <w:tcW w:w="5400" w:type="dxa"/>
            <w:hideMark/>
          </w:tcPr>
          <w:p w14:paraId="69E4F8DE" w14:textId="77777777" w:rsidR="00781EFF" w:rsidRPr="00201FD7" w:rsidRDefault="00781EFF" w:rsidP="00781EFF">
            <w:pPr>
              <w:rPr>
                <w:rFonts w:asciiTheme="minorHAnsi" w:hAnsiTheme="minorHAnsi"/>
                <w:color w:val="000000"/>
                <w:sz w:val="22"/>
                <w:szCs w:val="22"/>
              </w:rPr>
            </w:pPr>
            <w:r w:rsidRPr="00201FD7">
              <w:rPr>
                <w:rFonts w:asciiTheme="minorHAnsi" w:hAnsiTheme="minorHAnsi"/>
                <w:color w:val="000000"/>
                <w:sz w:val="22"/>
                <w:szCs w:val="22"/>
              </w:rPr>
              <w:t>Release Wave 4 for case assignments</w:t>
            </w:r>
          </w:p>
        </w:tc>
      </w:tr>
      <w:tr w:rsidR="00781EFF" w14:paraId="5205107C" w14:textId="77777777" w:rsidTr="00B2336F">
        <w:tc>
          <w:tcPr>
            <w:tcW w:w="2858" w:type="dxa"/>
            <w:shd w:val="clear" w:color="auto" w:fill="auto"/>
            <w:hideMark/>
          </w:tcPr>
          <w:p w14:paraId="0F6EDA54" w14:textId="4B10EDDC" w:rsidR="00781EFF" w:rsidRPr="000F712F" w:rsidRDefault="00781EFF" w:rsidP="00781EFF">
            <w:pPr>
              <w:rPr>
                <w:rFonts w:asciiTheme="minorHAnsi" w:hAnsiTheme="minorHAnsi"/>
                <w:sz w:val="22"/>
                <w:szCs w:val="22"/>
              </w:rPr>
            </w:pPr>
            <w:r w:rsidRPr="000F712F">
              <w:rPr>
                <w:rFonts w:asciiTheme="minorHAnsi" w:hAnsiTheme="minorHAnsi"/>
                <w:sz w:val="22"/>
                <w:szCs w:val="22"/>
              </w:rPr>
              <w:t>11/</w:t>
            </w:r>
            <w:r w:rsidR="00724C03">
              <w:rPr>
                <w:rFonts w:asciiTheme="minorHAnsi" w:hAnsiTheme="minorHAnsi"/>
                <w:sz w:val="22"/>
                <w:szCs w:val="22"/>
              </w:rPr>
              <w:t>20</w:t>
            </w:r>
            <w:r w:rsidRPr="000F712F">
              <w:rPr>
                <w:rFonts w:asciiTheme="minorHAnsi" w:hAnsiTheme="minorHAnsi"/>
                <w:sz w:val="22"/>
                <w:szCs w:val="22"/>
              </w:rPr>
              <w:t>/</w:t>
            </w:r>
            <w:r w:rsidR="00724C03" w:rsidRPr="000F712F">
              <w:rPr>
                <w:rFonts w:asciiTheme="minorHAnsi" w:hAnsiTheme="minorHAnsi"/>
                <w:sz w:val="22"/>
                <w:szCs w:val="22"/>
              </w:rPr>
              <w:t>202</w:t>
            </w:r>
            <w:r w:rsidR="00724C03">
              <w:rPr>
                <w:rFonts w:asciiTheme="minorHAnsi" w:hAnsiTheme="minorHAnsi"/>
                <w:sz w:val="22"/>
                <w:szCs w:val="22"/>
              </w:rPr>
              <w:t>4</w:t>
            </w:r>
          </w:p>
        </w:tc>
        <w:tc>
          <w:tcPr>
            <w:tcW w:w="5400" w:type="dxa"/>
            <w:shd w:val="clear" w:color="auto" w:fill="auto"/>
            <w:hideMark/>
          </w:tcPr>
          <w:p w14:paraId="2ABA8ECD" w14:textId="77777777" w:rsidR="00781EFF" w:rsidRPr="000F712F" w:rsidRDefault="00781EFF" w:rsidP="00781EFF">
            <w:pPr>
              <w:rPr>
                <w:rFonts w:asciiTheme="minorHAnsi" w:hAnsiTheme="minorHAnsi"/>
                <w:sz w:val="22"/>
                <w:szCs w:val="22"/>
              </w:rPr>
            </w:pPr>
            <w:r w:rsidRPr="000F712F">
              <w:rPr>
                <w:rFonts w:asciiTheme="minorHAnsi" w:hAnsiTheme="minorHAnsi"/>
                <w:sz w:val="22"/>
                <w:szCs w:val="22"/>
              </w:rPr>
              <w:t>Begin Wave 4 data collection</w:t>
            </w:r>
          </w:p>
        </w:tc>
      </w:tr>
      <w:tr w:rsidR="00781EFF" w14:paraId="2CDE46F1" w14:textId="77777777" w:rsidTr="005E62CB">
        <w:tc>
          <w:tcPr>
            <w:tcW w:w="2858" w:type="dxa"/>
            <w:hideMark/>
          </w:tcPr>
          <w:p w14:paraId="1FF6E0AC" w14:textId="50E15044"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11/</w:t>
            </w:r>
            <w:r w:rsidR="00724C03">
              <w:rPr>
                <w:rFonts w:asciiTheme="minorHAnsi" w:hAnsiTheme="minorHAnsi"/>
                <w:color w:val="000000"/>
                <w:sz w:val="22"/>
                <w:szCs w:val="22"/>
              </w:rPr>
              <w:t>19</w:t>
            </w:r>
            <w:r w:rsidRPr="000F712F">
              <w:rPr>
                <w:rFonts w:asciiTheme="minorHAnsi" w:hAnsiTheme="minorHAnsi"/>
                <w:color w:val="000000"/>
                <w:sz w:val="22"/>
                <w:szCs w:val="22"/>
              </w:rPr>
              <w:t>-</w:t>
            </w:r>
            <w:r w:rsidR="00724C03">
              <w:rPr>
                <w:rFonts w:asciiTheme="minorHAnsi" w:hAnsiTheme="minorHAnsi"/>
                <w:color w:val="000000"/>
                <w:sz w:val="22"/>
                <w:szCs w:val="22"/>
              </w:rPr>
              <w:t>25</w:t>
            </w:r>
            <w:r w:rsidRPr="000F712F">
              <w:rPr>
                <w:rFonts w:asciiTheme="minorHAnsi" w:hAnsiTheme="minorHAnsi"/>
                <w:color w:val="000000"/>
                <w:sz w:val="22"/>
                <w:szCs w:val="22"/>
              </w:rPr>
              <w:t>/</w:t>
            </w:r>
            <w:r w:rsidR="00724C03" w:rsidRPr="000F712F">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5D15EAD1" w14:textId="77777777"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Review overlap spreadsheet and key results</w:t>
            </w:r>
          </w:p>
        </w:tc>
      </w:tr>
      <w:tr w:rsidR="00781EFF" w14:paraId="06FA8490" w14:textId="77777777" w:rsidTr="005E62CB">
        <w:tc>
          <w:tcPr>
            <w:tcW w:w="2858" w:type="dxa"/>
            <w:hideMark/>
          </w:tcPr>
          <w:p w14:paraId="66545E6B" w14:textId="670B1722"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11/</w:t>
            </w:r>
            <w:r w:rsidR="00724C03">
              <w:rPr>
                <w:rFonts w:asciiTheme="minorHAnsi" w:hAnsiTheme="minorHAnsi"/>
                <w:color w:val="000000"/>
                <w:sz w:val="22"/>
                <w:szCs w:val="22"/>
              </w:rPr>
              <w:t>27</w:t>
            </w:r>
            <w:r w:rsidRPr="000F712F">
              <w:rPr>
                <w:rFonts w:asciiTheme="minorHAnsi" w:hAnsiTheme="minorHAnsi"/>
                <w:color w:val="000000"/>
                <w:sz w:val="22"/>
                <w:szCs w:val="22"/>
              </w:rPr>
              <w:t>/</w:t>
            </w:r>
            <w:r w:rsidR="00A23503" w:rsidRPr="000F712F">
              <w:rPr>
                <w:rFonts w:asciiTheme="minorHAnsi" w:hAnsiTheme="minorHAnsi"/>
                <w:color w:val="000000"/>
                <w:sz w:val="22"/>
                <w:szCs w:val="22"/>
              </w:rPr>
              <w:t>202</w:t>
            </w:r>
            <w:r w:rsidR="00724C03">
              <w:rPr>
                <w:rFonts w:asciiTheme="minorHAnsi" w:hAnsiTheme="minorHAnsi"/>
                <w:color w:val="000000"/>
                <w:sz w:val="22"/>
                <w:szCs w:val="22"/>
              </w:rPr>
              <w:t>4</w:t>
            </w:r>
          </w:p>
        </w:tc>
        <w:tc>
          <w:tcPr>
            <w:tcW w:w="5400" w:type="dxa"/>
            <w:hideMark/>
          </w:tcPr>
          <w:p w14:paraId="4DB72B07" w14:textId="77777777"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Update CMS based on review of spreadsheet</w:t>
            </w:r>
          </w:p>
        </w:tc>
      </w:tr>
      <w:tr w:rsidR="00781EFF" w14:paraId="14C4F449" w14:textId="77777777" w:rsidTr="005E62CB">
        <w:tc>
          <w:tcPr>
            <w:tcW w:w="2858" w:type="dxa"/>
            <w:hideMark/>
          </w:tcPr>
          <w:p w14:paraId="53BC33B2" w14:textId="23B45359" w:rsidR="00781EFF" w:rsidRPr="000F712F" w:rsidRDefault="00724C03" w:rsidP="00781EFF">
            <w:pPr>
              <w:rPr>
                <w:rFonts w:asciiTheme="minorHAnsi" w:hAnsiTheme="minorHAnsi"/>
                <w:color w:val="000000"/>
                <w:sz w:val="22"/>
                <w:szCs w:val="22"/>
              </w:rPr>
            </w:pPr>
            <w:r>
              <w:rPr>
                <w:rFonts w:asciiTheme="minorHAnsi" w:hAnsiTheme="minorHAnsi"/>
                <w:color w:val="000000"/>
                <w:sz w:val="22"/>
                <w:szCs w:val="22"/>
              </w:rPr>
              <w:t>12</w:t>
            </w:r>
            <w:r w:rsidR="00781EFF" w:rsidRPr="000F712F">
              <w:rPr>
                <w:rFonts w:asciiTheme="minorHAnsi" w:hAnsiTheme="minorHAnsi"/>
                <w:color w:val="000000"/>
                <w:sz w:val="22"/>
                <w:szCs w:val="22"/>
              </w:rPr>
              <w:t>/</w:t>
            </w:r>
            <w:r>
              <w:rPr>
                <w:rFonts w:asciiTheme="minorHAnsi" w:hAnsiTheme="minorHAnsi"/>
                <w:color w:val="000000"/>
                <w:sz w:val="22"/>
                <w:szCs w:val="22"/>
              </w:rPr>
              <w:t>2</w:t>
            </w:r>
            <w:r w:rsidR="00781EFF" w:rsidRPr="000F712F">
              <w:rPr>
                <w:rFonts w:asciiTheme="minorHAnsi" w:hAnsiTheme="minorHAnsi"/>
                <w:color w:val="000000"/>
                <w:sz w:val="22"/>
                <w:szCs w:val="22"/>
              </w:rPr>
              <w:t>/</w:t>
            </w:r>
            <w:r w:rsidRPr="000F712F">
              <w:rPr>
                <w:rFonts w:asciiTheme="minorHAnsi" w:hAnsiTheme="minorHAnsi"/>
                <w:color w:val="000000"/>
                <w:sz w:val="22"/>
                <w:szCs w:val="22"/>
              </w:rPr>
              <w:t>202</w:t>
            </w:r>
            <w:r>
              <w:rPr>
                <w:rFonts w:asciiTheme="minorHAnsi" w:hAnsiTheme="minorHAnsi"/>
                <w:color w:val="000000"/>
                <w:sz w:val="22"/>
                <w:szCs w:val="22"/>
              </w:rPr>
              <w:t>4</w:t>
            </w:r>
          </w:p>
        </w:tc>
        <w:tc>
          <w:tcPr>
            <w:tcW w:w="5400" w:type="dxa"/>
            <w:hideMark/>
          </w:tcPr>
          <w:p w14:paraId="76181405" w14:textId="77777777"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Begin assigning cases with remaining (non-overlapping) nodes for DCS to collect data, as needed</w:t>
            </w:r>
          </w:p>
        </w:tc>
      </w:tr>
      <w:tr w:rsidR="00781EFF" w14:paraId="6EF5D701" w14:textId="77777777" w:rsidTr="005E62CB">
        <w:tc>
          <w:tcPr>
            <w:tcW w:w="2858" w:type="dxa"/>
            <w:hideMark/>
          </w:tcPr>
          <w:p w14:paraId="62DC60B8" w14:textId="6A122D01"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1/</w:t>
            </w:r>
            <w:r w:rsidR="00C04A0D">
              <w:rPr>
                <w:rFonts w:asciiTheme="minorHAnsi" w:hAnsiTheme="minorHAnsi"/>
                <w:color w:val="000000"/>
                <w:sz w:val="22"/>
                <w:szCs w:val="22"/>
              </w:rPr>
              <w:t>10</w:t>
            </w:r>
            <w:r w:rsidRPr="000F712F">
              <w:rPr>
                <w:rFonts w:asciiTheme="minorHAnsi" w:hAnsiTheme="minorHAnsi"/>
                <w:color w:val="000000"/>
                <w:sz w:val="22"/>
                <w:szCs w:val="22"/>
              </w:rPr>
              <w:t>/</w:t>
            </w:r>
            <w:r w:rsidR="00724C03" w:rsidRPr="000F712F">
              <w:rPr>
                <w:rFonts w:asciiTheme="minorHAnsi" w:hAnsiTheme="minorHAnsi"/>
                <w:color w:val="000000"/>
                <w:sz w:val="22"/>
                <w:szCs w:val="22"/>
              </w:rPr>
              <w:t>202</w:t>
            </w:r>
            <w:r w:rsidR="00724C03">
              <w:rPr>
                <w:rFonts w:asciiTheme="minorHAnsi" w:hAnsiTheme="minorHAnsi"/>
                <w:color w:val="000000"/>
                <w:sz w:val="22"/>
                <w:szCs w:val="22"/>
              </w:rPr>
              <w:t>5</w:t>
            </w:r>
          </w:p>
        </w:tc>
        <w:tc>
          <w:tcPr>
            <w:tcW w:w="5400" w:type="dxa"/>
            <w:hideMark/>
          </w:tcPr>
          <w:p w14:paraId="3B7768A2" w14:textId="77777777" w:rsidR="00781EFF" w:rsidRPr="000F712F" w:rsidRDefault="00781EFF" w:rsidP="00781EFF">
            <w:pPr>
              <w:rPr>
                <w:rFonts w:asciiTheme="minorHAnsi" w:hAnsiTheme="minorHAnsi"/>
                <w:color w:val="000000"/>
                <w:sz w:val="22"/>
                <w:szCs w:val="22"/>
              </w:rPr>
            </w:pPr>
            <w:r w:rsidRPr="000F712F">
              <w:rPr>
                <w:rFonts w:asciiTheme="minorHAnsi" w:hAnsiTheme="minorHAnsi"/>
                <w:color w:val="000000"/>
                <w:sz w:val="22"/>
                <w:szCs w:val="22"/>
              </w:rPr>
              <w:t>End SBD data collection</w:t>
            </w:r>
          </w:p>
        </w:tc>
      </w:tr>
      <w:tr w:rsidR="00AB5D93" w14:paraId="374FED91" w14:textId="77777777" w:rsidTr="005E62CB">
        <w:tc>
          <w:tcPr>
            <w:tcW w:w="2858" w:type="dxa"/>
          </w:tcPr>
          <w:p w14:paraId="7DB5C690" w14:textId="6BA51A5E" w:rsidR="00AB5D93" w:rsidRPr="000F712F" w:rsidRDefault="00AB5D93" w:rsidP="00AB5D93">
            <w:pPr>
              <w:rPr>
                <w:rFonts w:asciiTheme="minorHAnsi" w:hAnsiTheme="minorHAnsi"/>
                <w:color w:val="000000"/>
                <w:sz w:val="22"/>
                <w:szCs w:val="22"/>
              </w:rPr>
            </w:pPr>
            <w:bookmarkStart w:id="34" w:name="_Hlk157171680"/>
            <w:r w:rsidRPr="000F712F">
              <w:rPr>
                <w:rFonts w:asciiTheme="minorHAnsi" w:hAnsiTheme="minorHAnsi"/>
                <w:sz w:val="22"/>
                <w:szCs w:val="22"/>
              </w:rPr>
              <w:lastRenderedPageBreak/>
              <w:t>1/</w:t>
            </w:r>
            <w:r>
              <w:rPr>
                <w:rFonts w:asciiTheme="minorHAnsi" w:hAnsiTheme="minorHAnsi"/>
                <w:sz w:val="22"/>
                <w:szCs w:val="22"/>
              </w:rPr>
              <w:t>13</w:t>
            </w:r>
            <w:r w:rsidRPr="000F712F">
              <w:rPr>
                <w:rFonts w:asciiTheme="minorHAnsi" w:hAnsiTheme="minorHAnsi"/>
                <w:sz w:val="22"/>
                <w:szCs w:val="22"/>
              </w:rPr>
              <w:t>/202</w:t>
            </w:r>
            <w:r>
              <w:rPr>
                <w:rFonts w:asciiTheme="minorHAnsi" w:hAnsiTheme="minorHAnsi"/>
                <w:sz w:val="22"/>
                <w:szCs w:val="22"/>
              </w:rPr>
              <w:t>5</w:t>
            </w:r>
          </w:p>
        </w:tc>
        <w:tc>
          <w:tcPr>
            <w:tcW w:w="5400" w:type="dxa"/>
          </w:tcPr>
          <w:p w14:paraId="418F7388" w14:textId="316A8310" w:rsidR="00AB5D93" w:rsidRPr="008E570D" w:rsidRDefault="00AB5D93" w:rsidP="008E570D">
            <w:pPr>
              <w:widowControl/>
              <w:rPr>
                <w:rFonts w:cs="Arial"/>
                <w:sz w:val="20"/>
              </w:rPr>
            </w:pPr>
            <w:r w:rsidRPr="000F712F">
              <w:rPr>
                <w:rFonts w:asciiTheme="minorHAnsi" w:hAnsiTheme="minorHAnsi"/>
                <w:color w:val="000000"/>
                <w:sz w:val="22"/>
                <w:szCs w:val="22"/>
              </w:rPr>
              <w:t xml:space="preserve">Submit to </w:t>
            </w:r>
            <w:r>
              <w:rPr>
                <w:rFonts w:asciiTheme="minorHAnsi" w:hAnsiTheme="minorHAnsi"/>
                <w:color w:val="000000"/>
                <w:sz w:val="22"/>
                <w:szCs w:val="22"/>
              </w:rPr>
              <w:t xml:space="preserve">HC Contractor </w:t>
            </w:r>
            <w:r w:rsidRPr="000F712F">
              <w:rPr>
                <w:rFonts w:asciiTheme="minorHAnsi" w:hAnsiTheme="minorHAnsi"/>
                <w:color w:val="000000"/>
                <w:sz w:val="22"/>
                <w:szCs w:val="22"/>
              </w:rPr>
              <w:t xml:space="preserve">matched and rolled up data test </w:t>
            </w:r>
            <w:r w:rsidRPr="008E570D">
              <w:rPr>
                <w:rFonts w:asciiTheme="minorHAnsi" w:hAnsiTheme="minorHAnsi" w:cstheme="minorHAnsi"/>
                <w:color w:val="000000"/>
                <w:sz w:val="22"/>
                <w:szCs w:val="22"/>
              </w:rPr>
              <w:t>files for SBD and disavowal file</w:t>
            </w:r>
            <w:r w:rsidR="008E570D" w:rsidRPr="008E570D">
              <w:rPr>
                <w:rFonts w:asciiTheme="minorHAnsi" w:hAnsiTheme="minorHAnsi" w:cstheme="minorHAnsi"/>
                <w:color w:val="000000"/>
                <w:sz w:val="22"/>
                <w:szCs w:val="22"/>
              </w:rPr>
              <w:t xml:space="preserve"> </w:t>
            </w:r>
          </w:p>
        </w:tc>
      </w:tr>
      <w:bookmarkEnd w:id="34"/>
      <w:tr w:rsidR="00AB5D93" w14:paraId="2A53DEF3" w14:textId="77777777" w:rsidTr="005E62CB">
        <w:tc>
          <w:tcPr>
            <w:tcW w:w="2858" w:type="dxa"/>
            <w:hideMark/>
          </w:tcPr>
          <w:p w14:paraId="68463E7E" w14:textId="26319033"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1/</w:t>
            </w:r>
            <w:r>
              <w:rPr>
                <w:rFonts w:asciiTheme="minorHAnsi" w:hAnsiTheme="minorHAnsi"/>
                <w:color w:val="000000"/>
                <w:sz w:val="22"/>
                <w:szCs w:val="22"/>
              </w:rPr>
              <w:t>14</w:t>
            </w:r>
            <w:r w:rsidRPr="000F712F">
              <w:rPr>
                <w:rFonts w:asciiTheme="minorHAnsi" w:hAnsiTheme="minorHAnsi"/>
                <w:color w:val="000000"/>
                <w:sz w:val="22"/>
                <w:szCs w:val="22"/>
              </w:rPr>
              <w:t>/202</w:t>
            </w:r>
            <w:r>
              <w:rPr>
                <w:rFonts w:asciiTheme="minorHAnsi" w:hAnsiTheme="minorHAnsi"/>
                <w:color w:val="000000"/>
                <w:sz w:val="22"/>
                <w:szCs w:val="22"/>
              </w:rPr>
              <w:t>5</w:t>
            </w:r>
          </w:p>
        </w:tc>
        <w:tc>
          <w:tcPr>
            <w:tcW w:w="5400" w:type="dxa"/>
            <w:hideMark/>
          </w:tcPr>
          <w:p w14:paraId="69D84ECC" w14:textId="77777777"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 xml:space="preserve">End SBD </w:t>
            </w:r>
            <w:proofErr w:type="spellStart"/>
            <w:r w:rsidRPr="000F712F">
              <w:rPr>
                <w:rFonts w:asciiTheme="minorHAnsi" w:hAnsiTheme="minorHAnsi"/>
                <w:color w:val="000000"/>
                <w:sz w:val="22"/>
                <w:szCs w:val="22"/>
              </w:rPr>
              <w:t>reabstraction</w:t>
            </w:r>
            <w:proofErr w:type="spellEnd"/>
            <w:r w:rsidRPr="000F712F">
              <w:rPr>
                <w:rFonts w:asciiTheme="minorHAnsi" w:hAnsiTheme="minorHAnsi"/>
                <w:color w:val="000000"/>
                <w:sz w:val="22"/>
                <w:szCs w:val="22"/>
              </w:rPr>
              <w:t xml:space="preserve"> of randomly selected events</w:t>
            </w:r>
          </w:p>
        </w:tc>
      </w:tr>
      <w:tr w:rsidR="00AB5D93" w14:paraId="54FC1BD1" w14:textId="77777777" w:rsidTr="005E62CB">
        <w:tc>
          <w:tcPr>
            <w:tcW w:w="2858" w:type="dxa"/>
            <w:hideMark/>
          </w:tcPr>
          <w:p w14:paraId="6E9CC6E6" w14:textId="7C4D6DED"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1/</w:t>
            </w:r>
            <w:r>
              <w:rPr>
                <w:rFonts w:asciiTheme="minorHAnsi" w:hAnsiTheme="minorHAnsi"/>
                <w:color w:val="000000"/>
                <w:sz w:val="22"/>
                <w:szCs w:val="22"/>
              </w:rPr>
              <w:t>14</w:t>
            </w:r>
            <w:r w:rsidRPr="000F712F">
              <w:rPr>
                <w:rFonts w:asciiTheme="minorHAnsi" w:hAnsiTheme="minorHAnsi"/>
                <w:color w:val="000000"/>
                <w:sz w:val="22"/>
                <w:szCs w:val="22"/>
              </w:rPr>
              <w:t>/202</w:t>
            </w:r>
            <w:r>
              <w:rPr>
                <w:rFonts w:asciiTheme="minorHAnsi" w:hAnsiTheme="minorHAnsi"/>
                <w:color w:val="000000"/>
                <w:sz w:val="22"/>
                <w:szCs w:val="22"/>
              </w:rPr>
              <w:t>5</w:t>
            </w:r>
          </w:p>
        </w:tc>
        <w:tc>
          <w:tcPr>
            <w:tcW w:w="5400" w:type="dxa"/>
            <w:hideMark/>
          </w:tcPr>
          <w:p w14:paraId="0F874F5B" w14:textId="77777777"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 xml:space="preserve">End SBD </w:t>
            </w:r>
            <w:proofErr w:type="spellStart"/>
            <w:r w:rsidRPr="000F712F">
              <w:rPr>
                <w:rFonts w:asciiTheme="minorHAnsi" w:hAnsiTheme="minorHAnsi"/>
                <w:color w:val="000000"/>
                <w:sz w:val="22"/>
                <w:szCs w:val="22"/>
              </w:rPr>
              <w:t>reabstraction</w:t>
            </w:r>
            <w:proofErr w:type="spellEnd"/>
            <w:r w:rsidRPr="000F712F">
              <w:rPr>
                <w:rFonts w:asciiTheme="minorHAnsi" w:hAnsiTheme="minorHAnsi"/>
                <w:color w:val="000000"/>
                <w:sz w:val="22"/>
                <w:szCs w:val="22"/>
              </w:rPr>
              <w:t xml:space="preserve"> of batches over 2%</w:t>
            </w:r>
          </w:p>
        </w:tc>
      </w:tr>
      <w:tr w:rsidR="00AB5D93" w14:paraId="5333E4C0" w14:textId="77777777" w:rsidTr="005E62CB">
        <w:tc>
          <w:tcPr>
            <w:tcW w:w="2858" w:type="dxa"/>
            <w:hideMark/>
          </w:tcPr>
          <w:p w14:paraId="66C3FEE2" w14:textId="44492815"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1/</w:t>
            </w:r>
            <w:r>
              <w:rPr>
                <w:rFonts w:asciiTheme="minorHAnsi" w:hAnsiTheme="minorHAnsi"/>
                <w:color w:val="000000"/>
                <w:sz w:val="22"/>
                <w:szCs w:val="22"/>
              </w:rPr>
              <w:t>14</w:t>
            </w:r>
            <w:r w:rsidRPr="000F712F">
              <w:rPr>
                <w:rFonts w:asciiTheme="minorHAnsi" w:hAnsiTheme="minorHAnsi"/>
                <w:color w:val="000000"/>
                <w:sz w:val="22"/>
                <w:szCs w:val="22"/>
              </w:rPr>
              <w:t>/202</w:t>
            </w:r>
            <w:r>
              <w:rPr>
                <w:rFonts w:asciiTheme="minorHAnsi" w:hAnsiTheme="minorHAnsi"/>
                <w:color w:val="000000"/>
                <w:sz w:val="22"/>
                <w:szCs w:val="22"/>
              </w:rPr>
              <w:t>5</w:t>
            </w:r>
          </w:p>
        </w:tc>
        <w:tc>
          <w:tcPr>
            <w:tcW w:w="5400" w:type="dxa"/>
            <w:hideMark/>
          </w:tcPr>
          <w:p w14:paraId="08161BC4" w14:textId="77777777"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End SBD Edit Shop and Managerial Review</w:t>
            </w:r>
          </w:p>
        </w:tc>
      </w:tr>
      <w:tr w:rsidR="00AB5D93" w14:paraId="30236C50" w14:textId="77777777" w:rsidTr="005E62CB">
        <w:tc>
          <w:tcPr>
            <w:tcW w:w="2858" w:type="dxa"/>
            <w:hideMark/>
          </w:tcPr>
          <w:p w14:paraId="08DB7C96" w14:textId="478A3AB9"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1/</w:t>
            </w:r>
            <w:r>
              <w:rPr>
                <w:rFonts w:asciiTheme="minorHAnsi" w:hAnsiTheme="minorHAnsi"/>
                <w:color w:val="000000"/>
                <w:sz w:val="22"/>
                <w:szCs w:val="22"/>
              </w:rPr>
              <w:t>16</w:t>
            </w:r>
            <w:r w:rsidRPr="000F712F">
              <w:rPr>
                <w:rFonts w:asciiTheme="minorHAnsi" w:hAnsiTheme="minorHAnsi"/>
                <w:color w:val="000000"/>
                <w:sz w:val="22"/>
                <w:szCs w:val="22"/>
              </w:rPr>
              <w:t>/202</w:t>
            </w:r>
            <w:r>
              <w:rPr>
                <w:rFonts w:asciiTheme="minorHAnsi" w:hAnsiTheme="minorHAnsi"/>
                <w:color w:val="000000"/>
                <w:sz w:val="22"/>
                <w:szCs w:val="22"/>
              </w:rPr>
              <w:t>5</w:t>
            </w:r>
          </w:p>
        </w:tc>
        <w:tc>
          <w:tcPr>
            <w:tcW w:w="5400" w:type="dxa"/>
            <w:hideMark/>
          </w:tcPr>
          <w:p w14:paraId="67472A02" w14:textId="77777777" w:rsidR="00AB5D93" w:rsidRPr="000F712F" w:rsidRDefault="00AB5D93" w:rsidP="00AB5D93">
            <w:pPr>
              <w:rPr>
                <w:rFonts w:asciiTheme="minorHAnsi" w:hAnsiTheme="minorHAnsi"/>
                <w:color w:val="000000"/>
                <w:sz w:val="22"/>
                <w:szCs w:val="22"/>
              </w:rPr>
            </w:pPr>
            <w:r w:rsidRPr="000F712F">
              <w:rPr>
                <w:rFonts w:asciiTheme="minorHAnsi" w:hAnsiTheme="minorHAnsi"/>
                <w:color w:val="000000"/>
                <w:sz w:val="22"/>
                <w:szCs w:val="22"/>
              </w:rPr>
              <w:t>End coding</w:t>
            </w:r>
          </w:p>
        </w:tc>
      </w:tr>
      <w:tr w:rsidR="00AB5D93" w14:paraId="0C3716DE" w14:textId="77777777" w:rsidTr="005E62CB">
        <w:tc>
          <w:tcPr>
            <w:tcW w:w="2858" w:type="dxa"/>
          </w:tcPr>
          <w:p w14:paraId="0CD6201F" w14:textId="1CFBA62C" w:rsidR="00AB5D93" w:rsidRPr="000F712F" w:rsidRDefault="00AB5D93" w:rsidP="00AB5D93">
            <w:pPr>
              <w:rPr>
                <w:rFonts w:asciiTheme="minorHAnsi" w:hAnsiTheme="minorHAnsi"/>
                <w:sz w:val="22"/>
                <w:szCs w:val="22"/>
              </w:rPr>
            </w:pPr>
            <w:bookmarkStart w:id="35" w:name="_Hlk157171705"/>
            <w:r>
              <w:rPr>
                <w:rFonts w:asciiTheme="minorHAnsi" w:hAnsiTheme="minorHAnsi"/>
                <w:sz w:val="22"/>
                <w:szCs w:val="22"/>
              </w:rPr>
              <w:t xml:space="preserve">1/24/2025 </w:t>
            </w:r>
          </w:p>
        </w:tc>
        <w:tc>
          <w:tcPr>
            <w:tcW w:w="5400" w:type="dxa"/>
          </w:tcPr>
          <w:p w14:paraId="0D9AF1B3" w14:textId="5F395826" w:rsidR="00AB5D93" w:rsidRPr="008E570D" w:rsidRDefault="00AB5D93" w:rsidP="008E570D">
            <w:pPr>
              <w:widowControl/>
              <w:rPr>
                <w:rFonts w:cs="Arial"/>
                <w:sz w:val="20"/>
              </w:rPr>
            </w:pPr>
            <w:r>
              <w:rPr>
                <w:rFonts w:asciiTheme="minorHAnsi" w:hAnsiTheme="minorHAnsi"/>
                <w:sz w:val="22"/>
                <w:szCs w:val="22"/>
              </w:rPr>
              <w:t>Submit to HC contractor MPC raw data production files and Linked IDs from MPC production files</w:t>
            </w:r>
            <w:r w:rsidR="008E570D" w:rsidRPr="008E570D">
              <w:rPr>
                <w:rFonts w:asciiTheme="minorHAnsi" w:hAnsiTheme="minorHAnsi" w:cstheme="minorHAnsi"/>
                <w:sz w:val="22"/>
                <w:szCs w:val="22"/>
              </w:rPr>
              <w:t xml:space="preserve"> </w:t>
            </w:r>
          </w:p>
        </w:tc>
      </w:tr>
      <w:tr w:rsidR="00AB5D93" w14:paraId="03BDACB0" w14:textId="77777777" w:rsidTr="005E62CB">
        <w:tc>
          <w:tcPr>
            <w:tcW w:w="2858" w:type="dxa"/>
          </w:tcPr>
          <w:p w14:paraId="2A79C52A" w14:textId="365733A8" w:rsidR="00AB5D93" w:rsidRPr="000F712F" w:rsidRDefault="00AB5D93" w:rsidP="00AB5D93">
            <w:pPr>
              <w:rPr>
                <w:rFonts w:asciiTheme="minorHAnsi" w:hAnsiTheme="minorHAnsi"/>
                <w:sz w:val="22"/>
                <w:szCs w:val="22"/>
              </w:rPr>
            </w:pPr>
            <w:r w:rsidRPr="000F712F">
              <w:rPr>
                <w:rFonts w:asciiTheme="minorHAnsi" w:hAnsiTheme="minorHAnsi"/>
                <w:sz w:val="22"/>
                <w:szCs w:val="22"/>
              </w:rPr>
              <w:t>1/</w:t>
            </w:r>
            <w:r>
              <w:rPr>
                <w:rFonts w:asciiTheme="minorHAnsi" w:hAnsiTheme="minorHAnsi"/>
                <w:sz w:val="22"/>
                <w:szCs w:val="22"/>
              </w:rPr>
              <w:t>27</w:t>
            </w:r>
            <w:r w:rsidRPr="000F712F">
              <w:rPr>
                <w:rFonts w:asciiTheme="minorHAnsi" w:hAnsiTheme="minorHAnsi"/>
                <w:sz w:val="22"/>
                <w:szCs w:val="22"/>
              </w:rPr>
              <w:t>/202</w:t>
            </w:r>
            <w:r>
              <w:rPr>
                <w:rFonts w:asciiTheme="minorHAnsi" w:hAnsiTheme="minorHAnsi"/>
                <w:sz w:val="22"/>
                <w:szCs w:val="22"/>
              </w:rPr>
              <w:t>5</w:t>
            </w:r>
          </w:p>
        </w:tc>
        <w:tc>
          <w:tcPr>
            <w:tcW w:w="5400" w:type="dxa"/>
          </w:tcPr>
          <w:p w14:paraId="1C8DB74C" w14:textId="35F79687" w:rsidR="00AB5D93" w:rsidRPr="008E570D" w:rsidRDefault="00AB5D93" w:rsidP="008E570D">
            <w:pPr>
              <w:widowControl/>
              <w:rPr>
                <w:rFonts w:cs="Arial"/>
                <w:sz w:val="20"/>
              </w:rPr>
            </w:pPr>
            <w:r w:rsidRPr="000F712F">
              <w:rPr>
                <w:rFonts w:asciiTheme="minorHAnsi" w:hAnsiTheme="minorHAnsi"/>
                <w:sz w:val="22"/>
                <w:szCs w:val="22"/>
              </w:rPr>
              <w:t xml:space="preserve">Receive comments from </w:t>
            </w:r>
            <w:r>
              <w:rPr>
                <w:rFonts w:asciiTheme="minorHAnsi" w:hAnsiTheme="minorHAnsi"/>
                <w:sz w:val="22"/>
                <w:szCs w:val="22"/>
              </w:rPr>
              <w:t>HC Contractor</w:t>
            </w:r>
            <w:r w:rsidRPr="000F712F">
              <w:rPr>
                <w:rFonts w:asciiTheme="minorHAnsi" w:hAnsiTheme="minorHAnsi"/>
                <w:sz w:val="22"/>
                <w:szCs w:val="22"/>
              </w:rPr>
              <w:t xml:space="preserve"> on SBD test files</w:t>
            </w:r>
            <w:r w:rsidR="008E570D">
              <w:rPr>
                <w:rFonts w:asciiTheme="minorHAnsi" w:hAnsiTheme="minorHAnsi"/>
                <w:sz w:val="22"/>
                <w:szCs w:val="22"/>
              </w:rPr>
              <w:t xml:space="preserve"> </w:t>
            </w:r>
          </w:p>
        </w:tc>
      </w:tr>
      <w:tr w:rsidR="00AB5D93" w14:paraId="0DA09622" w14:textId="77777777" w:rsidTr="005E62CB">
        <w:tc>
          <w:tcPr>
            <w:tcW w:w="2858" w:type="dxa"/>
            <w:hideMark/>
          </w:tcPr>
          <w:p w14:paraId="6A591486" w14:textId="7BF328BB" w:rsidR="00AB5D93" w:rsidRPr="000F712F" w:rsidRDefault="00AB5D93" w:rsidP="00AB5D93">
            <w:pPr>
              <w:rPr>
                <w:rFonts w:asciiTheme="minorHAnsi" w:hAnsiTheme="minorHAnsi"/>
                <w:sz w:val="22"/>
                <w:szCs w:val="22"/>
              </w:rPr>
            </w:pPr>
            <w:r w:rsidRPr="000F712F">
              <w:rPr>
                <w:rFonts w:asciiTheme="minorHAnsi" w:hAnsiTheme="minorHAnsi"/>
                <w:sz w:val="22"/>
                <w:szCs w:val="22"/>
              </w:rPr>
              <w:t>1/</w:t>
            </w:r>
            <w:r w:rsidR="00C47754">
              <w:rPr>
                <w:rFonts w:asciiTheme="minorHAnsi" w:hAnsiTheme="minorHAnsi"/>
                <w:sz w:val="22"/>
                <w:szCs w:val="22"/>
              </w:rPr>
              <w:t>31</w:t>
            </w:r>
            <w:r w:rsidRPr="000F712F">
              <w:rPr>
                <w:rFonts w:asciiTheme="minorHAnsi" w:hAnsiTheme="minorHAnsi"/>
                <w:sz w:val="22"/>
                <w:szCs w:val="22"/>
              </w:rPr>
              <w:t>/202</w:t>
            </w:r>
            <w:r>
              <w:rPr>
                <w:rFonts w:asciiTheme="minorHAnsi" w:hAnsiTheme="minorHAnsi"/>
                <w:sz w:val="22"/>
                <w:szCs w:val="22"/>
              </w:rPr>
              <w:t>5</w:t>
            </w:r>
          </w:p>
        </w:tc>
        <w:tc>
          <w:tcPr>
            <w:tcW w:w="5400" w:type="dxa"/>
            <w:hideMark/>
          </w:tcPr>
          <w:p w14:paraId="76755090" w14:textId="2A4726F2" w:rsidR="00AB5D93" w:rsidRPr="000F712F" w:rsidRDefault="00AB5D93" w:rsidP="00AB5D93">
            <w:pPr>
              <w:rPr>
                <w:rFonts w:asciiTheme="minorHAnsi" w:hAnsiTheme="minorHAnsi"/>
                <w:sz w:val="22"/>
                <w:szCs w:val="22"/>
              </w:rPr>
            </w:pPr>
            <w:r w:rsidRPr="000F712F">
              <w:rPr>
                <w:rFonts w:asciiTheme="minorHAnsi" w:hAnsiTheme="minorHAnsi"/>
                <w:sz w:val="22"/>
                <w:szCs w:val="22"/>
              </w:rPr>
              <w:t>Submit raw SBD file to AHRQ</w:t>
            </w:r>
          </w:p>
        </w:tc>
      </w:tr>
      <w:tr w:rsidR="00AB5D93" w14:paraId="58ADD523" w14:textId="77777777" w:rsidTr="005E62CB">
        <w:tc>
          <w:tcPr>
            <w:tcW w:w="2858" w:type="dxa"/>
            <w:hideMark/>
          </w:tcPr>
          <w:p w14:paraId="64AC4687" w14:textId="46B6F3E6" w:rsidR="00AB5D93" w:rsidRPr="000F712F" w:rsidRDefault="00AB5D93" w:rsidP="00AB5D93">
            <w:pPr>
              <w:rPr>
                <w:rFonts w:asciiTheme="minorHAnsi" w:hAnsiTheme="minorHAnsi"/>
                <w:sz w:val="22"/>
                <w:szCs w:val="22"/>
              </w:rPr>
            </w:pPr>
            <w:r w:rsidRPr="000F712F">
              <w:rPr>
                <w:rFonts w:asciiTheme="minorHAnsi" w:hAnsiTheme="minorHAnsi"/>
                <w:sz w:val="22"/>
                <w:szCs w:val="22"/>
              </w:rPr>
              <w:t>2/</w:t>
            </w:r>
            <w:r>
              <w:rPr>
                <w:rFonts w:asciiTheme="minorHAnsi" w:hAnsiTheme="minorHAnsi"/>
                <w:sz w:val="22"/>
                <w:szCs w:val="22"/>
              </w:rPr>
              <w:t>1</w:t>
            </w:r>
            <w:r w:rsidR="00656CA1">
              <w:rPr>
                <w:rFonts w:asciiTheme="minorHAnsi" w:hAnsiTheme="minorHAnsi"/>
                <w:sz w:val="22"/>
                <w:szCs w:val="22"/>
              </w:rPr>
              <w:t>2</w:t>
            </w:r>
            <w:r w:rsidRPr="000F712F">
              <w:rPr>
                <w:rFonts w:asciiTheme="minorHAnsi" w:hAnsiTheme="minorHAnsi"/>
                <w:sz w:val="22"/>
                <w:szCs w:val="22"/>
              </w:rPr>
              <w:t>/202</w:t>
            </w:r>
            <w:r>
              <w:rPr>
                <w:rFonts w:asciiTheme="minorHAnsi" w:hAnsiTheme="minorHAnsi"/>
                <w:sz w:val="22"/>
                <w:szCs w:val="22"/>
              </w:rPr>
              <w:t>5</w:t>
            </w:r>
          </w:p>
        </w:tc>
        <w:tc>
          <w:tcPr>
            <w:tcW w:w="5400" w:type="dxa"/>
            <w:hideMark/>
          </w:tcPr>
          <w:p w14:paraId="401AA161" w14:textId="55B94522" w:rsidR="00AB5D93" w:rsidRPr="008E570D" w:rsidRDefault="00AB5D93" w:rsidP="008E570D">
            <w:pPr>
              <w:widowControl/>
              <w:rPr>
                <w:rFonts w:cs="Arial"/>
                <w:sz w:val="20"/>
              </w:rPr>
            </w:pPr>
            <w:r w:rsidRPr="000F712F">
              <w:rPr>
                <w:rFonts w:asciiTheme="minorHAnsi" w:hAnsiTheme="minorHAnsi"/>
                <w:sz w:val="22"/>
                <w:szCs w:val="22"/>
              </w:rPr>
              <w:t xml:space="preserve">Submit to </w:t>
            </w:r>
            <w:r>
              <w:rPr>
                <w:rFonts w:asciiTheme="minorHAnsi" w:hAnsiTheme="minorHAnsi"/>
                <w:sz w:val="22"/>
                <w:szCs w:val="22"/>
              </w:rPr>
              <w:t>HC Contractor</w:t>
            </w:r>
            <w:r w:rsidRPr="000F712F">
              <w:rPr>
                <w:rFonts w:asciiTheme="minorHAnsi" w:hAnsiTheme="minorHAnsi"/>
                <w:sz w:val="22"/>
                <w:szCs w:val="22"/>
              </w:rPr>
              <w:t xml:space="preserve"> MPC matched and rolled up production data file for SBD and disavowal file</w:t>
            </w:r>
          </w:p>
        </w:tc>
      </w:tr>
    </w:tbl>
    <w:p w14:paraId="4858B76A" w14:textId="77777777" w:rsidR="005868EA" w:rsidRDefault="005868EA" w:rsidP="005868EA">
      <w:bookmarkStart w:id="36" w:name="_Toc326234773"/>
      <w:bookmarkStart w:id="37" w:name="_Toc326235170"/>
      <w:bookmarkEnd w:id="31"/>
      <w:bookmarkEnd w:id="35"/>
      <w:bookmarkEnd w:id="36"/>
    </w:p>
    <w:p w14:paraId="7124A542" w14:textId="77777777" w:rsidR="00E0418B" w:rsidRDefault="00E0418B" w:rsidP="005868EA"/>
    <w:p w14:paraId="25E4C3F3" w14:textId="77777777" w:rsidR="00E0418B" w:rsidRDefault="00E0418B" w:rsidP="005868EA"/>
    <w:p w14:paraId="543DF534" w14:textId="77777777" w:rsidR="00E0418B" w:rsidRDefault="00E0418B" w:rsidP="005868EA"/>
    <w:p w14:paraId="67F4A102" w14:textId="77777777" w:rsidR="00E0418B" w:rsidRDefault="00E0418B" w:rsidP="005868EA"/>
    <w:p w14:paraId="2ED1B0C1" w14:textId="77777777" w:rsidR="00E0418B" w:rsidRDefault="00E0418B" w:rsidP="005868EA"/>
    <w:p w14:paraId="3D76AC96" w14:textId="77777777" w:rsidR="00E0418B" w:rsidRDefault="00E0418B" w:rsidP="005868EA"/>
    <w:p w14:paraId="0CC7D37B" w14:textId="77777777" w:rsidR="00E0418B" w:rsidRDefault="00E0418B" w:rsidP="005868EA"/>
    <w:p w14:paraId="6908D91E" w14:textId="77777777" w:rsidR="00E0418B" w:rsidRDefault="00E0418B" w:rsidP="005868EA"/>
    <w:p w14:paraId="137E4006" w14:textId="77777777" w:rsidR="00E0418B" w:rsidRDefault="00E0418B" w:rsidP="005868EA"/>
    <w:p w14:paraId="6D6ADDC6" w14:textId="77777777" w:rsidR="00E0418B" w:rsidRDefault="00E0418B" w:rsidP="005868EA"/>
    <w:p w14:paraId="37CAEC97" w14:textId="77777777" w:rsidR="00E0418B" w:rsidRDefault="00E0418B" w:rsidP="005868EA"/>
    <w:p w14:paraId="7EE339D7" w14:textId="77777777" w:rsidR="00E0418B" w:rsidRDefault="00E0418B" w:rsidP="005868EA"/>
    <w:p w14:paraId="6E2ED6E7" w14:textId="77777777" w:rsidR="00E0418B" w:rsidRDefault="00E0418B" w:rsidP="005868EA"/>
    <w:p w14:paraId="15F7480B" w14:textId="77777777" w:rsidR="00E0418B" w:rsidRDefault="00E0418B" w:rsidP="005868EA"/>
    <w:p w14:paraId="4A9385AB" w14:textId="77777777" w:rsidR="00E0418B" w:rsidRDefault="00E0418B" w:rsidP="005868EA"/>
    <w:p w14:paraId="187BC964" w14:textId="77777777" w:rsidR="00E0418B" w:rsidRDefault="00E0418B" w:rsidP="005868EA"/>
    <w:p w14:paraId="5FE9B3C1" w14:textId="77777777" w:rsidR="00E0418B" w:rsidRDefault="00E0418B" w:rsidP="005868EA"/>
    <w:p w14:paraId="23A1D652" w14:textId="77777777" w:rsidR="00E0418B" w:rsidRDefault="00E0418B" w:rsidP="005868EA"/>
    <w:p w14:paraId="12A7CE26" w14:textId="77777777" w:rsidR="00E0418B" w:rsidRDefault="00E0418B" w:rsidP="005868EA"/>
    <w:p w14:paraId="4A9C50C9" w14:textId="77777777" w:rsidR="00E0418B" w:rsidRDefault="00E0418B" w:rsidP="005868EA"/>
    <w:p w14:paraId="69D405B6" w14:textId="77777777" w:rsidR="00E0418B" w:rsidRDefault="00E0418B" w:rsidP="005868EA"/>
    <w:p w14:paraId="05EBF707" w14:textId="77777777" w:rsidR="00E0418B" w:rsidRDefault="00E0418B" w:rsidP="005868EA"/>
    <w:p w14:paraId="48708E33" w14:textId="77777777" w:rsidR="00E0418B" w:rsidRDefault="00E0418B" w:rsidP="005868EA"/>
    <w:p w14:paraId="210C1F62" w14:textId="77777777" w:rsidR="00E0418B" w:rsidRDefault="00E0418B" w:rsidP="005868EA"/>
    <w:p w14:paraId="691CB8CF" w14:textId="77777777" w:rsidR="00E0418B" w:rsidRDefault="00E0418B" w:rsidP="005868EA"/>
    <w:p w14:paraId="0DEABE9C" w14:textId="77777777" w:rsidR="00E0418B" w:rsidRDefault="00E0418B" w:rsidP="005868EA"/>
    <w:p w14:paraId="019F1F3F" w14:textId="77777777" w:rsidR="00E0418B" w:rsidRDefault="00E0418B" w:rsidP="005868EA"/>
    <w:p w14:paraId="507E6CAF" w14:textId="77777777" w:rsidR="00E0418B" w:rsidRDefault="00E0418B" w:rsidP="005868EA"/>
    <w:p w14:paraId="1D1C4347" w14:textId="77777777" w:rsidR="00E0418B" w:rsidRDefault="00E0418B" w:rsidP="005868EA"/>
    <w:p w14:paraId="604DC798" w14:textId="77777777" w:rsidR="00E0418B" w:rsidRDefault="00E0418B" w:rsidP="005868EA"/>
    <w:p w14:paraId="22EEF307" w14:textId="77777777" w:rsidR="00E0418B" w:rsidRDefault="00E0418B" w:rsidP="005868EA"/>
    <w:p w14:paraId="43EE2118" w14:textId="77777777" w:rsidR="00E0418B" w:rsidRDefault="00E0418B" w:rsidP="005868EA"/>
    <w:p w14:paraId="21786F7C" w14:textId="77777777" w:rsidR="00E0418B" w:rsidRDefault="00E0418B" w:rsidP="005868EA"/>
    <w:p w14:paraId="2459B2C1" w14:textId="77777777" w:rsidR="00E0418B" w:rsidRDefault="00E0418B" w:rsidP="005868EA"/>
    <w:p w14:paraId="202B4D43" w14:textId="77777777" w:rsidR="00E0418B" w:rsidRDefault="00E0418B" w:rsidP="005868EA"/>
    <w:p w14:paraId="383FD131" w14:textId="5787E846" w:rsidR="00E0418B" w:rsidRDefault="00E0418B" w:rsidP="005868EA"/>
    <w:p w14:paraId="13E6B108" w14:textId="2DFDFE95" w:rsidR="00AA765F" w:rsidRDefault="00AA765F" w:rsidP="005868EA"/>
    <w:p w14:paraId="041C557A" w14:textId="64F189EE" w:rsidR="00AA765F" w:rsidRDefault="00AA765F" w:rsidP="005868EA"/>
    <w:p w14:paraId="21456939" w14:textId="798B260C" w:rsidR="00C6195B" w:rsidRDefault="00C6195B" w:rsidP="005868EA"/>
    <w:p w14:paraId="6A3F8BA6" w14:textId="13465A62" w:rsidR="000A06A1" w:rsidRDefault="000A06A1" w:rsidP="005868EA"/>
    <w:p w14:paraId="0D062FAE" w14:textId="0E8F5C6B" w:rsidR="000A06A1" w:rsidRDefault="000A06A1" w:rsidP="005868EA"/>
    <w:p w14:paraId="2CD93097" w14:textId="776B1F7C" w:rsidR="000A06A1" w:rsidRDefault="000A06A1" w:rsidP="005868EA"/>
    <w:p w14:paraId="63A3DC12" w14:textId="6218466C" w:rsidR="000A06A1" w:rsidRDefault="000A06A1" w:rsidP="005868EA"/>
    <w:p w14:paraId="5852853C" w14:textId="77777777" w:rsidR="000A06A1" w:rsidRDefault="000A06A1" w:rsidP="005868EA"/>
    <w:p w14:paraId="0E813E3E" w14:textId="77777777" w:rsidR="008A716D" w:rsidRPr="00EC3CF8" w:rsidRDefault="008A716D" w:rsidP="0073513C">
      <w:pPr>
        <w:pStyle w:val="Heading1"/>
      </w:pPr>
      <w:bookmarkStart w:id="38" w:name="_Toc188880705"/>
      <w:r w:rsidRPr="00EC3CF8">
        <w:lastRenderedPageBreak/>
        <w:t>Instruments and Materials</w:t>
      </w:r>
      <w:bookmarkEnd w:id="37"/>
      <w:bookmarkEnd w:id="38"/>
    </w:p>
    <w:p w14:paraId="0F3D971C" w14:textId="77777777" w:rsidR="008A716D" w:rsidRPr="009816DB" w:rsidRDefault="008A716D" w:rsidP="006E1921">
      <w:pPr>
        <w:pStyle w:val="BodyText"/>
      </w:pPr>
      <w:r w:rsidRPr="009816DB">
        <w:t>This chapter provides an overview of the instruments and materials that will be used  to collect data for the SBD sample</w:t>
      </w:r>
      <w:r w:rsidRPr="009816DB">
        <w:rPr>
          <w:rFonts w:ascii="TimesNewRomanPSMT" w:hAnsi="TimesNewRomanPSMT" w:cs="TimesNewRomanPSMT"/>
          <w:szCs w:val="24"/>
        </w:rPr>
        <w:t>.</w:t>
      </w:r>
    </w:p>
    <w:p w14:paraId="48DAC4B2" w14:textId="71EB0D51" w:rsidR="008A716D" w:rsidRPr="009816DB" w:rsidRDefault="00827F07" w:rsidP="006E1921">
      <w:pPr>
        <w:pStyle w:val="BodyText"/>
      </w:pPr>
      <w:r>
        <w:rPr>
          <w:lang w:val="en-US"/>
        </w:rPr>
        <w:t>The MPC team</w:t>
      </w:r>
      <w:r w:rsidR="006E1921">
        <w:rPr>
          <w:lang w:val="en-US"/>
        </w:rPr>
        <w:t xml:space="preserve"> </w:t>
      </w:r>
      <w:r w:rsidR="008A716D" w:rsidRPr="009816DB">
        <w:t>will</w:t>
      </w:r>
      <w:r w:rsidR="008A716D">
        <w:t xml:space="preserve"> continue to</w:t>
      </w:r>
      <w:r w:rsidR="008A716D" w:rsidRPr="009816DB">
        <w:t xml:space="preserve"> use </w:t>
      </w:r>
      <w:r w:rsidR="008A716D">
        <w:t xml:space="preserve">the </w:t>
      </w:r>
      <w:r w:rsidR="008A716D" w:rsidRPr="009816DB">
        <w:t xml:space="preserve">computer-based Integrated Data Collection System (IDCS) that allows data collection through either telephone or through record abstraction directly into one central database. </w:t>
      </w:r>
    </w:p>
    <w:p w14:paraId="0BB8AAFF" w14:textId="7E9637F9" w:rsidR="008A716D" w:rsidRPr="009816DB" w:rsidRDefault="008A716D" w:rsidP="0073513C">
      <w:pPr>
        <w:pStyle w:val="BodyText"/>
      </w:pPr>
      <w:r w:rsidRPr="009816DB">
        <w:t>Additional detail is provided in the following subsections on the different components of the instrument and materials that will be used to assist the DCS</w:t>
      </w:r>
      <w:r w:rsidR="006E1921">
        <w:rPr>
          <w:lang w:val="en-US"/>
        </w:rPr>
        <w:t>s</w:t>
      </w:r>
      <w:r w:rsidRPr="009816DB">
        <w:t>, abstractor</w:t>
      </w:r>
      <w:r w:rsidR="006E1921">
        <w:rPr>
          <w:lang w:val="en-US"/>
        </w:rPr>
        <w:t>s</w:t>
      </w:r>
      <w:r w:rsidRPr="009816DB">
        <w:t>, and provider</w:t>
      </w:r>
      <w:r w:rsidR="006E1921">
        <w:rPr>
          <w:lang w:val="en-US"/>
        </w:rPr>
        <w:t>s</w:t>
      </w:r>
      <w:r w:rsidRPr="009816DB">
        <w:t xml:space="preserve"> during</w:t>
      </w:r>
      <w:r w:rsidR="0073513C">
        <w:t xml:space="preserve"> </w:t>
      </w:r>
      <w:r w:rsidR="00B820E5">
        <w:t>MEPS MPC</w:t>
      </w:r>
      <w:r w:rsidRPr="009816DB">
        <w:t xml:space="preserve"> data collection. These include </w:t>
      </w:r>
      <w:r w:rsidR="002B6ADA">
        <w:rPr>
          <w:lang w:val="en-US"/>
        </w:rPr>
        <w:t xml:space="preserve">the </w:t>
      </w:r>
      <w:r w:rsidRPr="009816DB">
        <w:t xml:space="preserve">contact guide, provider materials, </w:t>
      </w:r>
      <w:r>
        <w:rPr>
          <w:rFonts w:ascii="TimesNewRomanPSMT" w:hAnsi="TimesNewRomanPSMT" w:cs="TimesNewRomanPSMT"/>
          <w:szCs w:val="24"/>
        </w:rPr>
        <w:t>event form</w:t>
      </w:r>
      <w:r w:rsidRPr="009816DB">
        <w:rPr>
          <w:rFonts w:ascii="TimesNewRomanPSMT" w:hAnsi="TimesNewRomanPSMT" w:cs="TimesNewRomanPSMT"/>
          <w:szCs w:val="24"/>
        </w:rPr>
        <w:t>s</w:t>
      </w:r>
      <w:r w:rsidRPr="009816DB">
        <w:t>, and</w:t>
      </w:r>
      <w:r>
        <w:t xml:space="preserve"> the Case Management System</w:t>
      </w:r>
      <w:r w:rsidRPr="009816DB">
        <w:t xml:space="preserve">. </w:t>
      </w:r>
    </w:p>
    <w:p w14:paraId="4684B34E" w14:textId="74FBC670" w:rsidR="008A716D" w:rsidRPr="009816DB" w:rsidRDefault="00D45309" w:rsidP="003C2B28">
      <w:pPr>
        <w:pStyle w:val="Heading2"/>
      </w:pPr>
      <w:bookmarkStart w:id="39" w:name="_Toc326235171"/>
      <w:bookmarkStart w:id="40" w:name="_Toc188880706"/>
      <w:r>
        <w:rPr>
          <w:lang w:val="en-US"/>
        </w:rPr>
        <w:t xml:space="preserve">POC Module and </w:t>
      </w:r>
      <w:r w:rsidR="008A716D" w:rsidRPr="009816DB">
        <w:t>Contact Guide</w:t>
      </w:r>
      <w:bookmarkEnd w:id="39"/>
      <w:bookmarkEnd w:id="40"/>
    </w:p>
    <w:p w14:paraId="7C1BCE25" w14:textId="4094A9FD" w:rsidR="008A716D" w:rsidRPr="009816DB" w:rsidRDefault="008A716D" w:rsidP="002E57E5">
      <w:pPr>
        <w:pStyle w:val="BodyText"/>
      </w:pPr>
      <w:r w:rsidRPr="009816DB">
        <w:t xml:space="preserve">The </w:t>
      </w:r>
      <w:r w:rsidR="00D45309">
        <w:rPr>
          <w:lang w:val="en-US"/>
        </w:rPr>
        <w:t xml:space="preserve">POC module that contains the </w:t>
      </w:r>
      <w:r w:rsidRPr="009816DB">
        <w:t>contact guide is one</w:t>
      </w:r>
      <w:r w:rsidR="00716D16">
        <w:rPr>
          <w:lang w:val="en-US"/>
        </w:rPr>
        <w:t xml:space="preserve"> part of the combined POC/CMS </w:t>
      </w:r>
      <w:r w:rsidRPr="009816DB">
        <w:t>component of the IDCS</w:t>
      </w:r>
      <w:r w:rsidR="002B6ADA">
        <w:rPr>
          <w:lang w:val="en-US"/>
        </w:rPr>
        <w:t xml:space="preserve"> for SBD, as for other provider types</w:t>
      </w:r>
      <w:r w:rsidRPr="009816DB">
        <w:t xml:space="preserve">. </w:t>
      </w:r>
      <w:r w:rsidR="00D45309" w:rsidRPr="009816DB">
        <w:t>Th</w:t>
      </w:r>
      <w:r w:rsidR="00D45309">
        <w:rPr>
          <w:lang w:val="en-US"/>
        </w:rPr>
        <w:t>e POC M</w:t>
      </w:r>
      <w:r w:rsidR="009E1E86">
        <w:rPr>
          <w:lang w:val="en-US"/>
        </w:rPr>
        <w:t>odule and the contact</w:t>
      </w:r>
      <w:r w:rsidRPr="009816DB">
        <w:t xml:space="preserve"> guide </w:t>
      </w:r>
      <w:r w:rsidR="009E1E86">
        <w:rPr>
          <w:lang w:val="en-US"/>
        </w:rPr>
        <w:t>are</w:t>
      </w:r>
      <w:r w:rsidRPr="009816DB">
        <w:t xml:space="preserve"> used by the DCS to initiate contact with the SBD provider. Using the contact guide, the DCS identif</w:t>
      </w:r>
      <w:r>
        <w:t>ies</w:t>
      </w:r>
      <w:r w:rsidRPr="009816DB">
        <w:t xml:space="preserve"> the appropriate person(s) within the provider setting who should be sent the provider. These individuals </w:t>
      </w:r>
      <w:r>
        <w:t>are</w:t>
      </w:r>
      <w:r w:rsidRPr="009816DB">
        <w:t xml:space="preserve"> also the contacts for subsequent calls to complete data collection with the </w:t>
      </w:r>
      <w:r w:rsidRPr="009816DB">
        <w:rPr>
          <w:rFonts w:ascii="TimesNewRomanPSMT" w:hAnsi="TimesNewRomanPSMT" w:cs="TimesNewRomanPSMT"/>
          <w:szCs w:val="24"/>
        </w:rPr>
        <w:t>event forms</w:t>
      </w:r>
      <w:r w:rsidRPr="009816DB">
        <w:t xml:space="preserve">. More specifically, it is during this contact that the DCS introduces </w:t>
      </w:r>
      <w:r w:rsidR="002E57E5">
        <w:rPr>
          <w:lang w:val="en-US"/>
        </w:rPr>
        <w:t>her/</w:t>
      </w:r>
      <w:proofErr w:type="spellStart"/>
      <w:r w:rsidR="002E57E5">
        <w:rPr>
          <w:lang w:val="en-US"/>
        </w:rPr>
        <w:t>him</w:t>
      </w:r>
      <w:r w:rsidRPr="009816DB">
        <w:t>sel</w:t>
      </w:r>
      <w:r w:rsidR="002E57E5">
        <w:rPr>
          <w:lang w:val="en-US"/>
        </w:rPr>
        <w:t>f</w:t>
      </w:r>
      <w:proofErr w:type="spellEnd"/>
      <w:r w:rsidRPr="009816DB">
        <w:t xml:space="preserve"> and the study, explains the </w:t>
      </w:r>
      <w:r w:rsidR="00B820E5">
        <w:t>MEPS MPC</w:t>
      </w:r>
      <w:r w:rsidRPr="009816DB">
        <w:t xml:space="preserve"> request for data, collects relevant contact information to fax (or</w:t>
      </w:r>
      <w:r w:rsidR="008C14A5">
        <w:rPr>
          <w:lang w:val="en-US"/>
        </w:rPr>
        <w:t xml:space="preserve"> deli</w:t>
      </w:r>
      <w:r w:rsidR="00B5439F">
        <w:rPr>
          <w:lang w:val="en-US"/>
        </w:rPr>
        <w:t>ver by</w:t>
      </w:r>
      <w:r w:rsidRPr="009816DB">
        <w:t xml:space="preserve"> mail</w:t>
      </w:r>
      <w:r w:rsidR="00576CA5">
        <w:rPr>
          <w:lang w:val="en-US"/>
        </w:rPr>
        <w:t>,</w:t>
      </w:r>
      <w:r w:rsidR="00B5439F">
        <w:rPr>
          <w:lang w:val="en-US"/>
        </w:rPr>
        <w:t xml:space="preserve"> electronic portal</w:t>
      </w:r>
      <w:r w:rsidR="00576CA5">
        <w:rPr>
          <w:lang w:val="en-US"/>
        </w:rPr>
        <w:t>, or email</w:t>
      </w:r>
      <w:r w:rsidRPr="009816DB">
        <w:t>) provider materials, and documents steps for proceeding with data collection.</w:t>
      </w:r>
    </w:p>
    <w:p w14:paraId="51C053B5" w14:textId="77777777" w:rsidR="008A716D" w:rsidRPr="009816DB" w:rsidRDefault="008A716D" w:rsidP="003C2B28">
      <w:pPr>
        <w:pStyle w:val="Heading2"/>
      </w:pPr>
      <w:bookmarkStart w:id="41" w:name="_Toc221595818"/>
      <w:bookmarkStart w:id="42" w:name="_Toc326235172"/>
      <w:bookmarkStart w:id="43" w:name="_Toc188880707"/>
      <w:bookmarkEnd w:id="41"/>
      <w:r w:rsidRPr="009816DB">
        <w:t>Provider Materials</w:t>
      </w:r>
      <w:bookmarkEnd w:id="42"/>
      <w:bookmarkEnd w:id="43"/>
    </w:p>
    <w:p w14:paraId="5A5820BE" w14:textId="40F1AB08" w:rsidR="008A716D" w:rsidRPr="009816DB" w:rsidRDefault="008A716D" w:rsidP="0073513C">
      <w:pPr>
        <w:pStyle w:val="BodyText"/>
      </w:pPr>
      <w:r w:rsidRPr="009816DB">
        <w:t>Prior to data collection and using the contact information collected in the initial contact, providers are sent (by fax</w:t>
      </w:r>
      <w:r w:rsidR="008C14A5">
        <w:rPr>
          <w:lang w:val="en-US"/>
        </w:rPr>
        <w:t>,</w:t>
      </w:r>
      <w:r w:rsidRPr="009816DB">
        <w:t xml:space="preserve"> mail</w:t>
      </w:r>
      <w:r w:rsidR="008C14A5">
        <w:rPr>
          <w:lang w:val="en-US"/>
        </w:rPr>
        <w:t>, electronic portal</w:t>
      </w:r>
      <w:r w:rsidR="00576CA5">
        <w:rPr>
          <w:lang w:val="en-US"/>
        </w:rPr>
        <w:t>, or email</w:t>
      </w:r>
      <w:r w:rsidRPr="009816DB">
        <w:t xml:space="preserve">) the following materials: </w:t>
      </w:r>
    </w:p>
    <w:p w14:paraId="01ECF8A3" w14:textId="78146CCE" w:rsidR="008A716D" w:rsidRPr="009816DB" w:rsidRDefault="008C14A5" w:rsidP="00693FD0">
      <w:pPr>
        <w:pStyle w:val="bullets"/>
      </w:pPr>
      <w:r>
        <w:t>C</w:t>
      </w:r>
      <w:r w:rsidR="008A716D" w:rsidRPr="009816DB">
        <w:t>over sheet.</w:t>
      </w:r>
    </w:p>
    <w:p w14:paraId="7B0B2FFF" w14:textId="77777777" w:rsidR="008A716D" w:rsidRPr="009816DB" w:rsidRDefault="008A716D" w:rsidP="00693FD0">
      <w:pPr>
        <w:pStyle w:val="bullets"/>
      </w:pPr>
      <w:r w:rsidRPr="009816DB">
        <w:t>Cover letter providing general information about the study from the U.S. Department of Health and Human Services.</w:t>
      </w:r>
    </w:p>
    <w:p w14:paraId="773D3EF9" w14:textId="7A8F1279" w:rsidR="008A716D" w:rsidRDefault="008A716D" w:rsidP="00693FD0">
      <w:pPr>
        <w:pStyle w:val="bullets"/>
      </w:pPr>
      <w:r>
        <w:t xml:space="preserve">A confidential patient checklist of all </w:t>
      </w:r>
      <w:r w:rsidR="00827F07">
        <w:t>HC</w:t>
      </w:r>
      <w:r>
        <w:t xml:space="preserve"> respondents who reported receiving services from </w:t>
      </w:r>
      <w:r w:rsidR="002B6ADA">
        <w:t xml:space="preserve">a </w:t>
      </w:r>
      <w:proofErr w:type="gramStart"/>
      <w:r w:rsidR="002B6ADA">
        <w:t>Hospital</w:t>
      </w:r>
      <w:proofErr w:type="gramEnd"/>
      <w:r w:rsidR="002B6ADA">
        <w:t xml:space="preserve"> or Institution that may have included services provided by an SBD</w:t>
      </w:r>
      <w:r w:rsidR="002E57E5">
        <w:t>,</w:t>
      </w:r>
      <w:r>
        <w:t xml:space="preserve"> with step-by-step guidance to the point of contact.</w:t>
      </w:r>
      <w:r w:rsidR="0073513C">
        <w:t xml:space="preserve"> </w:t>
      </w:r>
    </w:p>
    <w:p w14:paraId="03A5D89D" w14:textId="5595E7F8" w:rsidR="008A716D" w:rsidRDefault="00D14866" w:rsidP="00693FD0">
      <w:pPr>
        <w:pStyle w:val="bullets"/>
      </w:pPr>
      <w:r>
        <w:t>AF</w:t>
      </w:r>
      <w:r w:rsidR="008A716D" w:rsidRPr="009816DB">
        <w:t xml:space="preserve"> for each patient. </w:t>
      </w:r>
      <w:r w:rsidR="008A716D">
        <w:t xml:space="preserve">This is the same </w:t>
      </w:r>
      <w:r>
        <w:t>AF</w:t>
      </w:r>
      <w:r w:rsidR="008A716D">
        <w:t xml:space="preserve"> that was sent to the Hospital or Institution provider, </w:t>
      </w:r>
      <w:proofErr w:type="gramStart"/>
      <w:r w:rsidR="008A716D">
        <w:t>and also</w:t>
      </w:r>
      <w:proofErr w:type="gramEnd"/>
      <w:r w:rsidR="008A716D">
        <w:t xml:space="preserve"> authorizes the SBD to </w:t>
      </w:r>
      <w:r w:rsidR="008A716D" w:rsidRPr="009816DB">
        <w:t xml:space="preserve">report patient data to the </w:t>
      </w:r>
      <w:r w:rsidR="00B820E5">
        <w:t>MEPS MPC</w:t>
      </w:r>
      <w:r w:rsidR="008A716D" w:rsidRPr="009816DB">
        <w:t xml:space="preserve"> study. This form is compliant with the Health Insurance Portability and Accountability Act (HIPAA) implemented in 2003</w:t>
      </w:r>
      <w:r w:rsidR="008A716D">
        <w:t>.</w:t>
      </w:r>
    </w:p>
    <w:p w14:paraId="0C739FC8" w14:textId="77777777" w:rsidR="008A716D" w:rsidRDefault="008A716D" w:rsidP="00693FD0">
      <w:pPr>
        <w:pStyle w:val="bullets"/>
      </w:pPr>
      <w:r>
        <w:t>Document that addresses commonly asked questions about the MPC study.</w:t>
      </w:r>
    </w:p>
    <w:p w14:paraId="4AC57D98" w14:textId="08138BF4" w:rsidR="008A716D" w:rsidRDefault="008A716D" w:rsidP="00693FD0">
      <w:pPr>
        <w:pStyle w:val="bullets"/>
      </w:pPr>
      <w:r w:rsidRPr="009816DB">
        <w:t>Fax/mail return form to be used by the respondent if they prefer to fax or mail their billing records. The fax return cover sheet contain</w:t>
      </w:r>
      <w:r w:rsidR="00DA10CC">
        <w:t>s</w:t>
      </w:r>
      <w:r w:rsidRPr="009816DB">
        <w:t xml:space="preserve"> pre-printed information for faxing records. The mail return form include</w:t>
      </w:r>
      <w:r w:rsidR="00DA10CC">
        <w:t>s</w:t>
      </w:r>
      <w:r w:rsidRPr="009816DB">
        <w:t xml:space="preserve"> a pre-printed mailing label for the provider to send records via mail.</w:t>
      </w:r>
      <w:r w:rsidR="008C14A5">
        <w:t xml:space="preserve"> </w:t>
      </w:r>
    </w:p>
    <w:p w14:paraId="6D3DC23A" w14:textId="60DBABF1" w:rsidR="008C14A5" w:rsidRPr="009816DB" w:rsidRDefault="008C14A5" w:rsidP="00693FD0">
      <w:pPr>
        <w:pStyle w:val="bullets"/>
      </w:pPr>
      <w:r>
        <w:t>An instruction sheet on how to upload data for respondents using the electronic portal.</w:t>
      </w:r>
    </w:p>
    <w:p w14:paraId="0558BD79" w14:textId="77777777" w:rsidR="008A716D" w:rsidRPr="009816DB" w:rsidRDefault="008A716D" w:rsidP="003C2B28">
      <w:pPr>
        <w:pStyle w:val="Heading2"/>
      </w:pPr>
      <w:bookmarkStart w:id="44" w:name="_Toc326235173"/>
      <w:bookmarkStart w:id="45" w:name="_Toc188880708"/>
      <w:r>
        <w:t xml:space="preserve">Event </w:t>
      </w:r>
      <w:r w:rsidR="00667AE6">
        <w:t>Form</w:t>
      </w:r>
      <w:bookmarkEnd w:id="44"/>
      <w:bookmarkEnd w:id="45"/>
    </w:p>
    <w:p w14:paraId="3FBD15AC" w14:textId="4C1AE1EE" w:rsidR="008A716D" w:rsidRPr="009816DB" w:rsidRDefault="008A716D" w:rsidP="002E57E5">
      <w:pPr>
        <w:pStyle w:val="BodyText"/>
      </w:pPr>
      <w:r w:rsidRPr="009816DB">
        <w:t xml:space="preserve">Once the provider has received materials with the </w:t>
      </w:r>
      <w:r w:rsidR="00D14866">
        <w:rPr>
          <w:lang w:val="en-US"/>
        </w:rPr>
        <w:t>AFs</w:t>
      </w:r>
      <w:r w:rsidRPr="009816DB">
        <w:t xml:space="preserve">, the DCS or abstractor will use the SBD </w:t>
      </w:r>
      <w:r>
        <w:rPr>
          <w:rFonts w:ascii="TimesNewRomanPSMT" w:hAnsi="TimesNewRomanPSMT" w:cs="TimesNewRomanPSMT"/>
        </w:rPr>
        <w:t>event form</w:t>
      </w:r>
      <w:r w:rsidRPr="009816DB">
        <w:rPr>
          <w:rFonts w:ascii="TimesNewRomanPSMT" w:hAnsi="TimesNewRomanPSMT" w:cs="TimesNewRomanPSMT"/>
        </w:rPr>
        <w:t xml:space="preserve"> </w:t>
      </w:r>
      <w:r w:rsidRPr="009816DB">
        <w:t xml:space="preserve">to collect data for care provided to the patient by the SBD for the corresponding hospital or </w:t>
      </w:r>
      <w:r w:rsidRPr="009816DB">
        <w:lastRenderedPageBreak/>
        <w:t xml:space="preserve">institution event reported during </w:t>
      </w:r>
      <w:r w:rsidR="002E57E5">
        <w:rPr>
          <w:lang w:val="en-US"/>
        </w:rPr>
        <w:t>H</w:t>
      </w:r>
      <w:proofErr w:type="spellStart"/>
      <w:r w:rsidRPr="009816DB">
        <w:t>ospital</w:t>
      </w:r>
      <w:proofErr w:type="spellEnd"/>
      <w:r w:rsidRPr="009816DB">
        <w:t xml:space="preserve"> or </w:t>
      </w:r>
      <w:r w:rsidR="002E57E5">
        <w:rPr>
          <w:lang w:val="en-US"/>
        </w:rPr>
        <w:t>I</w:t>
      </w:r>
      <w:proofErr w:type="spellStart"/>
      <w:r w:rsidRPr="009816DB">
        <w:t>nstitution</w:t>
      </w:r>
      <w:proofErr w:type="spellEnd"/>
      <w:r w:rsidRPr="009816DB">
        <w:t xml:space="preserve"> data collection. Data will either be collected directly from the provider over the telephone or an abstractor will enter the relevant data from records received from the provider. The </w:t>
      </w:r>
      <w:r>
        <w:rPr>
          <w:rFonts w:ascii="TimesNewRomanPSMT" w:hAnsi="TimesNewRomanPSMT" w:cs="TimesNewRomanPSMT"/>
        </w:rPr>
        <w:t>event form</w:t>
      </w:r>
      <w:r w:rsidRPr="009816DB">
        <w:rPr>
          <w:rFonts w:ascii="TimesNewRomanPSMT" w:hAnsi="TimesNewRomanPSMT" w:cs="TimesNewRomanPSMT"/>
        </w:rPr>
        <w:t xml:space="preserve"> </w:t>
      </w:r>
      <w:r w:rsidRPr="009816DB">
        <w:t xml:space="preserve">will be accessible to the DCS and abstractor through the IDCS. </w:t>
      </w:r>
    </w:p>
    <w:p w14:paraId="53F5406C" w14:textId="3E5A5575" w:rsidR="008A716D" w:rsidRPr="009816DB" w:rsidRDefault="008A716D" w:rsidP="00693FD0">
      <w:pPr>
        <w:pStyle w:val="BodyText"/>
      </w:pPr>
      <w:r w:rsidRPr="009816DB">
        <w:t xml:space="preserve">Different </w:t>
      </w:r>
      <w:r>
        <w:rPr>
          <w:rFonts w:ascii="TimesNewRomanPSMT" w:hAnsi="TimesNewRomanPSMT" w:cs="TimesNewRomanPSMT"/>
          <w:szCs w:val="24"/>
        </w:rPr>
        <w:t>event form</w:t>
      </w:r>
      <w:r w:rsidRPr="009816DB">
        <w:rPr>
          <w:rFonts w:ascii="TimesNewRomanPSMT" w:hAnsi="TimesNewRomanPSMT" w:cs="TimesNewRomanPSMT"/>
          <w:szCs w:val="24"/>
        </w:rPr>
        <w:t xml:space="preserve">s </w:t>
      </w:r>
      <w:r w:rsidRPr="009816DB">
        <w:t>are used for each of the six provider types in the study (Office-Based Doctors, Hospitals, Institutions, Home Health Care, SBDs</w:t>
      </w:r>
      <w:r w:rsidR="00A15ADB">
        <w:rPr>
          <w:lang w:val="en-US"/>
        </w:rPr>
        <w:t>,</w:t>
      </w:r>
      <w:r w:rsidRPr="009816DB">
        <w:t xml:space="preserve"> and Pharmacies). While the forms will collect a common set of data items for each event, adaptations have been made to each form as needed to collect the core set of </w:t>
      </w:r>
      <w:r w:rsidR="00B820E5">
        <w:t>MEPS MPC</w:t>
      </w:r>
      <w:r w:rsidRPr="009816DB">
        <w:t xml:space="preserve"> data items in different provider settings. </w:t>
      </w:r>
      <w:r w:rsidR="00E03295">
        <w:rPr>
          <w:b/>
          <w:lang w:val="en-US"/>
        </w:rPr>
        <w:t>Exhibit</w:t>
      </w:r>
      <w:r w:rsidR="00A15ADB">
        <w:rPr>
          <w:b/>
          <w:lang w:val="en-US"/>
        </w:rPr>
        <w:t> </w:t>
      </w:r>
      <w:r w:rsidR="00411516">
        <w:rPr>
          <w:b/>
          <w:lang w:val="en-US"/>
        </w:rPr>
        <w:t>3</w:t>
      </w:r>
      <w:r w:rsidR="004918EA" w:rsidRPr="009816DB">
        <w:t xml:space="preserve"> </w:t>
      </w:r>
      <w:r w:rsidRPr="009816DB">
        <w:t xml:space="preserve">identifies the data items to be collected from the SBD provider type with the relevant </w:t>
      </w:r>
      <w:r>
        <w:rPr>
          <w:rFonts w:ascii="TimesNewRomanPSMT" w:hAnsi="TimesNewRomanPSMT" w:cs="TimesNewRomanPSMT"/>
          <w:szCs w:val="24"/>
        </w:rPr>
        <w:t>event form</w:t>
      </w:r>
      <w:r w:rsidRPr="009816DB">
        <w:t xml:space="preserve">. </w:t>
      </w:r>
    </w:p>
    <w:p w14:paraId="02B56061" w14:textId="77777777" w:rsidR="004918EA" w:rsidRPr="009816DB" w:rsidRDefault="004918EA" w:rsidP="003C2B28">
      <w:pPr>
        <w:pStyle w:val="Heading2"/>
      </w:pPr>
      <w:bookmarkStart w:id="46" w:name="_Toc217103209"/>
      <w:bookmarkStart w:id="47" w:name="_Toc326235174"/>
      <w:bookmarkStart w:id="48" w:name="_Toc354746075"/>
      <w:bookmarkStart w:id="49" w:name="_Toc188880709"/>
      <w:r>
        <w:t>Case Management System (CMS)</w:t>
      </w:r>
      <w:bookmarkEnd w:id="46"/>
      <w:bookmarkEnd w:id="47"/>
      <w:bookmarkEnd w:id="49"/>
      <w:r w:rsidRPr="009816DB">
        <w:t xml:space="preserve"> </w:t>
      </w:r>
    </w:p>
    <w:p w14:paraId="033F275C" w14:textId="6340C41F" w:rsidR="004918EA" w:rsidRPr="00DE3026" w:rsidRDefault="004918EA" w:rsidP="007B0492">
      <w:pPr>
        <w:pStyle w:val="BodyText"/>
        <w:rPr>
          <w:lang w:val="en-US"/>
        </w:rPr>
      </w:pPr>
      <w:r w:rsidRPr="009816DB">
        <w:t xml:space="preserve">The node ID, event date, event type, and location of the event (i.e., name of hospital or institution where services were provided) </w:t>
      </w:r>
      <w:r>
        <w:t>are</w:t>
      </w:r>
      <w:r w:rsidRPr="009816DB">
        <w:t xml:space="preserve"> preloaded into the </w:t>
      </w:r>
      <w:r>
        <w:t>CMS</w:t>
      </w:r>
      <w:r w:rsidRPr="009816DB">
        <w:t xml:space="preserve"> for each patient. The preloaded information </w:t>
      </w:r>
      <w:r>
        <w:t>is</w:t>
      </w:r>
      <w:r w:rsidRPr="009816DB">
        <w:t xml:space="preserve"> used during the interview to identify the patient event for which data are being collected and to verify that data have been recorded for the correct events.</w:t>
      </w:r>
      <w:r>
        <w:rPr>
          <w:lang w:val="en-US"/>
        </w:rPr>
        <w:t xml:space="preserve"> </w:t>
      </w:r>
      <w:r w:rsidR="007B0492">
        <w:rPr>
          <w:lang w:val="en-US"/>
        </w:rPr>
        <w:t>The</w:t>
      </w:r>
      <w:r>
        <w:rPr>
          <w:lang w:val="en-US"/>
        </w:rPr>
        <w:t xml:space="preserve"> DCS can view all needed nodes for the entire contact group with a single click of a button</w:t>
      </w:r>
      <w:r w:rsidR="007B0492">
        <w:rPr>
          <w:lang w:val="en-US"/>
        </w:rPr>
        <w:t xml:space="preserve"> which </w:t>
      </w:r>
      <w:r>
        <w:rPr>
          <w:lang w:val="en-US"/>
        </w:rPr>
        <w:t>facilitate</w:t>
      </w:r>
      <w:r w:rsidR="007B0492">
        <w:rPr>
          <w:lang w:val="en-US"/>
        </w:rPr>
        <w:t>s</w:t>
      </w:r>
      <w:r>
        <w:rPr>
          <w:lang w:val="en-US"/>
        </w:rPr>
        <w:t xml:space="preserve"> communications between the DCS and the POC.</w:t>
      </w:r>
    </w:p>
    <w:p w14:paraId="28D597CB" w14:textId="5FD31440" w:rsidR="004918EA" w:rsidRDefault="0073187B" w:rsidP="002E57E5">
      <w:pPr>
        <w:pStyle w:val="BodyText"/>
      </w:pPr>
      <w:r>
        <w:rPr>
          <w:lang w:val="en-US"/>
        </w:rPr>
        <w:t xml:space="preserve">An SBD query tool is used </w:t>
      </w:r>
      <w:proofErr w:type="spellStart"/>
      <w:r>
        <w:rPr>
          <w:lang w:val="en-US"/>
        </w:rPr>
        <w:t>t</w:t>
      </w:r>
      <w:r w:rsidR="004918EA">
        <w:t>o</w:t>
      </w:r>
      <w:proofErr w:type="spellEnd"/>
      <w:r w:rsidR="004918EA">
        <w:t xml:space="preserve"> assist in identifying SBD contact groups that require merging</w:t>
      </w:r>
      <w:r>
        <w:rPr>
          <w:lang w:val="en-US"/>
        </w:rPr>
        <w:t>.</w:t>
      </w:r>
      <w:r w:rsidR="004918EA">
        <w:t xml:space="preserve"> This tool is part of </w:t>
      </w:r>
      <w:r w:rsidR="00E44CEC">
        <w:rPr>
          <w:lang w:val="en-US"/>
        </w:rPr>
        <w:t>the</w:t>
      </w:r>
      <w:r w:rsidR="004918EA">
        <w:t xml:space="preserve"> </w:t>
      </w:r>
      <w:r w:rsidR="00D45309">
        <w:rPr>
          <w:lang w:val="en-US"/>
        </w:rPr>
        <w:t>IDCS</w:t>
      </w:r>
      <w:r w:rsidR="00D45309">
        <w:t xml:space="preserve"> </w:t>
      </w:r>
      <w:r w:rsidR="004918EA">
        <w:t xml:space="preserve">and DCSs are trained to utilize this tool to look for additional cases with the same POC or phone number prior to contacting a </w:t>
      </w:r>
      <w:r w:rsidR="002E57E5">
        <w:rPr>
          <w:lang w:val="en-US"/>
        </w:rPr>
        <w:t>POC</w:t>
      </w:r>
      <w:r w:rsidR="004918EA">
        <w:t xml:space="preserve">. </w:t>
      </w:r>
      <w:r>
        <w:rPr>
          <w:lang w:val="en-US"/>
        </w:rPr>
        <w:t>The tool includes a</w:t>
      </w:r>
      <w:r w:rsidR="004918EA">
        <w:t xml:space="preserve"> query to search for specific POC types and </w:t>
      </w:r>
      <w:r>
        <w:rPr>
          <w:lang w:val="en-US"/>
        </w:rPr>
        <w:t>a</w:t>
      </w:r>
      <w:r w:rsidR="004918EA">
        <w:t xml:space="preserve"> query that DCSs utilize when attempting to dial a number that has been contacted in the past 32 hours. The use of both queries led to a reduced number of multiple contacts </w:t>
      </w:r>
      <w:r w:rsidR="00E44CEC">
        <w:rPr>
          <w:lang w:val="en-US"/>
        </w:rPr>
        <w:t>with</w:t>
      </w:r>
      <w:r w:rsidR="004918EA">
        <w:t xml:space="preserve"> SBD POCs and </w:t>
      </w:r>
      <w:r w:rsidR="00FE74E2">
        <w:rPr>
          <w:lang w:val="en-US"/>
        </w:rPr>
        <w:t>improved</w:t>
      </w:r>
      <w:r w:rsidR="004918EA">
        <w:t xml:space="preserve"> </w:t>
      </w:r>
      <w:r w:rsidR="00FE74E2">
        <w:rPr>
          <w:lang w:val="en-US"/>
        </w:rPr>
        <w:t xml:space="preserve">the ability to </w:t>
      </w:r>
      <w:r w:rsidR="004918EA">
        <w:t>group SBD cases</w:t>
      </w:r>
      <w:r w:rsidR="00D45309">
        <w:rPr>
          <w:lang w:val="en-US"/>
        </w:rPr>
        <w:t xml:space="preserve"> within the CMS</w:t>
      </w:r>
      <w:r w:rsidR="004918EA">
        <w:t xml:space="preserve"> prior to additional phone contacts. </w:t>
      </w:r>
    </w:p>
    <w:p w14:paraId="126B3496" w14:textId="77777777" w:rsidR="00DB686A" w:rsidRDefault="00DB686A" w:rsidP="002E57E5">
      <w:pPr>
        <w:pStyle w:val="BodyText"/>
      </w:pPr>
    </w:p>
    <w:p w14:paraId="252D0708" w14:textId="51FACB28" w:rsidR="008A716D" w:rsidRPr="00F64784" w:rsidRDefault="00E03295" w:rsidP="001F74BC">
      <w:pPr>
        <w:pStyle w:val="ExhibitTitle"/>
        <w:ind w:left="0" w:firstLine="0"/>
      </w:pPr>
      <w:bookmarkStart w:id="50" w:name="_Toc354853280"/>
      <w:r>
        <w:t>Exhibit</w:t>
      </w:r>
      <w:r w:rsidRPr="00F64784">
        <w:t xml:space="preserve"> </w:t>
      </w:r>
      <w:r w:rsidR="00411516">
        <w:rPr>
          <w:lang w:val="en-US"/>
        </w:rPr>
        <w:t>3</w:t>
      </w:r>
      <w:r w:rsidR="008A716D" w:rsidRPr="00F64784">
        <w:t>.</w:t>
      </w:r>
      <w:r w:rsidR="008A716D" w:rsidRPr="00F64784">
        <w:tab/>
        <w:t xml:space="preserve">Data </w:t>
      </w:r>
      <w:r w:rsidR="00667AE6" w:rsidRPr="00F64784">
        <w:t xml:space="preserve">Items Collected </w:t>
      </w:r>
      <w:r w:rsidR="008A716D" w:rsidRPr="00F64784">
        <w:t xml:space="preserve">during </w:t>
      </w:r>
      <w:r w:rsidR="00B820E5">
        <w:t>MEPS MPC</w:t>
      </w:r>
      <w:r w:rsidR="008A716D" w:rsidRPr="00F64784">
        <w:t xml:space="preserve"> SBD </w:t>
      </w:r>
      <w:r w:rsidR="00667AE6" w:rsidRPr="00F64784">
        <w:t>Data Collection</w:t>
      </w:r>
      <w:bookmarkEnd w:id="48"/>
      <w:bookmarkEnd w:id="5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42"/>
        <w:gridCol w:w="1084"/>
      </w:tblGrid>
      <w:tr w:rsidR="008A716D" w:rsidRPr="009816DB" w14:paraId="539D4085" w14:textId="77777777" w:rsidTr="0073513C">
        <w:trPr>
          <w:trHeight w:val="350"/>
        </w:trPr>
        <w:tc>
          <w:tcPr>
            <w:tcW w:w="8460" w:type="dxa"/>
            <w:shd w:val="clear" w:color="auto" w:fill="CCCCCC"/>
            <w:vAlign w:val="bottom"/>
          </w:tcPr>
          <w:p w14:paraId="4B738A42" w14:textId="77777777" w:rsidR="008A716D" w:rsidRPr="009816DB" w:rsidRDefault="008A716D" w:rsidP="0073513C">
            <w:pPr>
              <w:pStyle w:val="TableHeading"/>
            </w:pPr>
            <w:r w:rsidRPr="009816DB">
              <w:t>Data Item</w:t>
            </w:r>
          </w:p>
        </w:tc>
        <w:tc>
          <w:tcPr>
            <w:tcW w:w="1037" w:type="dxa"/>
            <w:shd w:val="clear" w:color="auto" w:fill="CCCCCC"/>
            <w:tcMar>
              <w:left w:w="29" w:type="dxa"/>
              <w:right w:w="29" w:type="dxa"/>
            </w:tcMar>
            <w:vAlign w:val="bottom"/>
          </w:tcPr>
          <w:p w14:paraId="2A8BE357" w14:textId="77777777" w:rsidR="008A716D" w:rsidRPr="009816DB" w:rsidRDefault="008A716D" w:rsidP="0073513C">
            <w:pPr>
              <w:pStyle w:val="TableHeading"/>
            </w:pPr>
            <w:r w:rsidRPr="009816DB">
              <w:t>SBDs</w:t>
            </w:r>
          </w:p>
        </w:tc>
      </w:tr>
      <w:tr w:rsidR="008A716D" w:rsidRPr="009816DB" w14:paraId="55BAA9AB" w14:textId="77777777" w:rsidTr="0073513C">
        <w:trPr>
          <w:trHeight w:val="285"/>
        </w:trPr>
        <w:tc>
          <w:tcPr>
            <w:tcW w:w="8460" w:type="dxa"/>
            <w:vAlign w:val="center"/>
          </w:tcPr>
          <w:p w14:paraId="52C105D5" w14:textId="77777777" w:rsidR="008A716D" w:rsidRPr="009816DB" w:rsidRDefault="008A716D" w:rsidP="00667AE6">
            <w:pPr>
              <w:pStyle w:val="TableText"/>
            </w:pPr>
            <w:r w:rsidRPr="009816DB">
              <w:t>Dates of services</w:t>
            </w:r>
          </w:p>
        </w:tc>
        <w:tc>
          <w:tcPr>
            <w:tcW w:w="1037" w:type="dxa"/>
            <w:vAlign w:val="center"/>
          </w:tcPr>
          <w:p w14:paraId="52099C36" w14:textId="77777777" w:rsidR="008A716D" w:rsidRPr="009816DB" w:rsidRDefault="008A716D" w:rsidP="0073513C">
            <w:pPr>
              <w:jc w:val="center"/>
            </w:pPr>
            <w:r w:rsidRPr="009816DB">
              <w:rPr>
                <w:rFonts w:ascii="Wingdings" w:hAnsi="Wingdings"/>
              </w:rPr>
              <w:t></w:t>
            </w:r>
            <w:r w:rsidRPr="009816DB">
              <w:rPr>
                <w:rFonts w:ascii="Arial" w:hAnsi="Arial" w:cs="Arial"/>
                <w:vertAlign w:val="superscript"/>
              </w:rPr>
              <w:t>1</w:t>
            </w:r>
          </w:p>
        </w:tc>
      </w:tr>
      <w:tr w:rsidR="008A716D" w:rsidRPr="009816DB" w14:paraId="2ADBC7F0" w14:textId="77777777" w:rsidTr="0073513C">
        <w:trPr>
          <w:trHeight w:val="285"/>
        </w:trPr>
        <w:tc>
          <w:tcPr>
            <w:tcW w:w="8460" w:type="dxa"/>
            <w:vAlign w:val="center"/>
          </w:tcPr>
          <w:p w14:paraId="750BEE18" w14:textId="77777777" w:rsidR="008A716D" w:rsidRPr="009816DB" w:rsidRDefault="008A716D" w:rsidP="00667AE6">
            <w:pPr>
              <w:pStyle w:val="TableText"/>
            </w:pPr>
            <w:r w:rsidRPr="009816DB">
              <w:t>Setting of care</w:t>
            </w:r>
          </w:p>
        </w:tc>
        <w:tc>
          <w:tcPr>
            <w:tcW w:w="1037" w:type="dxa"/>
            <w:vAlign w:val="center"/>
          </w:tcPr>
          <w:p w14:paraId="65B9FAEA" w14:textId="77777777" w:rsidR="008A716D" w:rsidRPr="009816DB" w:rsidRDefault="008A716D" w:rsidP="0073513C">
            <w:pPr>
              <w:jc w:val="center"/>
            </w:pPr>
            <w:r w:rsidRPr="009816DB">
              <w:rPr>
                <w:rFonts w:ascii="Wingdings" w:hAnsi="Wingdings"/>
              </w:rPr>
              <w:t></w:t>
            </w:r>
            <w:r w:rsidRPr="009816DB">
              <w:rPr>
                <w:rFonts w:ascii="Arial" w:hAnsi="Arial" w:cs="Arial"/>
                <w:position w:val="6"/>
                <w:vertAlign w:val="superscript"/>
              </w:rPr>
              <w:t>1</w:t>
            </w:r>
          </w:p>
        </w:tc>
      </w:tr>
      <w:tr w:rsidR="008A716D" w:rsidRPr="009816DB" w14:paraId="12FAD1DA" w14:textId="77777777" w:rsidTr="0073513C">
        <w:trPr>
          <w:trHeight w:val="285"/>
        </w:trPr>
        <w:tc>
          <w:tcPr>
            <w:tcW w:w="8460" w:type="dxa"/>
            <w:vAlign w:val="center"/>
          </w:tcPr>
          <w:p w14:paraId="4C920F5D" w14:textId="14ADA4F6" w:rsidR="008A716D" w:rsidRPr="009816DB" w:rsidRDefault="008A716D" w:rsidP="00667AE6">
            <w:pPr>
              <w:pStyle w:val="TableText"/>
              <w:rPr>
                <w:highlight w:val="yellow"/>
              </w:rPr>
            </w:pPr>
            <w:r w:rsidRPr="009816DB">
              <w:t>Medical condition</w:t>
            </w:r>
            <w:r>
              <w:t xml:space="preserve"> </w:t>
            </w:r>
            <w:r w:rsidRPr="009816DB">
              <w:t>(ICD</w:t>
            </w:r>
            <w:r w:rsidR="00D85890">
              <w:rPr>
                <w:lang w:val="en-US"/>
              </w:rPr>
              <w:t>10</w:t>
            </w:r>
            <w:r w:rsidRPr="009816DB">
              <w:t xml:space="preserve"> or DSM-V code)</w:t>
            </w:r>
          </w:p>
        </w:tc>
        <w:tc>
          <w:tcPr>
            <w:tcW w:w="1037" w:type="dxa"/>
            <w:vAlign w:val="center"/>
          </w:tcPr>
          <w:p w14:paraId="1A644013" w14:textId="77777777" w:rsidR="008A716D" w:rsidRPr="009816DB" w:rsidRDefault="008A716D" w:rsidP="0073513C">
            <w:pPr>
              <w:jc w:val="center"/>
              <w:rPr>
                <w:highlight w:val="yellow"/>
              </w:rPr>
            </w:pPr>
          </w:p>
        </w:tc>
      </w:tr>
      <w:tr w:rsidR="008A716D" w:rsidRPr="009816DB" w14:paraId="1574E04D" w14:textId="77777777" w:rsidTr="0073513C">
        <w:trPr>
          <w:trHeight w:val="285"/>
        </w:trPr>
        <w:tc>
          <w:tcPr>
            <w:tcW w:w="8460" w:type="dxa"/>
            <w:vAlign w:val="center"/>
          </w:tcPr>
          <w:p w14:paraId="3B514D78" w14:textId="77777777" w:rsidR="008A716D" w:rsidRPr="009816DB" w:rsidRDefault="008A716D" w:rsidP="00667AE6">
            <w:pPr>
              <w:pStyle w:val="TableText"/>
            </w:pPr>
            <w:r w:rsidRPr="009816DB">
              <w:t>Type of personnel seen</w:t>
            </w:r>
          </w:p>
        </w:tc>
        <w:tc>
          <w:tcPr>
            <w:tcW w:w="1037" w:type="dxa"/>
            <w:vAlign w:val="center"/>
          </w:tcPr>
          <w:p w14:paraId="3915D40E" w14:textId="77777777" w:rsidR="008A716D" w:rsidRPr="009816DB" w:rsidRDefault="008A716D" w:rsidP="0073513C">
            <w:pPr>
              <w:jc w:val="center"/>
              <w:rPr>
                <w:highlight w:val="yellow"/>
              </w:rPr>
            </w:pPr>
          </w:p>
        </w:tc>
      </w:tr>
      <w:tr w:rsidR="008A716D" w:rsidRPr="009816DB" w14:paraId="5FAF98FE" w14:textId="77777777" w:rsidTr="0073513C">
        <w:trPr>
          <w:trHeight w:val="285"/>
        </w:trPr>
        <w:tc>
          <w:tcPr>
            <w:tcW w:w="8460" w:type="dxa"/>
            <w:vAlign w:val="center"/>
          </w:tcPr>
          <w:p w14:paraId="3FCD9AD4" w14:textId="77777777" w:rsidR="008A716D" w:rsidRPr="009816DB" w:rsidRDefault="008A716D" w:rsidP="00667AE6">
            <w:pPr>
              <w:pStyle w:val="TableText"/>
            </w:pPr>
            <w:r w:rsidRPr="009816DB">
              <w:t>Type of prescribed medicine (NDC)</w:t>
            </w:r>
          </w:p>
        </w:tc>
        <w:tc>
          <w:tcPr>
            <w:tcW w:w="1037" w:type="dxa"/>
            <w:vAlign w:val="center"/>
          </w:tcPr>
          <w:p w14:paraId="4DB97AFA" w14:textId="77777777" w:rsidR="008A716D" w:rsidRPr="009816DB" w:rsidRDefault="008A716D" w:rsidP="0073513C">
            <w:pPr>
              <w:jc w:val="center"/>
              <w:rPr>
                <w:highlight w:val="yellow"/>
              </w:rPr>
            </w:pPr>
          </w:p>
        </w:tc>
      </w:tr>
      <w:tr w:rsidR="008A716D" w:rsidRPr="009816DB" w14:paraId="3F8606BF" w14:textId="77777777" w:rsidTr="0073513C">
        <w:trPr>
          <w:trHeight w:val="285"/>
        </w:trPr>
        <w:tc>
          <w:tcPr>
            <w:tcW w:w="8460" w:type="dxa"/>
            <w:vAlign w:val="center"/>
          </w:tcPr>
          <w:p w14:paraId="6E8D2FBF" w14:textId="77777777" w:rsidR="008A716D" w:rsidRPr="009816DB" w:rsidRDefault="008A716D" w:rsidP="00667AE6">
            <w:pPr>
              <w:pStyle w:val="TableText"/>
            </w:pPr>
            <w:r w:rsidRPr="009816DB">
              <w:t>Amount of medicine dispensed (quantity and dosage/form)</w:t>
            </w:r>
          </w:p>
        </w:tc>
        <w:tc>
          <w:tcPr>
            <w:tcW w:w="1037" w:type="dxa"/>
            <w:vAlign w:val="center"/>
          </w:tcPr>
          <w:p w14:paraId="396DACAC" w14:textId="77777777" w:rsidR="008A716D" w:rsidRPr="009816DB" w:rsidRDefault="008A716D" w:rsidP="0073513C">
            <w:pPr>
              <w:jc w:val="center"/>
              <w:rPr>
                <w:highlight w:val="yellow"/>
              </w:rPr>
            </w:pPr>
          </w:p>
        </w:tc>
      </w:tr>
      <w:tr w:rsidR="008A716D" w:rsidRPr="009816DB" w14:paraId="607B66D3" w14:textId="77777777" w:rsidTr="0073513C">
        <w:trPr>
          <w:trHeight w:val="285"/>
        </w:trPr>
        <w:tc>
          <w:tcPr>
            <w:tcW w:w="8460" w:type="dxa"/>
            <w:vAlign w:val="center"/>
          </w:tcPr>
          <w:p w14:paraId="13BD9313" w14:textId="77777777" w:rsidR="008A716D" w:rsidRPr="009816DB" w:rsidRDefault="008A716D" w:rsidP="00667AE6">
            <w:pPr>
              <w:pStyle w:val="TableText"/>
              <w:rPr>
                <w:highlight w:val="yellow"/>
              </w:rPr>
            </w:pPr>
            <w:r w:rsidRPr="009816DB">
              <w:t>Procedures/services provided (CPT4, DRG, revenue codes)</w:t>
            </w:r>
          </w:p>
        </w:tc>
        <w:tc>
          <w:tcPr>
            <w:tcW w:w="1037" w:type="dxa"/>
            <w:vAlign w:val="center"/>
          </w:tcPr>
          <w:p w14:paraId="6ABFF087" w14:textId="77777777" w:rsidR="008A716D" w:rsidRPr="009816DB" w:rsidRDefault="008A716D" w:rsidP="0073513C">
            <w:pPr>
              <w:jc w:val="center"/>
            </w:pPr>
            <w:r w:rsidRPr="009816DB">
              <w:rPr>
                <w:rFonts w:ascii="Wingdings" w:hAnsi="Wingdings"/>
              </w:rPr>
              <w:t></w:t>
            </w:r>
          </w:p>
        </w:tc>
      </w:tr>
      <w:tr w:rsidR="008A716D" w:rsidRPr="009816DB" w14:paraId="3AB61005" w14:textId="77777777" w:rsidTr="0073513C">
        <w:trPr>
          <w:trHeight w:val="285"/>
        </w:trPr>
        <w:tc>
          <w:tcPr>
            <w:tcW w:w="8460" w:type="dxa"/>
            <w:vAlign w:val="center"/>
          </w:tcPr>
          <w:p w14:paraId="79248930" w14:textId="77777777" w:rsidR="008A716D" w:rsidRPr="009816DB" w:rsidRDefault="008A716D" w:rsidP="00667AE6">
            <w:pPr>
              <w:pStyle w:val="TableText"/>
            </w:pPr>
            <w:r w:rsidRPr="009816DB">
              <w:t>Full established charge by service</w:t>
            </w:r>
          </w:p>
        </w:tc>
        <w:tc>
          <w:tcPr>
            <w:tcW w:w="1037" w:type="dxa"/>
            <w:vAlign w:val="center"/>
          </w:tcPr>
          <w:p w14:paraId="09AFDCCB" w14:textId="77777777" w:rsidR="008A716D" w:rsidRPr="009816DB" w:rsidRDefault="008A716D" w:rsidP="0073513C">
            <w:pPr>
              <w:jc w:val="center"/>
            </w:pPr>
            <w:r w:rsidRPr="009816DB">
              <w:rPr>
                <w:rFonts w:ascii="Wingdings" w:hAnsi="Wingdings"/>
              </w:rPr>
              <w:t></w:t>
            </w:r>
          </w:p>
        </w:tc>
      </w:tr>
      <w:tr w:rsidR="008A716D" w:rsidRPr="009816DB" w14:paraId="738F08C3" w14:textId="77777777" w:rsidTr="0073513C">
        <w:trPr>
          <w:trHeight w:val="285"/>
        </w:trPr>
        <w:tc>
          <w:tcPr>
            <w:tcW w:w="8460" w:type="dxa"/>
            <w:vAlign w:val="center"/>
          </w:tcPr>
          <w:p w14:paraId="75915319" w14:textId="77777777" w:rsidR="008A716D" w:rsidRPr="009816DB" w:rsidRDefault="008A716D" w:rsidP="00667AE6">
            <w:pPr>
              <w:pStyle w:val="TableText"/>
            </w:pPr>
            <w:r w:rsidRPr="009816DB">
              <w:t>Total charge</w:t>
            </w:r>
          </w:p>
        </w:tc>
        <w:tc>
          <w:tcPr>
            <w:tcW w:w="1037" w:type="dxa"/>
            <w:vAlign w:val="center"/>
          </w:tcPr>
          <w:p w14:paraId="632DEAA1" w14:textId="77777777" w:rsidR="008A716D" w:rsidRPr="009816DB" w:rsidRDefault="008A716D" w:rsidP="0073513C">
            <w:pPr>
              <w:jc w:val="center"/>
            </w:pPr>
            <w:r w:rsidRPr="009816DB">
              <w:rPr>
                <w:rFonts w:ascii="Wingdings" w:hAnsi="Wingdings"/>
              </w:rPr>
              <w:t></w:t>
            </w:r>
          </w:p>
        </w:tc>
      </w:tr>
      <w:tr w:rsidR="008A716D" w:rsidRPr="009816DB" w14:paraId="59D1CAE6" w14:textId="77777777" w:rsidTr="0073513C">
        <w:trPr>
          <w:trHeight w:val="285"/>
        </w:trPr>
        <w:tc>
          <w:tcPr>
            <w:tcW w:w="8460" w:type="dxa"/>
            <w:vAlign w:val="center"/>
          </w:tcPr>
          <w:p w14:paraId="51501EB8" w14:textId="77777777" w:rsidR="008A716D" w:rsidRPr="009816DB" w:rsidRDefault="008A716D" w:rsidP="00667AE6">
            <w:pPr>
              <w:pStyle w:val="TableText"/>
            </w:pPr>
            <w:r w:rsidRPr="009816DB">
              <w:t>Payment amount by source of payment (if capitation, copayment amount and payer sources)</w:t>
            </w:r>
          </w:p>
        </w:tc>
        <w:tc>
          <w:tcPr>
            <w:tcW w:w="1037" w:type="dxa"/>
            <w:vAlign w:val="center"/>
          </w:tcPr>
          <w:p w14:paraId="09B758AE" w14:textId="77777777" w:rsidR="008A716D" w:rsidRPr="009816DB" w:rsidRDefault="008A716D" w:rsidP="0073513C">
            <w:pPr>
              <w:jc w:val="center"/>
            </w:pPr>
            <w:r w:rsidRPr="009816DB">
              <w:rPr>
                <w:rFonts w:ascii="Wingdings" w:hAnsi="Wingdings"/>
              </w:rPr>
              <w:t></w:t>
            </w:r>
          </w:p>
        </w:tc>
      </w:tr>
      <w:tr w:rsidR="008A716D" w:rsidRPr="009816DB" w14:paraId="78E68616" w14:textId="77777777" w:rsidTr="0073513C">
        <w:trPr>
          <w:trHeight w:val="285"/>
        </w:trPr>
        <w:tc>
          <w:tcPr>
            <w:tcW w:w="8460" w:type="dxa"/>
            <w:vAlign w:val="center"/>
          </w:tcPr>
          <w:p w14:paraId="6061C287" w14:textId="77777777" w:rsidR="008A716D" w:rsidRPr="009816DB" w:rsidRDefault="008A716D" w:rsidP="00667AE6">
            <w:pPr>
              <w:pStyle w:val="TableText"/>
              <w:rPr>
                <w:highlight w:val="yellow"/>
              </w:rPr>
            </w:pPr>
            <w:r w:rsidRPr="009816DB">
              <w:t>Total payment</w:t>
            </w:r>
          </w:p>
        </w:tc>
        <w:tc>
          <w:tcPr>
            <w:tcW w:w="1037" w:type="dxa"/>
            <w:vAlign w:val="center"/>
          </w:tcPr>
          <w:p w14:paraId="2170A13E" w14:textId="77777777" w:rsidR="008A716D" w:rsidRPr="009816DB" w:rsidRDefault="008A716D" w:rsidP="0073513C">
            <w:pPr>
              <w:jc w:val="center"/>
            </w:pPr>
            <w:r w:rsidRPr="009816DB">
              <w:rPr>
                <w:rFonts w:ascii="Wingdings" w:hAnsi="Wingdings"/>
              </w:rPr>
              <w:t></w:t>
            </w:r>
          </w:p>
        </w:tc>
      </w:tr>
      <w:tr w:rsidR="008A716D" w:rsidRPr="009816DB" w14:paraId="0BE9C05B" w14:textId="77777777" w:rsidTr="0073513C">
        <w:trPr>
          <w:trHeight w:val="285"/>
        </w:trPr>
        <w:tc>
          <w:tcPr>
            <w:tcW w:w="8460" w:type="dxa"/>
            <w:vAlign w:val="center"/>
          </w:tcPr>
          <w:p w14:paraId="3EB2ED88" w14:textId="77777777" w:rsidR="008A716D" w:rsidRPr="009816DB" w:rsidRDefault="008A716D" w:rsidP="00667AE6">
            <w:pPr>
              <w:pStyle w:val="TableText"/>
              <w:rPr>
                <w:highlight w:val="yellow"/>
              </w:rPr>
            </w:pPr>
            <w:r w:rsidRPr="009816DB">
              <w:t>Reason(s) for any discrepancy between total charge and total payment</w:t>
            </w:r>
          </w:p>
        </w:tc>
        <w:tc>
          <w:tcPr>
            <w:tcW w:w="1037" w:type="dxa"/>
            <w:vAlign w:val="center"/>
          </w:tcPr>
          <w:p w14:paraId="714F57D7" w14:textId="77777777" w:rsidR="008A716D" w:rsidRPr="009816DB" w:rsidRDefault="008A716D" w:rsidP="0073513C">
            <w:pPr>
              <w:jc w:val="center"/>
            </w:pPr>
            <w:r w:rsidRPr="009816DB">
              <w:rPr>
                <w:rFonts w:ascii="Wingdings" w:hAnsi="Wingdings"/>
              </w:rPr>
              <w:t></w:t>
            </w:r>
          </w:p>
        </w:tc>
      </w:tr>
      <w:tr w:rsidR="008A716D" w:rsidRPr="009816DB" w14:paraId="3712A4A0" w14:textId="77777777" w:rsidTr="0073513C">
        <w:trPr>
          <w:trHeight w:val="285"/>
        </w:trPr>
        <w:tc>
          <w:tcPr>
            <w:tcW w:w="8460" w:type="dxa"/>
            <w:vAlign w:val="center"/>
          </w:tcPr>
          <w:p w14:paraId="2185103E" w14:textId="77777777" w:rsidR="008A716D" w:rsidRPr="009816DB" w:rsidRDefault="008A716D" w:rsidP="00667AE6">
            <w:pPr>
              <w:pStyle w:val="TableText"/>
              <w:rPr>
                <w:highlight w:val="yellow"/>
              </w:rPr>
            </w:pPr>
            <w:r w:rsidRPr="009816DB">
              <w:t>Identification of SBDs</w:t>
            </w:r>
          </w:p>
        </w:tc>
        <w:tc>
          <w:tcPr>
            <w:tcW w:w="1037" w:type="dxa"/>
            <w:vAlign w:val="center"/>
          </w:tcPr>
          <w:p w14:paraId="08CCE24F" w14:textId="77777777" w:rsidR="008A716D" w:rsidRPr="009816DB" w:rsidRDefault="008A716D" w:rsidP="0073513C">
            <w:pPr>
              <w:jc w:val="center"/>
              <w:rPr>
                <w:highlight w:val="yellow"/>
              </w:rPr>
            </w:pPr>
          </w:p>
        </w:tc>
      </w:tr>
      <w:tr w:rsidR="008A716D" w:rsidRPr="009816DB" w14:paraId="7AAE79B1" w14:textId="77777777" w:rsidTr="0073513C">
        <w:trPr>
          <w:trHeight w:val="285"/>
        </w:trPr>
        <w:tc>
          <w:tcPr>
            <w:tcW w:w="8460" w:type="dxa"/>
            <w:vAlign w:val="center"/>
          </w:tcPr>
          <w:p w14:paraId="6142633E" w14:textId="77777777" w:rsidR="008A716D" w:rsidRPr="009816DB" w:rsidRDefault="008A716D" w:rsidP="00667AE6">
            <w:pPr>
              <w:pStyle w:val="TableText"/>
              <w:rPr>
                <w:highlight w:val="yellow"/>
              </w:rPr>
            </w:pPr>
            <w:r w:rsidRPr="009816DB">
              <w:t>Comparison of total number of MPC-reported events vs. total number of HC-reported events and explanation if discrepancy cannot be resolved</w:t>
            </w:r>
          </w:p>
        </w:tc>
        <w:tc>
          <w:tcPr>
            <w:tcW w:w="1037" w:type="dxa"/>
            <w:vAlign w:val="center"/>
          </w:tcPr>
          <w:p w14:paraId="4AE6288D" w14:textId="77777777" w:rsidR="008A716D" w:rsidRPr="009816DB" w:rsidRDefault="008A716D" w:rsidP="0073513C">
            <w:pPr>
              <w:jc w:val="center"/>
            </w:pPr>
            <w:r w:rsidRPr="009816DB">
              <w:rPr>
                <w:rFonts w:ascii="Wingdings" w:hAnsi="Wingdings"/>
              </w:rPr>
              <w:t></w:t>
            </w:r>
            <w:r w:rsidRPr="009816DB">
              <w:rPr>
                <w:rFonts w:ascii="Arial" w:hAnsi="Arial" w:cs="Arial"/>
                <w:position w:val="6"/>
                <w:vertAlign w:val="superscript"/>
              </w:rPr>
              <w:t>2</w:t>
            </w:r>
          </w:p>
        </w:tc>
      </w:tr>
    </w:tbl>
    <w:p w14:paraId="127F7EA7" w14:textId="77777777" w:rsidR="008A716D" w:rsidRPr="009816DB" w:rsidRDefault="008A716D" w:rsidP="00667AE6">
      <w:pPr>
        <w:pStyle w:val="ExhibitFootnote"/>
      </w:pPr>
      <w:r w:rsidRPr="009816DB">
        <w:rPr>
          <w:vertAlign w:val="superscript"/>
        </w:rPr>
        <w:t>1</w:t>
      </w:r>
      <w:r w:rsidRPr="009816DB">
        <w:tab/>
        <w:t>These items are obtained from the hospital or institution and are used to identify the specific events about which the SBD is to report.</w:t>
      </w:r>
    </w:p>
    <w:p w14:paraId="402A902E" w14:textId="77777777" w:rsidR="008A716D" w:rsidRPr="009816DB" w:rsidRDefault="008A716D" w:rsidP="00667AE6">
      <w:pPr>
        <w:pStyle w:val="ExhibitFootnote"/>
        <w:rPr>
          <w:sz w:val="20"/>
        </w:rPr>
      </w:pPr>
      <w:r w:rsidRPr="009816DB">
        <w:rPr>
          <w:vertAlign w:val="superscript"/>
        </w:rPr>
        <w:t>2</w:t>
      </w:r>
      <w:r w:rsidRPr="009816DB">
        <w:tab/>
        <w:t>For SBDs, each event reported by the hospital or institution is accounted for.</w:t>
      </w:r>
    </w:p>
    <w:p w14:paraId="3BEA0170" w14:textId="77777777" w:rsidR="008A716D" w:rsidRPr="009816DB" w:rsidRDefault="008A716D" w:rsidP="0073513C">
      <w:pPr>
        <w:pStyle w:val="Heading1"/>
      </w:pPr>
      <w:bookmarkStart w:id="51" w:name="_Toc222104741"/>
      <w:bookmarkStart w:id="52" w:name="_Toc222106708"/>
      <w:bookmarkStart w:id="53" w:name="_Toc326235175"/>
      <w:bookmarkStart w:id="54" w:name="_Toc188880710"/>
      <w:bookmarkEnd w:id="51"/>
      <w:bookmarkEnd w:id="52"/>
      <w:r>
        <w:lastRenderedPageBreak/>
        <w:t>Staffing</w:t>
      </w:r>
      <w:r w:rsidRPr="009816DB">
        <w:t xml:space="preserve"> and Training</w:t>
      </w:r>
      <w:bookmarkEnd w:id="53"/>
      <w:bookmarkEnd w:id="54"/>
    </w:p>
    <w:p w14:paraId="1B45FF87" w14:textId="19D7B2EF" w:rsidR="008A716D" w:rsidRDefault="008A716D" w:rsidP="00693FD0">
      <w:pPr>
        <w:pStyle w:val="BodyText"/>
      </w:pPr>
      <w:r>
        <w:t>Staffing</w:t>
      </w:r>
      <w:r w:rsidRPr="009816DB">
        <w:t xml:space="preserve"> and training plans </w:t>
      </w:r>
      <w:r>
        <w:t xml:space="preserve">have been </w:t>
      </w:r>
      <w:r w:rsidRPr="009816DB">
        <w:t xml:space="preserve">designed to ensure that data collection specialists (DCS) and abstractors </w:t>
      </w:r>
      <w:r w:rsidR="00E112AF">
        <w:rPr>
          <w:lang w:val="en-US"/>
        </w:rPr>
        <w:t xml:space="preserve">(ABS) </w:t>
      </w:r>
      <w:r w:rsidRPr="009816DB">
        <w:t>meet the workload needed for the study.</w:t>
      </w:r>
    </w:p>
    <w:p w14:paraId="6768AFB6" w14:textId="77777777" w:rsidR="008A716D" w:rsidRDefault="008A716D" w:rsidP="003C2B28">
      <w:pPr>
        <w:pStyle w:val="Heading2"/>
        <w:rPr>
          <w:lang w:val="en-US"/>
        </w:rPr>
      </w:pPr>
      <w:bookmarkStart w:id="55" w:name="_Toc326235176"/>
      <w:bookmarkStart w:id="56" w:name="_Toc188880711"/>
      <w:r>
        <w:t>Staffing</w:t>
      </w:r>
      <w:bookmarkEnd w:id="55"/>
      <w:bookmarkEnd w:id="56"/>
    </w:p>
    <w:p w14:paraId="3629D8DF" w14:textId="2F905851" w:rsidR="008A716D" w:rsidRDefault="000B4E17" w:rsidP="00063C9E">
      <w:pPr>
        <w:pStyle w:val="BodyText"/>
      </w:pPr>
      <w:r>
        <w:rPr>
          <w:lang w:val="en-US"/>
        </w:rPr>
        <w:t xml:space="preserve">The team of </w:t>
      </w:r>
      <w:r w:rsidR="008A716D">
        <w:t>SBD DCS</w:t>
      </w:r>
      <w:r w:rsidR="009E70A3">
        <w:rPr>
          <w:lang w:val="en-US"/>
        </w:rPr>
        <w:t>s</w:t>
      </w:r>
      <w:r>
        <w:rPr>
          <w:lang w:val="en-US"/>
        </w:rPr>
        <w:t xml:space="preserve"> and </w:t>
      </w:r>
      <w:r w:rsidR="008A716D">
        <w:t>ABS</w:t>
      </w:r>
      <w:r w:rsidR="009E70A3">
        <w:rPr>
          <w:lang w:val="en-US"/>
        </w:rPr>
        <w:t>s</w:t>
      </w:r>
      <w:r w:rsidR="008A716D">
        <w:t xml:space="preserve"> will include a mixture of veterans from the </w:t>
      </w:r>
      <w:r w:rsidR="00F8039E">
        <w:rPr>
          <w:lang w:val="en-US"/>
        </w:rPr>
        <w:t>2022</w:t>
      </w:r>
      <w:r w:rsidR="00F8039E">
        <w:t xml:space="preserve"> </w:t>
      </w:r>
      <w:r w:rsidR="008A716D">
        <w:t>SBD data collection,</w:t>
      </w:r>
      <w:r w:rsidR="00B936E7">
        <w:rPr>
          <w:lang w:val="en-US"/>
        </w:rPr>
        <w:t xml:space="preserve"> and</w:t>
      </w:r>
      <w:r w:rsidR="008A716D">
        <w:t xml:space="preserve"> staff who were hired earlier in the </w:t>
      </w:r>
      <w:r w:rsidR="00F8039E">
        <w:t>20</w:t>
      </w:r>
      <w:r w:rsidR="00F8039E">
        <w:rPr>
          <w:lang w:val="en-US"/>
        </w:rPr>
        <w:t>23</w:t>
      </w:r>
      <w:r w:rsidR="00F8039E">
        <w:t xml:space="preserve"> </w:t>
      </w:r>
      <w:r w:rsidR="008A716D">
        <w:t>data collection cycle and have been working other provider types</w:t>
      </w:r>
      <w:r w:rsidR="00B936E7">
        <w:rPr>
          <w:lang w:val="en-US"/>
        </w:rPr>
        <w:t>.</w:t>
      </w:r>
      <w:r w:rsidR="0073513C" w:rsidRPr="00C1084C">
        <w:t xml:space="preserve"> </w:t>
      </w:r>
    </w:p>
    <w:p w14:paraId="7E71B13C" w14:textId="0BBD4B82" w:rsidR="008A716D" w:rsidRDefault="00233BE6" w:rsidP="00063C9E">
      <w:pPr>
        <w:pStyle w:val="BodyText"/>
        <w:rPr>
          <w:lang w:val="en-US"/>
        </w:rPr>
      </w:pPr>
      <w:r w:rsidRPr="00E476FF">
        <w:rPr>
          <w:lang w:val="en-US"/>
        </w:rPr>
        <w:t>N</w:t>
      </w:r>
      <w:proofErr w:type="spellStart"/>
      <w:r w:rsidR="008A716D" w:rsidRPr="00E476FF">
        <w:t>egotiator</w:t>
      </w:r>
      <w:r w:rsidRPr="00E476FF">
        <w:rPr>
          <w:lang w:val="en-US"/>
        </w:rPr>
        <w:t>s</w:t>
      </w:r>
      <w:proofErr w:type="spellEnd"/>
      <w:r w:rsidR="009948A3" w:rsidRPr="00E476FF">
        <w:rPr>
          <w:lang w:val="en-US"/>
        </w:rPr>
        <w:t>, along with a couple of additional experienced staff,</w:t>
      </w:r>
      <w:r w:rsidR="007321E1" w:rsidRPr="00E476FF">
        <w:rPr>
          <w:lang w:val="en-US"/>
        </w:rPr>
        <w:t xml:space="preserve"> </w:t>
      </w:r>
      <w:r w:rsidR="008A716D" w:rsidRPr="00E476FF">
        <w:t xml:space="preserve">will begin work on contacting </w:t>
      </w:r>
      <w:r w:rsidRPr="00E476FF">
        <w:rPr>
          <w:lang w:val="en-US"/>
        </w:rPr>
        <w:t xml:space="preserve">groups of </w:t>
      </w:r>
      <w:r w:rsidR="00910A59" w:rsidRPr="00E476FF">
        <w:rPr>
          <w:lang w:val="en-US"/>
        </w:rPr>
        <w:t>L</w:t>
      </w:r>
      <w:proofErr w:type="spellStart"/>
      <w:r w:rsidR="008A716D" w:rsidRPr="00E476FF">
        <w:t>arge</w:t>
      </w:r>
      <w:proofErr w:type="spellEnd"/>
      <w:r w:rsidR="008A716D" w:rsidRPr="00E476FF">
        <w:t xml:space="preserve"> </w:t>
      </w:r>
      <w:r w:rsidR="00910A59" w:rsidRPr="00E476FF">
        <w:rPr>
          <w:lang w:val="en-US"/>
        </w:rPr>
        <w:t>P</w:t>
      </w:r>
      <w:r w:rsidRPr="00E476FF">
        <w:rPr>
          <w:lang w:val="en-US"/>
        </w:rPr>
        <w:t xml:space="preserve">rovider </w:t>
      </w:r>
      <w:r w:rsidR="008A716D" w:rsidRPr="00E476FF">
        <w:t xml:space="preserve">SBDs in </w:t>
      </w:r>
      <w:r w:rsidR="00E44CEC" w:rsidRPr="00E476FF">
        <w:rPr>
          <w:lang w:val="en-US"/>
        </w:rPr>
        <w:t>mid</w:t>
      </w:r>
      <w:r w:rsidR="00877FF8" w:rsidRPr="00E476FF">
        <w:rPr>
          <w:lang w:val="en-US"/>
        </w:rPr>
        <w:t>-</w:t>
      </w:r>
      <w:r w:rsidR="00BC59CF" w:rsidRPr="00E476FF">
        <w:rPr>
          <w:lang w:val="en-US"/>
        </w:rPr>
        <w:t>August</w:t>
      </w:r>
      <w:r w:rsidR="008A716D" w:rsidRPr="00E476FF">
        <w:t>, while continuing to finalize non-SBD assignments.</w:t>
      </w:r>
      <w:r w:rsidR="0073513C" w:rsidRPr="00E476FF">
        <w:t xml:space="preserve"> </w:t>
      </w:r>
      <w:r w:rsidR="008A716D" w:rsidRPr="00E476FF">
        <w:t>Other staff will transition to SBD</w:t>
      </w:r>
      <w:r w:rsidR="002E57E5" w:rsidRPr="00E476FF">
        <w:rPr>
          <w:lang w:val="en-US"/>
        </w:rPr>
        <w:t xml:space="preserve"> data collection</w:t>
      </w:r>
      <w:r w:rsidR="008A716D" w:rsidRPr="00E476FF">
        <w:t xml:space="preserve"> in </w:t>
      </w:r>
      <w:r w:rsidR="00B936E7" w:rsidRPr="00E476FF">
        <w:rPr>
          <w:lang w:val="en-US"/>
        </w:rPr>
        <w:t>October</w:t>
      </w:r>
      <w:r w:rsidR="00B936E7" w:rsidRPr="00E476FF">
        <w:t xml:space="preserve"> </w:t>
      </w:r>
      <w:r w:rsidR="008A716D" w:rsidRPr="00E476FF">
        <w:t>as non-SBD caseload</w:t>
      </w:r>
      <w:r w:rsidRPr="00E476FF">
        <w:rPr>
          <w:lang w:val="en-US"/>
        </w:rPr>
        <w:t>s</w:t>
      </w:r>
      <w:r w:rsidR="008A716D" w:rsidRPr="00E476FF">
        <w:t xml:space="preserve"> diminish, and all staff will fully transition to SBD by the </w:t>
      </w:r>
      <w:r w:rsidR="004F5A0F" w:rsidRPr="00E476FF">
        <w:rPr>
          <w:lang w:val="en-US"/>
        </w:rPr>
        <w:t xml:space="preserve">third </w:t>
      </w:r>
      <w:r w:rsidR="005F5050" w:rsidRPr="00E476FF">
        <w:rPr>
          <w:lang w:val="en-US"/>
        </w:rPr>
        <w:t xml:space="preserve">full </w:t>
      </w:r>
      <w:r w:rsidR="008501F9" w:rsidRPr="00E476FF">
        <w:rPr>
          <w:lang w:val="en-US"/>
        </w:rPr>
        <w:t>week of October</w:t>
      </w:r>
      <w:r w:rsidR="008A716D" w:rsidRPr="00E476FF">
        <w:t>.</w:t>
      </w:r>
      <w:r w:rsidR="0073513C" w:rsidRPr="00E476FF">
        <w:t xml:space="preserve"> </w:t>
      </w:r>
      <w:r w:rsidR="008A716D" w:rsidRPr="00E476FF">
        <w:t>Negotiators and other data collectors working a mixed caseload of SBD and other provider types will be instructed to prioritize the other provider types, as necessary.</w:t>
      </w:r>
      <w:r w:rsidR="00E476FF" w:rsidRPr="00E476FF">
        <w:rPr>
          <w:szCs w:val="24"/>
        </w:rPr>
        <w:t xml:space="preserve"> When possible, the MEPS</w:t>
      </w:r>
      <w:r w:rsidR="001F58B0">
        <w:rPr>
          <w:szCs w:val="24"/>
          <w:lang w:val="en-US"/>
        </w:rPr>
        <w:t xml:space="preserve"> </w:t>
      </w:r>
      <w:r w:rsidR="00E476FF" w:rsidRPr="00E476FF">
        <w:rPr>
          <w:szCs w:val="24"/>
        </w:rPr>
        <w:t>MPC team will look for flexibility within the cycle to move a subset of staff to SBD earlier, if non-SBD progress has been sufficient to do so.</w:t>
      </w:r>
    </w:p>
    <w:p w14:paraId="7992A90F" w14:textId="77777777" w:rsidR="008A716D" w:rsidRDefault="008A716D" w:rsidP="003C2B28">
      <w:pPr>
        <w:pStyle w:val="Heading2"/>
        <w:rPr>
          <w:lang w:val="en-US"/>
        </w:rPr>
      </w:pPr>
      <w:bookmarkStart w:id="57" w:name="_Toc326235177"/>
      <w:bookmarkStart w:id="58" w:name="_Toc188880712"/>
      <w:r w:rsidRPr="009816DB">
        <w:t>Training</w:t>
      </w:r>
      <w:bookmarkEnd w:id="57"/>
      <w:bookmarkEnd w:id="58"/>
    </w:p>
    <w:p w14:paraId="45AAB302" w14:textId="467BD74D" w:rsidR="00526F3F" w:rsidRDefault="004F5A0F" w:rsidP="002A3276">
      <w:pPr>
        <w:pStyle w:val="BodyText"/>
        <w:rPr>
          <w:lang w:val="en-US"/>
        </w:rPr>
      </w:pPr>
      <w:r w:rsidRPr="0000718C">
        <w:rPr>
          <w:lang w:val="en-US"/>
        </w:rPr>
        <w:t xml:space="preserve">Following the initial negotiator training in August, </w:t>
      </w:r>
      <w:r w:rsidR="00526F3F" w:rsidRPr="0000718C">
        <w:rPr>
          <w:lang w:val="en-US"/>
        </w:rPr>
        <w:t>staff</w:t>
      </w:r>
      <w:r w:rsidR="00433B37">
        <w:rPr>
          <w:lang w:val="en-US"/>
        </w:rPr>
        <w:t xml:space="preserve"> will transition</w:t>
      </w:r>
      <w:r w:rsidR="00526F3F" w:rsidRPr="0000718C">
        <w:rPr>
          <w:lang w:val="en-US"/>
        </w:rPr>
        <w:t xml:space="preserve"> from </w:t>
      </w:r>
      <w:r w:rsidR="002E57E5" w:rsidRPr="0000718C">
        <w:rPr>
          <w:lang w:val="en-US"/>
        </w:rPr>
        <w:t>H</w:t>
      </w:r>
      <w:r w:rsidR="00526F3F" w:rsidRPr="0000718C">
        <w:rPr>
          <w:lang w:val="en-US"/>
        </w:rPr>
        <w:t>ospital and OBD data collection to a full</w:t>
      </w:r>
      <w:r w:rsidR="00233BE6">
        <w:rPr>
          <w:lang w:val="en-US"/>
        </w:rPr>
        <w:t>-</w:t>
      </w:r>
      <w:r w:rsidR="00526F3F" w:rsidRPr="0000718C">
        <w:rPr>
          <w:lang w:val="en-US"/>
        </w:rPr>
        <w:t xml:space="preserve">time SBD caseload </w:t>
      </w:r>
      <w:r w:rsidRPr="0000718C">
        <w:rPr>
          <w:lang w:val="en-US"/>
        </w:rPr>
        <w:t>over the course of several weeks</w:t>
      </w:r>
      <w:r w:rsidR="00526F3F" w:rsidRPr="0000718C">
        <w:rPr>
          <w:lang w:val="en-US"/>
        </w:rPr>
        <w:t xml:space="preserve">, </w:t>
      </w:r>
      <w:r w:rsidR="00CC1195" w:rsidRPr="0000718C">
        <w:rPr>
          <w:lang w:val="en-US"/>
        </w:rPr>
        <w:t>from the</w:t>
      </w:r>
      <w:r w:rsidR="00526F3F" w:rsidRPr="0000718C">
        <w:rPr>
          <w:lang w:val="en-US"/>
        </w:rPr>
        <w:t xml:space="preserve"> beginning of </w:t>
      </w:r>
      <w:r w:rsidRPr="0000718C">
        <w:rPr>
          <w:lang w:val="en-US"/>
        </w:rPr>
        <w:t xml:space="preserve">October </w:t>
      </w:r>
      <w:r w:rsidR="00FA0C76" w:rsidRPr="0000718C">
        <w:rPr>
          <w:lang w:val="en-US"/>
        </w:rPr>
        <w:t>through</w:t>
      </w:r>
      <w:r w:rsidR="00526F3F" w:rsidRPr="0000718C">
        <w:rPr>
          <w:lang w:val="en-US"/>
        </w:rPr>
        <w:t xml:space="preserve"> the </w:t>
      </w:r>
      <w:r w:rsidR="00A054FD">
        <w:rPr>
          <w:lang w:val="en-US"/>
        </w:rPr>
        <w:t xml:space="preserve">week following the </w:t>
      </w:r>
      <w:r w:rsidR="00526F3F" w:rsidRPr="0000718C">
        <w:rPr>
          <w:lang w:val="en-US"/>
        </w:rPr>
        <w:t xml:space="preserve">end of the non-SBD field period in </w:t>
      </w:r>
      <w:r w:rsidR="00FA0C76" w:rsidRPr="0000718C">
        <w:rPr>
          <w:lang w:val="en-US"/>
        </w:rPr>
        <w:t>mid-</w:t>
      </w:r>
      <w:r w:rsidR="00526F3F" w:rsidRPr="0000718C">
        <w:rPr>
          <w:lang w:val="en-US"/>
        </w:rPr>
        <w:t>October.</w:t>
      </w:r>
      <w:r w:rsidR="00526F3F">
        <w:rPr>
          <w:lang w:val="en-US"/>
        </w:rPr>
        <w:t xml:space="preserve"> </w:t>
      </w:r>
    </w:p>
    <w:p w14:paraId="33F7E2C4" w14:textId="3E12D5DC" w:rsidR="00A54CC0" w:rsidRPr="004F5A0F" w:rsidRDefault="005075CD" w:rsidP="002E57E5">
      <w:pPr>
        <w:pStyle w:val="BodyText"/>
        <w:rPr>
          <w:lang w:val="en-US"/>
        </w:rPr>
      </w:pPr>
      <w:r>
        <w:rPr>
          <w:lang w:val="en-US"/>
        </w:rPr>
        <w:t>V</w:t>
      </w:r>
      <w:r w:rsidR="00A54CC0">
        <w:rPr>
          <w:lang w:val="en-US"/>
        </w:rPr>
        <w:t xml:space="preserve">eteran staff </w:t>
      </w:r>
      <w:r w:rsidR="004F5A0F">
        <w:rPr>
          <w:lang w:val="en-US"/>
        </w:rPr>
        <w:t>attended</w:t>
      </w:r>
      <w:r w:rsidR="00A54CC0">
        <w:rPr>
          <w:lang w:val="en-US"/>
        </w:rPr>
        <w:t xml:space="preserve"> a more comprehensive </w:t>
      </w:r>
      <w:r w:rsidR="008D0BE2">
        <w:rPr>
          <w:lang w:val="en-US"/>
        </w:rPr>
        <w:t xml:space="preserve">SBD </w:t>
      </w:r>
      <w:r w:rsidR="00A54CC0">
        <w:rPr>
          <w:lang w:val="en-US"/>
        </w:rPr>
        <w:t>refresher training</w:t>
      </w:r>
      <w:r w:rsidR="00233BE6">
        <w:rPr>
          <w:lang w:val="en-US"/>
        </w:rPr>
        <w:t xml:space="preserve">: </w:t>
      </w:r>
      <w:r w:rsidR="00A54CC0">
        <w:rPr>
          <w:lang w:val="en-US"/>
        </w:rPr>
        <w:t xml:space="preserve">16 hours </w:t>
      </w:r>
      <w:r w:rsidR="00233BE6">
        <w:rPr>
          <w:lang w:val="en-US"/>
        </w:rPr>
        <w:t>of content on</w:t>
      </w:r>
      <w:r w:rsidR="00A54CC0">
        <w:rPr>
          <w:lang w:val="en-US"/>
        </w:rPr>
        <w:t xml:space="preserve"> topics from the </w:t>
      </w:r>
      <w:r w:rsidR="008D0BE2">
        <w:rPr>
          <w:lang w:val="en-US"/>
        </w:rPr>
        <w:t xml:space="preserve">previous </w:t>
      </w:r>
      <w:r w:rsidR="00A54CC0">
        <w:rPr>
          <w:lang w:val="en-US"/>
        </w:rPr>
        <w:t xml:space="preserve">half-day </w:t>
      </w:r>
      <w:r w:rsidR="008D0BE2">
        <w:rPr>
          <w:lang w:val="en-US"/>
        </w:rPr>
        <w:t xml:space="preserve">training </w:t>
      </w:r>
      <w:r w:rsidR="00A54CC0">
        <w:rPr>
          <w:lang w:val="en-US"/>
        </w:rPr>
        <w:t>model</w:t>
      </w:r>
      <w:r w:rsidR="00233BE6">
        <w:rPr>
          <w:lang w:val="en-US"/>
        </w:rPr>
        <w:t xml:space="preserve"> with a full refresher for</w:t>
      </w:r>
      <w:r w:rsidR="00A54CC0">
        <w:rPr>
          <w:lang w:val="en-US"/>
        </w:rPr>
        <w:t xml:space="preserve"> staff on SBD procedures, given the 8-to-9-month gap between SBD cycles for these staff</w:t>
      </w:r>
      <w:r w:rsidR="00A54CC0">
        <w:t>.</w:t>
      </w:r>
      <w:r w:rsidR="00E45B66">
        <w:rPr>
          <w:lang w:val="en-US"/>
        </w:rPr>
        <w:t xml:space="preserve"> This</w:t>
      </w:r>
      <w:r w:rsidR="004F5A0F">
        <w:rPr>
          <w:lang w:val="en-US"/>
        </w:rPr>
        <w:t xml:space="preserve"> lengthier training </w:t>
      </w:r>
      <w:r w:rsidR="00233BE6">
        <w:rPr>
          <w:lang w:val="en-US"/>
        </w:rPr>
        <w:t xml:space="preserve">has proven </w:t>
      </w:r>
      <w:r w:rsidR="004F5A0F">
        <w:rPr>
          <w:lang w:val="en-US"/>
        </w:rPr>
        <w:t>more successful in bringing veteran staff up to speed</w:t>
      </w:r>
      <w:r w:rsidR="00E45B66">
        <w:rPr>
          <w:lang w:val="en-US"/>
        </w:rPr>
        <w:t xml:space="preserve"> prior to SBD data collection</w:t>
      </w:r>
      <w:r w:rsidR="004F5A0F">
        <w:rPr>
          <w:lang w:val="en-US"/>
        </w:rPr>
        <w:t xml:space="preserve">, and this approach will be used again for the </w:t>
      </w:r>
      <w:r w:rsidR="00F8039E">
        <w:rPr>
          <w:lang w:val="en-US"/>
        </w:rPr>
        <w:t xml:space="preserve">2023 </w:t>
      </w:r>
      <w:r w:rsidR="004F5A0F">
        <w:rPr>
          <w:lang w:val="en-US"/>
        </w:rPr>
        <w:t>cycle.</w:t>
      </w:r>
    </w:p>
    <w:p w14:paraId="40A2227B" w14:textId="3E19CA3F" w:rsidR="008A716D" w:rsidRDefault="008A716D" w:rsidP="002E57E5">
      <w:pPr>
        <w:pStyle w:val="BodyText"/>
        <w:rPr>
          <w:lang w:val="en-US"/>
        </w:rPr>
      </w:pPr>
      <w:r>
        <w:t xml:space="preserve">MPC staff who were hired to work other provider types earlier in the </w:t>
      </w:r>
      <w:r w:rsidR="00F8039E">
        <w:t>20</w:t>
      </w:r>
      <w:r w:rsidR="00F8039E">
        <w:rPr>
          <w:lang w:val="en-US"/>
        </w:rPr>
        <w:t>23</w:t>
      </w:r>
      <w:r w:rsidR="00F8039E">
        <w:t xml:space="preserve"> </w:t>
      </w:r>
      <w:r>
        <w:t xml:space="preserve">cycle will </w:t>
      </w:r>
      <w:r w:rsidR="00A54CC0">
        <w:rPr>
          <w:lang w:val="en-US"/>
        </w:rPr>
        <w:t xml:space="preserve">also </w:t>
      </w:r>
      <w:r>
        <w:t xml:space="preserve">receive </w:t>
      </w:r>
      <w:r w:rsidR="00A54CC0">
        <w:rPr>
          <w:lang w:val="en-US"/>
        </w:rPr>
        <w:t>the</w:t>
      </w:r>
      <w:r>
        <w:t xml:space="preserve"> </w:t>
      </w:r>
      <w:r w:rsidR="00A54CC0">
        <w:rPr>
          <w:lang w:val="en-US"/>
        </w:rPr>
        <w:t>16</w:t>
      </w:r>
      <w:r w:rsidR="00667AE6">
        <w:rPr>
          <w:lang w:val="en-US"/>
        </w:rPr>
        <w:t>-</w:t>
      </w:r>
      <w:r>
        <w:t xml:space="preserve">hour SBD DCS training and may be selected </w:t>
      </w:r>
      <w:r w:rsidR="00E45B66">
        <w:rPr>
          <w:lang w:val="en-US"/>
        </w:rPr>
        <w:t>to attend</w:t>
      </w:r>
      <w:r w:rsidR="00E45B66">
        <w:t xml:space="preserve"> </w:t>
      </w:r>
      <w:r>
        <w:t xml:space="preserve">a </w:t>
      </w:r>
      <w:r w:rsidR="00A054FD">
        <w:rPr>
          <w:lang w:val="en-US"/>
        </w:rPr>
        <w:t>16</w:t>
      </w:r>
      <w:r w:rsidR="00667AE6">
        <w:rPr>
          <w:lang w:val="en-US"/>
        </w:rPr>
        <w:t>-</w:t>
      </w:r>
      <w:r>
        <w:t xml:space="preserve">hour SBD </w:t>
      </w:r>
      <w:r w:rsidR="005D3FFA">
        <w:rPr>
          <w:lang w:val="en-US"/>
        </w:rPr>
        <w:t>abstraction</w:t>
      </w:r>
      <w:r>
        <w:t xml:space="preserve"> training.</w:t>
      </w:r>
      <w:r w:rsidR="0073513C">
        <w:t xml:space="preserve"> </w:t>
      </w:r>
      <w:r w:rsidR="00233BE6">
        <w:rPr>
          <w:lang w:val="en-US"/>
        </w:rPr>
        <w:t>While there are no current plans for</w:t>
      </w:r>
      <w:r w:rsidR="00E45B66">
        <w:rPr>
          <w:lang w:val="en-US"/>
        </w:rPr>
        <w:t xml:space="preserve"> hiring new-to-project staff for SBD in the </w:t>
      </w:r>
      <w:r w:rsidR="00F8039E">
        <w:rPr>
          <w:lang w:val="en-US"/>
        </w:rPr>
        <w:t xml:space="preserve">2023 </w:t>
      </w:r>
      <w:r w:rsidR="00E45B66">
        <w:rPr>
          <w:lang w:val="en-US"/>
        </w:rPr>
        <w:t>cycle, should that be necessary to maintain appropriate staffing levels, those new staff would</w:t>
      </w:r>
      <w:r>
        <w:t xml:space="preserve"> first attend an 8</w:t>
      </w:r>
      <w:r w:rsidR="00667AE6">
        <w:rPr>
          <w:lang w:val="en-US"/>
        </w:rPr>
        <w:t>-</w:t>
      </w:r>
      <w:r>
        <w:t xml:space="preserve">hour basic training prior to attending SBD training. </w:t>
      </w:r>
    </w:p>
    <w:p w14:paraId="1C5B8CE0" w14:textId="42439819" w:rsidR="00046849" w:rsidRPr="00CC3EFB" w:rsidRDefault="00046849" w:rsidP="002076A9">
      <w:pPr>
        <w:pStyle w:val="BodyText"/>
        <w:rPr>
          <w:lang w:val="en-US"/>
        </w:rPr>
      </w:pPr>
      <w:r>
        <w:rPr>
          <w:lang w:val="en-US"/>
        </w:rPr>
        <w:t xml:space="preserve">For the </w:t>
      </w:r>
      <w:r w:rsidR="00F8039E">
        <w:rPr>
          <w:lang w:val="en-US"/>
        </w:rPr>
        <w:t xml:space="preserve">2023 </w:t>
      </w:r>
      <w:r>
        <w:rPr>
          <w:lang w:val="en-US"/>
        </w:rPr>
        <w:t xml:space="preserve">cycle, </w:t>
      </w:r>
      <w:r w:rsidR="00233BE6">
        <w:rPr>
          <w:lang w:val="en-US"/>
        </w:rPr>
        <w:t xml:space="preserve">the </w:t>
      </w:r>
      <w:r>
        <w:rPr>
          <w:lang w:val="en-US"/>
        </w:rPr>
        <w:t xml:space="preserve">SBD training agenda </w:t>
      </w:r>
      <w:r w:rsidR="00233BE6">
        <w:rPr>
          <w:lang w:val="en-US"/>
        </w:rPr>
        <w:t>will be reassessed, including the development of m</w:t>
      </w:r>
      <w:r>
        <w:rPr>
          <w:lang w:val="en-US"/>
        </w:rPr>
        <w:t xml:space="preserve">ocks </w:t>
      </w:r>
      <w:r w:rsidR="00E45B66">
        <w:rPr>
          <w:lang w:val="en-US"/>
        </w:rPr>
        <w:t>to specifically address common</w:t>
      </w:r>
      <w:r w:rsidR="002076A9">
        <w:rPr>
          <w:lang w:val="en-US"/>
        </w:rPr>
        <w:t xml:space="preserve"> performance issues encountered in the </w:t>
      </w:r>
      <w:r w:rsidR="00F8039E">
        <w:rPr>
          <w:lang w:val="en-US"/>
        </w:rPr>
        <w:t>2022</w:t>
      </w:r>
      <w:r w:rsidR="00F8039E" w:rsidRPr="00CC3EFB">
        <w:rPr>
          <w:lang w:val="en-US"/>
        </w:rPr>
        <w:t xml:space="preserve"> </w:t>
      </w:r>
      <w:r w:rsidR="002076A9" w:rsidRPr="00CC3EFB">
        <w:rPr>
          <w:lang w:val="en-US"/>
        </w:rPr>
        <w:t>SBD cycle</w:t>
      </w:r>
      <w:r w:rsidRPr="00CC3EFB">
        <w:rPr>
          <w:lang w:val="en-US"/>
        </w:rPr>
        <w:t xml:space="preserve">. </w:t>
      </w:r>
      <w:r w:rsidR="00892102">
        <w:rPr>
          <w:lang w:val="en-US"/>
        </w:rPr>
        <w:t xml:space="preserve">For the </w:t>
      </w:r>
      <w:r w:rsidR="00F8039E">
        <w:rPr>
          <w:lang w:val="en-US"/>
        </w:rPr>
        <w:t xml:space="preserve">2023 </w:t>
      </w:r>
      <w:r w:rsidR="00892102">
        <w:rPr>
          <w:lang w:val="en-US"/>
        </w:rPr>
        <w:t xml:space="preserve">cycle, </w:t>
      </w:r>
      <w:r w:rsidR="00233BE6">
        <w:rPr>
          <w:lang w:val="en-US"/>
        </w:rPr>
        <w:t>those staff</w:t>
      </w:r>
      <w:r w:rsidR="00892102">
        <w:rPr>
          <w:lang w:val="en-US"/>
        </w:rPr>
        <w:t xml:space="preserve"> in</w:t>
      </w:r>
      <w:r w:rsidR="00551781">
        <w:rPr>
          <w:lang w:val="en-US"/>
        </w:rPr>
        <w:t xml:space="preserve"> need</w:t>
      </w:r>
      <w:r w:rsidR="00892102">
        <w:rPr>
          <w:lang w:val="en-US"/>
        </w:rPr>
        <w:t xml:space="preserve"> of additional assistance following training</w:t>
      </w:r>
      <w:r w:rsidR="00551781">
        <w:rPr>
          <w:lang w:val="en-US"/>
        </w:rPr>
        <w:t xml:space="preserve"> </w:t>
      </w:r>
      <w:r w:rsidR="00233BE6">
        <w:rPr>
          <w:lang w:val="en-US"/>
        </w:rPr>
        <w:t xml:space="preserve">will be identified </w:t>
      </w:r>
      <w:r w:rsidR="00551781">
        <w:rPr>
          <w:lang w:val="en-US"/>
        </w:rPr>
        <w:t>and ask</w:t>
      </w:r>
      <w:r w:rsidR="00233BE6">
        <w:rPr>
          <w:lang w:val="en-US"/>
        </w:rPr>
        <w:t>ed</w:t>
      </w:r>
      <w:r w:rsidR="00551781">
        <w:rPr>
          <w:lang w:val="en-US"/>
        </w:rPr>
        <w:t xml:space="preserve"> to </w:t>
      </w:r>
      <w:r w:rsidR="00233BE6">
        <w:rPr>
          <w:lang w:val="en-US"/>
        </w:rPr>
        <w:t>participate in addition</w:t>
      </w:r>
      <w:r w:rsidR="00D4516C">
        <w:rPr>
          <w:lang w:val="en-US"/>
        </w:rPr>
        <w:t>al</w:t>
      </w:r>
      <w:r w:rsidR="00233BE6">
        <w:rPr>
          <w:lang w:val="en-US"/>
        </w:rPr>
        <w:t xml:space="preserve"> coaching. </w:t>
      </w:r>
    </w:p>
    <w:p w14:paraId="43E79B0E" w14:textId="53C01877" w:rsidR="00046849" w:rsidRPr="00046849" w:rsidRDefault="00046849" w:rsidP="00046849">
      <w:pPr>
        <w:pStyle w:val="BodyText"/>
        <w:rPr>
          <w:lang w:val="en-US"/>
        </w:rPr>
      </w:pPr>
      <w:bookmarkStart w:id="59" w:name="_Hlk505774930"/>
      <w:r w:rsidRPr="00CC3EFB">
        <w:rPr>
          <w:lang w:val="en-US"/>
        </w:rPr>
        <w:t xml:space="preserve">In addition, </w:t>
      </w:r>
      <w:r w:rsidR="009D58F0" w:rsidRPr="00CC3EFB">
        <w:rPr>
          <w:lang w:val="en-US"/>
        </w:rPr>
        <w:t>enhancements specific to SBD</w:t>
      </w:r>
      <w:r w:rsidR="00B0715D" w:rsidRPr="00CC3EFB">
        <w:rPr>
          <w:lang w:val="en-US"/>
        </w:rPr>
        <w:t xml:space="preserve"> that </w:t>
      </w:r>
      <w:r w:rsidR="009D58F0" w:rsidRPr="00CC3EFB">
        <w:rPr>
          <w:lang w:val="en-US"/>
        </w:rPr>
        <w:t>includ</w:t>
      </w:r>
      <w:r w:rsidR="00B0715D" w:rsidRPr="00CC3EFB">
        <w:rPr>
          <w:lang w:val="en-US"/>
        </w:rPr>
        <w:t>ed</w:t>
      </w:r>
      <w:r w:rsidR="009D58F0" w:rsidRPr="00CC3EFB">
        <w:rPr>
          <w:lang w:val="en-US"/>
        </w:rPr>
        <w:t xml:space="preserve"> more practice in ensuring an appropriate SBD POC has been</w:t>
      </w:r>
      <w:r w:rsidR="009D58F0">
        <w:rPr>
          <w:lang w:val="en-US"/>
        </w:rPr>
        <w:t xml:space="preserve"> reached (someone who handles billing for the physician </w:t>
      </w:r>
      <w:r w:rsidR="009D58F0" w:rsidRPr="009D58F0">
        <w:rPr>
          <w:i/>
          <w:lang w:val="en-US"/>
        </w:rPr>
        <w:t>when he or she provides services at a particular hospital</w:t>
      </w:r>
      <w:r w:rsidR="009D58F0">
        <w:rPr>
          <w:lang w:val="en-US"/>
        </w:rPr>
        <w:t>)</w:t>
      </w:r>
      <w:r w:rsidR="00233BE6">
        <w:rPr>
          <w:lang w:val="en-US"/>
        </w:rPr>
        <w:t xml:space="preserve"> will be used</w:t>
      </w:r>
      <w:r w:rsidR="00D34D05">
        <w:rPr>
          <w:lang w:val="en-US"/>
        </w:rPr>
        <w:t>,</w:t>
      </w:r>
      <w:r w:rsidR="009D58F0">
        <w:rPr>
          <w:lang w:val="en-US"/>
        </w:rPr>
        <w:t xml:space="preserve"> as well as more practice in probing disavowals.</w:t>
      </w:r>
    </w:p>
    <w:bookmarkEnd w:id="59"/>
    <w:p w14:paraId="67BAA133" w14:textId="5F7BCC77" w:rsidR="008A716D" w:rsidRPr="00DC78D0" w:rsidRDefault="009E70A3" w:rsidP="00773CD1">
      <w:pPr>
        <w:pStyle w:val="BodyText"/>
      </w:pPr>
      <w:r>
        <w:rPr>
          <w:lang w:val="en-US"/>
        </w:rPr>
        <w:t>The</w:t>
      </w:r>
      <w:r w:rsidR="008A716D" w:rsidRPr="00DC78D0">
        <w:t xml:space="preserve"> core training team will be responsible for the overall success of each training session and will ensure all trainees receive </w:t>
      </w:r>
      <w:r w:rsidR="00233BE6">
        <w:rPr>
          <w:lang w:val="en-US"/>
        </w:rPr>
        <w:t>identical</w:t>
      </w:r>
      <w:r w:rsidR="008A716D" w:rsidRPr="00DC78D0">
        <w:t xml:space="preserve"> training. </w:t>
      </w:r>
      <w:r w:rsidR="00233BE6">
        <w:rPr>
          <w:lang w:val="en-US"/>
        </w:rPr>
        <w:t>T</w:t>
      </w:r>
      <w:proofErr w:type="spellStart"/>
      <w:r w:rsidR="008A716D" w:rsidRPr="005D678F">
        <w:t>rainers</w:t>
      </w:r>
      <w:proofErr w:type="spellEnd"/>
      <w:r w:rsidR="008A716D" w:rsidRPr="005D678F">
        <w:t xml:space="preserve"> </w:t>
      </w:r>
      <w:r w:rsidR="00233BE6">
        <w:rPr>
          <w:lang w:val="en-US"/>
        </w:rPr>
        <w:t xml:space="preserve">are selected based on those </w:t>
      </w:r>
      <w:r w:rsidR="008A716D" w:rsidRPr="005D678F">
        <w:t xml:space="preserve">who have “hands on” experience gained through participation in data collection (records abstraction and telephone data collection). </w:t>
      </w:r>
      <w:r w:rsidR="008A716D">
        <w:t>T</w:t>
      </w:r>
      <w:r w:rsidR="008A716D" w:rsidRPr="005D678F">
        <w:t xml:space="preserve">his experience contributes to the learning environment as trainers can draw on real life situations to illustrate training points. The experience also adds to the credibility of trainers. </w:t>
      </w:r>
    </w:p>
    <w:p w14:paraId="7DC705DA" w14:textId="4F5E1AF4" w:rsidR="008A716D" w:rsidRPr="00DC78D0" w:rsidRDefault="009948A3" w:rsidP="00063C9E">
      <w:pPr>
        <w:pStyle w:val="BodyText"/>
      </w:pPr>
      <w:r w:rsidRPr="00287D3B">
        <w:t xml:space="preserve">For the </w:t>
      </w:r>
      <w:r w:rsidR="00F8039E" w:rsidRPr="00287D3B">
        <w:t>20</w:t>
      </w:r>
      <w:r w:rsidR="00F8039E">
        <w:rPr>
          <w:lang w:val="en-US"/>
        </w:rPr>
        <w:t>23</w:t>
      </w:r>
      <w:r w:rsidR="00F8039E" w:rsidRPr="00287D3B">
        <w:t xml:space="preserve"> </w:t>
      </w:r>
      <w:r w:rsidRPr="00287D3B">
        <w:t xml:space="preserve">cycle, </w:t>
      </w:r>
      <w:r w:rsidR="00233BE6">
        <w:rPr>
          <w:lang w:val="en-US"/>
        </w:rPr>
        <w:t>a</w:t>
      </w:r>
      <w:r w:rsidRPr="00287D3B">
        <w:t xml:space="preserve"> core training team </w:t>
      </w:r>
      <w:r w:rsidR="00233BE6">
        <w:rPr>
          <w:lang w:val="en-US"/>
        </w:rPr>
        <w:t xml:space="preserve">will again be used </w:t>
      </w:r>
      <w:r w:rsidR="00A07009">
        <w:rPr>
          <w:lang w:val="en-US"/>
        </w:rPr>
        <w:t>to avoid</w:t>
      </w:r>
      <w:r w:rsidRPr="00287D3B">
        <w:t xml:space="preserve"> regularly pulling the same</w:t>
      </w:r>
      <w:r w:rsidRPr="005539BA">
        <w:t xml:space="preserve"> individuals away from their </w:t>
      </w:r>
      <w:r>
        <w:t xml:space="preserve">technical </w:t>
      </w:r>
      <w:r w:rsidRPr="005539BA">
        <w:t>and supervisory responsibilities. Training teams</w:t>
      </w:r>
      <w:r w:rsidR="00643398">
        <w:rPr>
          <w:lang w:val="en-US"/>
        </w:rPr>
        <w:t xml:space="preserve"> </w:t>
      </w:r>
      <w:r w:rsidRPr="005539BA">
        <w:t xml:space="preserve">include a mix of </w:t>
      </w:r>
      <w:r w:rsidRPr="005539BA">
        <w:lastRenderedPageBreak/>
        <w:t xml:space="preserve">staff from </w:t>
      </w:r>
      <w:r>
        <w:t>project</w:t>
      </w:r>
      <w:r w:rsidRPr="005539BA">
        <w:t xml:space="preserve"> management, </w:t>
      </w:r>
      <w:r>
        <w:t>d</w:t>
      </w:r>
      <w:r w:rsidRPr="005539BA">
        <w:t xml:space="preserve">ata </w:t>
      </w:r>
      <w:r>
        <w:t>q</w:t>
      </w:r>
      <w:r w:rsidRPr="005539BA">
        <w:t xml:space="preserve">uality, supervisors, </w:t>
      </w:r>
      <w:r>
        <w:t xml:space="preserve">utility specialists, </w:t>
      </w:r>
      <w:r w:rsidRPr="005539BA">
        <w:t xml:space="preserve">team leads, </w:t>
      </w:r>
      <w:r w:rsidR="005D6681">
        <w:rPr>
          <w:lang w:val="en-US"/>
        </w:rPr>
        <w:t>L</w:t>
      </w:r>
      <w:proofErr w:type="spellStart"/>
      <w:r w:rsidRPr="005539BA">
        <w:t>arge</w:t>
      </w:r>
      <w:proofErr w:type="spellEnd"/>
      <w:r w:rsidRPr="005539BA">
        <w:t xml:space="preserve"> </w:t>
      </w:r>
      <w:r w:rsidR="005D6681">
        <w:rPr>
          <w:lang w:val="en-US"/>
        </w:rPr>
        <w:t>P</w:t>
      </w:r>
      <w:proofErr w:type="spellStart"/>
      <w:r w:rsidRPr="005539BA">
        <w:t>rovider</w:t>
      </w:r>
      <w:proofErr w:type="spellEnd"/>
      <w:r w:rsidRPr="005539BA">
        <w:t xml:space="preserve"> negotiators, and higher performing production staff.</w:t>
      </w:r>
      <w:r w:rsidR="002E1563">
        <w:rPr>
          <w:lang w:val="en-US"/>
        </w:rPr>
        <w:t xml:space="preserve"> </w:t>
      </w:r>
      <w:r w:rsidR="00233BE6">
        <w:rPr>
          <w:lang w:val="en-US"/>
        </w:rPr>
        <w:t>P</w:t>
      </w:r>
      <w:proofErr w:type="spellStart"/>
      <w:r w:rsidR="004762BF">
        <w:t>roject</w:t>
      </w:r>
      <w:proofErr w:type="spellEnd"/>
      <w:r w:rsidR="004762BF">
        <w:t xml:space="preserve"> management staff </w:t>
      </w:r>
      <w:r w:rsidR="00233BE6">
        <w:rPr>
          <w:lang w:val="en-US"/>
        </w:rPr>
        <w:t xml:space="preserve">will serve </w:t>
      </w:r>
      <w:r w:rsidR="004762BF">
        <w:t>in a primary trainer role leading lecture and walkthrough content and organizing individual trainings. They will be supported by staff from other roles who will help monitor staff engagement or assist trainees in labs or study hall, with the number of trainers active in the training dependent on the method of content delivery and size of training class.</w:t>
      </w:r>
      <w:r w:rsidR="004762BF">
        <w:rPr>
          <w:lang w:val="en-US"/>
        </w:rPr>
        <w:t xml:space="preserve"> </w:t>
      </w:r>
    </w:p>
    <w:p w14:paraId="573884B7" w14:textId="7548B469" w:rsidR="008A716D" w:rsidRPr="00575BB9" w:rsidRDefault="00902628" w:rsidP="00063C9E">
      <w:pPr>
        <w:pStyle w:val="BodyText"/>
        <w:rPr>
          <w:lang w:val="en-US"/>
        </w:rPr>
      </w:pPr>
      <w:r>
        <w:rPr>
          <w:lang w:val="en-US"/>
        </w:rPr>
        <w:t>S</w:t>
      </w:r>
      <w:proofErr w:type="spellStart"/>
      <w:r w:rsidR="008A716D">
        <w:t>taff</w:t>
      </w:r>
      <w:proofErr w:type="spellEnd"/>
      <w:r w:rsidR="008A716D">
        <w:t xml:space="preserve"> will </w:t>
      </w:r>
      <w:r w:rsidR="008D0BE2">
        <w:rPr>
          <w:lang w:val="en-US"/>
        </w:rPr>
        <w:t>have access to</w:t>
      </w:r>
      <w:r w:rsidR="008D0BE2">
        <w:t xml:space="preserve"> </w:t>
      </w:r>
      <w:r>
        <w:rPr>
          <w:lang w:val="en-US"/>
        </w:rPr>
        <w:t>a</w:t>
      </w:r>
      <w:r w:rsidR="008A716D">
        <w:t xml:space="preserve"> reference manual for </w:t>
      </w:r>
      <w:r w:rsidR="00575BB9">
        <w:rPr>
          <w:lang w:val="en-US"/>
        </w:rPr>
        <w:t xml:space="preserve">SBD. </w:t>
      </w:r>
    </w:p>
    <w:p w14:paraId="2E483886" w14:textId="77777777" w:rsidR="008A716D" w:rsidRPr="007E3D31" w:rsidRDefault="008A716D" w:rsidP="00667AE6">
      <w:pPr>
        <w:pStyle w:val="Heading1"/>
      </w:pPr>
      <w:bookmarkStart w:id="60" w:name="_Toc326235180"/>
      <w:bookmarkStart w:id="61" w:name="_Toc188880713"/>
      <w:r w:rsidRPr="007E3D31">
        <w:t>Data Collection Specialist Procedures</w:t>
      </w:r>
      <w:bookmarkEnd w:id="60"/>
      <w:bookmarkEnd w:id="61"/>
    </w:p>
    <w:p w14:paraId="23AD3091" w14:textId="77777777" w:rsidR="008A716D" w:rsidRPr="00D96D13" w:rsidRDefault="008A716D" w:rsidP="005A59A0">
      <w:pPr>
        <w:pStyle w:val="BodyText"/>
      </w:pPr>
      <w:r>
        <w:t xml:space="preserve">The following sections discuss </w:t>
      </w:r>
      <w:r w:rsidR="005A59A0">
        <w:rPr>
          <w:lang w:val="en-US"/>
        </w:rPr>
        <w:t>SBD</w:t>
      </w:r>
      <w:r w:rsidR="005A59A0">
        <w:t xml:space="preserve"> </w:t>
      </w:r>
      <w:r w:rsidR="005A59A0">
        <w:rPr>
          <w:lang w:val="en-US"/>
        </w:rPr>
        <w:t xml:space="preserve">data collection </w:t>
      </w:r>
      <w:r>
        <w:t>work processes.</w:t>
      </w:r>
    </w:p>
    <w:p w14:paraId="462CF3E1" w14:textId="77777777" w:rsidR="008A716D" w:rsidRPr="009816DB" w:rsidRDefault="008A716D" w:rsidP="003C2B28">
      <w:pPr>
        <w:pStyle w:val="Heading2"/>
      </w:pPr>
      <w:bookmarkStart w:id="62" w:name="_Toc326235182"/>
      <w:bookmarkStart w:id="63" w:name="_Toc188880714"/>
      <w:r w:rsidRPr="009816DB">
        <w:t>Basic Case Flow</w:t>
      </w:r>
      <w:bookmarkEnd w:id="62"/>
      <w:bookmarkEnd w:id="63"/>
    </w:p>
    <w:p w14:paraId="4594EA56" w14:textId="102BFD50" w:rsidR="008A716D" w:rsidRDefault="008A716D" w:rsidP="00773CD1">
      <w:pPr>
        <w:pStyle w:val="BodyText"/>
      </w:pPr>
      <w:bookmarkStart w:id="64" w:name="_Hlk29203673"/>
      <w:r>
        <w:t xml:space="preserve">Prior to contacting a provider, DCSs will use </w:t>
      </w:r>
      <w:r w:rsidR="007702B4">
        <w:rPr>
          <w:lang w:val="en-US"/>
        </w:rPr>
        <w:t>POC</w:t>
      </w:r>
      <w:r>
        <w:t xml:space="preserve"> queries to </w:t>
      </w:r>
      <w:r w:rsidR="004C0C6E">
        <w:rPr>
          <w:lang w:val="en-US"/>
        </w:rPr>
        <w:t>determine</w:t>
      </w:r>
      <w:r>
        <w:t xml:space="preserve"> if the case has been contacted by a</w:t>
      </w:r>
      <w:r w:rsidR="002076A9">
        <w:rPr>
          <w:lang w:val="en-US"/>
        </w:rPr>
        <w:t>nother</w:t>
      </w:r>
      <w:r>
        <w:t xml:space="preserve"> DCS.</w:t>
      </w:r>
      <w:r w:rsidR="0073513C">
        <w:t xml:space="preserve"> </w:t>
      </w:r>
      <w:r>
        <w:t xml:space="preserve">The first query will be run automatically when the number is entered in </w:t>
      </w:r>
      <w:r w:rsidR="00857786">
        <w:rPr>
          <w:lang w:val="en-US"/>
        </w:rPr>
        <w:t>the</w:t>
      </w:r>
      <w:r>
        <w:t xml:space="preserve"> phone system.</w:t>
      </w:r>
      <w:r w:rsidR="0073513C">
        <w:t xml:space="preserve"> </w:t>
      </w:r>
      <w:r>
        <w:t>If the number has been contacted in the past 32 hours</w:t>
      </w:r>
      <w:r w:rsidR="00575BB9">
        <w:rPr>
          <w:lang w:val="en-US"/>
        </w:rPr>
        <w:t>,</w:t>
      </w:r>
      <w:r>
        <w:t xml:space="preserve"> the DCS will receive a message and </w:t>
      </w:r>
      <w:r w:rsidR="002076A9">
        <w:rPr>
          <w:lang w:val="en-US"/>
        </w:rPr>
        <w:t xml:space="preserve">the instruction </w:t>
      </w:r>
      <w:r>
        <w:t xml:space="preserve">to follow up with their supervisor </w:t>
      </w:r>
      <w:r w:rsidR="007702B4">
        <w:rPr>
          <w:lang w:val="en-US"/>
        </w:rPr>
        <w:t>for direction on</w:t>
      </w:r>
      <w:r w:rsidR="007702B4">
        <w:t xml:space="preserve"> </w:t>
      </w:r>
      <w:r>
        <w:t>how to proceed.</w:t>
      </w:r>
      <w:r w:rsidR="0073513C">
        <w:t xml:space="preserve"> </w:t>
      </w:r>
      <w:r>
        <w:t xml:space="preserve">A second query will be used when a DCS accesses the POC screen in </w:t>
      </w:r>
      <w:r w:rsidR="00857786">
        <w:rPr>
          <w:lang w:val="en-US"/>
        </w:rPr>
        <w:t>the</w:t>
      </w:r>
      <w:r>
        <w:t xml:space="preserve"> </w:t>
      </w:r>
      <w:r w:rsidR="007702B4" w:rsidRPr="007702B4">
        <w:rPr>
          <w:lang w:val="en-US"/>
        </w:rPr>
        <w:t>CMS</w:t>
      </w:r>
      <w:r>
        <w:t>.</w:t>
      </w:r>
      <w:r w:rsidR="0073513C">
        <w:t xml:space="preserve"> </w:t>
      </w:r>
      <w:r>
        <w:t xml:space="preserve">The DCS will click on the POC phone number displayed in </w:t>
      </w:r>
      <w:r w:rsidR="00857786">
        <w:rPr>
          <w:lang w:val="en-US"/>
        </w:rPr>
        <w:t>the</w:t>
      </w:r>
      <w:r>
        <w:t xml:space="preserve"> system so a real</w:t>
      </w:r>
      <w:r w:rsidR="004C0C6E">
        <w:rPr>
          <w:lang w:val="en-US"/>
        </w:rPr>
        <w:t>-</w:t>
      </w:r>
      <w:r>
        <w:t>time check can be run to determine if the POC has been contacted previously in SBD data collection.</w:t>
      </w:r>
      <w:r w:rsidR="0073513C">
        <w:t xml:space="preserve"> </w:t>
      </w:r>
      <w:r>
        <w:t xml:space="preserve">If the POC has been contacted before, the DCS informs </w:t>
      </w:r>
      <w:r w:rsidR="00773CD1">
        <w:rPr>
          <w:lang w:val="en-US"/>
        </w:rPr>
        <w:t>her/his</w:t>
      </w:r>
      <w:r>
        <w:t xml:space="preserve"> supervisor </w:t>
      </w:r>
      <w:r w:rsidR="00575BB9">
        <w:rPr>
          <w:lang w:val="en-US"/>
        </w:rPr>
        <w:t>who</w:t>
      </w:r>
      <w:r>
        <w:t xml:space="preserve"> determines if a </w:t>
      </w:r>
      <w:r w:rsidR="00803506">
        <w:rPr>
          <w:lang w:val="en-US"/>
        </w:rPr>
        <w:t>contact group</w:t>
      </w:r>
      <w:r>
        <w:t xml:space="preserve"> merge </w:t>
      </w:r>
      <w:r w:rsidR="007702B4">
        <w:rPr>
          <w:lang w:val="en-US"/>
        </w:rPr>
        <w:t>is needed</w:t>
      </w:r>
      <w:r>
        <w:t>.</w:t>
      </w:r>
    </w:p>
    <w:bookmarkEnd w:id="64"/>
    <w:p w14:paraId="7CEEB8C9" w14:textId="7938095B" w:rsidR="008A716D" w:rsidRDefault="007702B4" w:rsidP="00773CD1">
      <w:pPr>
        <w:pStyle w:val="BodyText"/>
      </w:pPr>
      <w:r>
        <w:rPr>
          <w:lang w:val="en-US"/>
        </w:rPr>
        <w:t>T</w:t>
      </w:r>
      <w:proofErr w:type="spellStart"/>
      <w:r w:rsidR="008A716D">
        <w:t>hese</w:t>
      </w:r>
      <w:proofErr w:type="spellEnd"/>
      <w:r w:rsidR="008A716D">
        <w:t xml:space="preserve"> two queries avoid </w:t>
      </w:r>
      <w:r w:rsidR="00773CD1">
        <w:t xml:space="preserve">unnecessary </w:t>
      </w:r>
      <w:r w:rsidR="008A716D">
        <w:t>multiple contacts to a POC.</w:t>
      </w:r>
      <w:r w:rsidR="0073513C">
        <w:t xml:space="preserve"> </w:t>
      </w:r>
      <w:r w:rsidR="008A716D">
        <w:t xml:space="preserve">While </w:t>
      </w:r>
      <w:r w:rsidR="005A0065">
        <w:rPr>
          <w:lang w:val="en-US"/>
        </w:rPr>
        <w:t xml:space="preserve">efforts are made </w:t>
      </w:r>
      <w:r w:rsidR="008A716D">
        <w:t>to group cases prior to data collection, SBDs and billing groups are constantly evolving.</w:t>
      </w:r>
      <w:r w:rsidR="0073513C">
        <w:t xml:space="preserve"> </w:t>
      </w:r>
      <w:r w:rsidR="008A716D">
        <w:t xml:space="preserve">The use of these queries allows </w:t>
      </w:r>
      <w:r w:rsidR="005A0065">
        <w:rPr>
          <w:lang w:val="en-US"/>
        </w:rPr>
        <w:t>DCS</w:t>
      </w:r>
      <w:r w:rsidR="00857786">
        <w:rPr>
          <w:lang w:val="en-US"/>
        </w:rPr>
        <w:t>s</w:t>
      </w:r>
      <w:r w:rsidR="008A716D">
        <w:t xml:space="preserve"> to avoid burdening POCs with </w:t>
      </w:r>
      <w:r w:rsidR="004C0C6E">
        <w:rPr>
          <w:lang w:val="en-US"/>
        </w:rPr>
        <w:t>multiple</w:t>
      </w:r>
      <w:r w:rsidR="008A716D">
        <w:t xml:space="preserve"> contacts.</w:t>
      </w:r>
    </w:p>
    <w:p w14:paraId="6D33E529" w14:textId="1B863351" w:rsidR="008A716D" w:rsidRDefault="00857786" w:rsidP="00773CD1">
      <w:pPr>
        <w:pStyle w:val="BodyText"/>
        <w:rPr>
          <w:lang w:val="en-US"/>
        </w:rPr>
      </w:pPr>
      <w:r>
        <w:rPr>
          <w:lang w:val="en-US"/>
        </w:rPr>
        <w:t>The</w:t>
      </w:r>
      <w:r w:rsidR="008A716D" w:rsidRPr="009816DB">
        <w:t xml:space="preserve"> contact guide is </w:t>
      </w:r>
      <w:r w:rsidR="008A716D">
        <w:rPr>
          <w:lang w:val="en-US"/>
        </w:rPr>
        <w:t>designed to facilitate communicat</w:t>
      </w:r>
      <w:r w:rsidR="00773CD1">
        <w:rPr>
          <w:lang w:val="en-US"/>
        </w:rPr>
        <w:t>ion with</w:t>
      </w:r>
      <w:r w:rsidR="008A716D">
        <w:rPr>
          <w:lang w:val="en-US"/>
        </w:rPr>
        <w:t xml:space="preserve"> both SBDs who do their own billing and</w:t>
      </w:r>
      <w:r w:rsidR="0073513C">
        <w:rPr>
          <w:lang w:val="en-US"/>
        </w:rPr>
        <w:t xml:space="preserve"> </w:t>
      </w:r>
      <w:r w:rsidR="008A716D" w:rsidRPr="009816DB">
        <w:t>SBDs that use off-site billing services</w:t>
      </w:r>
      <w:bookmarkStart w:id="65" w:name="_Hlk29203751"/>
      <w:r w:rsidR="008A716D">
        <w:t>.</w:t>
      </w:r>
      <w:r w:rsidR="0073513C">
        <w:rPr>
          <w:lang w:val="en-US"/>
        </w:rPr>
        <w:t xml:space="preserve"> </w:t>
      </w:r>
      <w:r w:rsidR="008A716D" w:rsidRPr="009816DB">
        <w:t xml:space="preserve">The DCS will access the SBD contact guide in the Integrated Data Collection System (IDCS) to contact the provider. </w:t>
      </w:r>
      <w:r w:rsidR="008A716D">
        <w:t xml:space="preserve">If the DCS is unable to reach the </w:t>
      </w:r>
      <w:r w:rsidR="008A716D">
        <w:rPr>
          <w:lang w:val="en-US"/>
        </w:rPr>
        <w:t>POC</w:t>
      </w:r>
      <w:r w:rsidR="008A716D">
        <w:t xml:space="preserve"> on the first contact, the information gained from each contact is recorded in the Contact Block of the contact guide and the outcome of each contact is noted in the CMS. Results from each contact will become part of the overall history of the case and will be readily available for review in the CMS the next time the DCS </w:t>
      </w:r>
      <w:r w:rsidR="00773CD1">
        <w:rPr>
          <w:lang w:val="en-US"/>
        </w:rPr>
        <w:t xml:space="preserve">attempts to </w:t>
      </w:r>
      <w:r w:rsidR="008A716D">
        <w:t xml:space="preserve">make contact. </w:t>
      </w:r>
    </w:p>
    <w:bookmarkEnd w:id="65"/>
    <w:p w14:paraId="7AEB56B1" w14:textId="76D473C6" w:rsidR="008A716D" w:rsidRPr="00D72082" w:rsidRDefault="008A716D" w:rsidP="0073513C">
      <w:pPr>
        <w:pStyle w:val="BodyText"/>
        <w:rPr>
          <w:lang w:val="en-US"/>
        </w:rPr>
      </w:pPr>
      <w:r>
        <w:rPr>
          <w:lang w:val="en-US"/>
        </w:rPr>
        <w:t xml:space="preserve">Once the DCS establishes a POC, </w:t>
      </w:r>
      <w:r w:rsidR="00A07009">
        <w:rPr>
          <w:lang w:val="en-US"/>
        </w:rPr>
        <w:t xml:space="preserve">the DCS </w:t>
      </w:r>
      <w:r w:rsidRPr="009816DB">
        <w:t xml:space="preserve">will introduce the study, confirm the provider groupings </w:t>
      </w:r>
      <w:r w:rsidR="005A0065">
        <w:rPr>
          <w:lang w:val="en-US"/>
        </w:rPr>
        <w:t>that were</w:t>
      </w:r>
      <w:r w:rsidRPr="009816DB">
        <w:t xml:space="preserve"> initially assigned, obtain the fax number or </w:t>
      </w:r>
      <w:r w:rsidR="00902628">
        <w:rPr>
          <w:lang w:val="en-US"/>
        </w:rPr>
        <w:t xml:space="preserve">mailing or e-mail </w:t>
      </w:r>
      <w:r w:rsidRPr="009816DB">
        <w:t>address to which the packet of materials will be faxed</w:t>
      </w:r>
      <w:r w:rsidR="00902628">
        <w:rPr>
          <w:lang w:val="en-US"/>
        </w:rPr>
        <w:t>,</w:t>
      </w:r>
      <w:r w:rsidRPr="009816DB">
        <w:t xml:space="preserve"> mailed,</w:t>
      </w:r>
      <w:r w:rsidR="00902628">
        <w:rPr>
          <w:lang w:val="en-US"/>
        </w:rPr>
        <w:t xml:space="preserve"> </w:t>
      </w:r>
      <w:r w:rsidR="007702B4">
        <w:rPr>
          <w:lang w:val="en-US"/>
        </w:rPr>
        <w:t xml:space="preserve">emailed, </w:t>
      </w:r>
      <w:r w:rsidR="00902628">
        <w:rPr>
          <w:lang w:val="en-US"/>
        </w:rPr>
        <w:t>or shared via electronic portal,</w:t>
      </w:r>
      <w:r w:rsidRPr="009816DB">
        <w:t xml:space="preserve"> </w:t>
      </w:r>
      <w:r>
        <w:t xml:space="preserve">and </w:t>
      </w:r>
      <w:r w:rsidRPr="009816DB">
        <w:t xml:space="preserve">negotiate the </w:t>
      </w:r>
      <w:proofErr w:type="gramStart"/>
      <w:r w:rsidRPr="009816DB">
        <w:t>manner in which</w:t>
      </w:r>
      <w:proofErr w:type="gramEnd"/>
      <w:r w:rsidRPr="009816DB">
        <w:t xml:space="preserve"> data collection will proceed. </w:t>
      </w:r>
    </w:p>
    <w:p w14:paraId="3169CDCC" w14:textId="741401D0" w:rsidR="008A716D" w:rsidRPr="009816DB" w:rsidRDefault="008A716D" w:rsidP="00773CD1">
      <w:pPr>
        <w:pStyle w:val="BodyText"/>
      </w:pPr>
      <w:r w:rsidRPr="009816DB">
        <w:t xml:space="preserve">Once this information has been gathered, cooperation has been obtained, </w:t>
      </w:r>
      <w:r w:rsidR="007702B4">
        <w:rPr>
          <w:lang w:val="en-US"/>
        </w:rPr>
        <w:t>AFs</w:t>
      </w:r>
      <w:r w:rsidR="00A07009">
        <w:rPr>
          <w:lang w:val="en-US"/>
        </w:rPr>
        <w:t xml:space="preserve"> </w:t>
      </w:r>
      <w:r>
        <w:rPr>
          <w:lang w:val="en-US"/>
        </w:rPr>
        <w:t xml:space="preserve">have been sent, </w:t>
      </w:r>
      <w:r w:rsidRPr="009816DB">
        <w:t xml:space="preserve">and the provider has acknowledged receipt of the </w:t>
      </w:r>
      <w:r w:rsidR="00D14866">
        <w:rPr>
          <w:lang w:val="en-US"/>
        </w:rPr>
        <w:t>AFs</w:t>
      </w:r>
      <w:r w:rsidRPr="009816DB">
        <w:t xml:space="preserve">, the DCS will attempt to collect information </w:t>
      </w:r>
      <w:r w:rsidR="007702B4">
        <w:rPr>
          <w:lang w:val="en-US"/>
        </w:rPr>
        <w:t>while speaking with the POC on the</w:t>
      </w:r>
      <w:r w:rsidRPr="009816DB">
        <w:t xml:space="preserve"> telephone </w:t>
      </w:r>
      <w:r w:rsidR="007702B4">
        <w:rPr>
          <w:lang w:val="en-US"/>
        </w:rPr>
        <w:t>using</w:t>
      </w:r>
      <w:r w:rsidR="007702B4" w:rsidRPr="009816DB">
        <w:t xml:space="preserve"> </w:t>
      </w:r>
      <w:r>
        <w:t>the</w:t>
      </w:r>
      <w:r w:rsidRPr="009816DB">
        <w:t xml:space="preserve"> SBD </w:t>
      </w:r>
      <w:r>
        <w:t>event form</w:t>
      </w:r>
      <w:r w:rsidR="00575BB9">
        <w:rPr>
          <w:lang w:val="en-US"/>
        </w:rPr>
        <w:t xml:space="preserve"> instrument</w:t>
      </w:r>
      <w:r w:rsidRPr="009816DB">
        <w:t xml:space="preserve">. Unlike OBD, SBD data collection will only request </w:t>
      </w:r>
      <w:r w:rsidR="00DC63FA">
        <w:rPr>
          <w:lang w:val="en-US"/>
        </w:rPr>
        <w:t xml:space="preserve">data or </w:t>
      </w:r>
      <w:r w:rsidRPr="009816DB">
        <w:t xml:space="preserve">records that match with a corresponding </w:t>
      </w:r>
      <w:r w:rsidR="00773CD1">
        <w:rPr>
          <w:lang w:val="en-US"/>
        </w:rPr>
        <w:t>H</w:t>
      </w:r>
      <w:proofErr w:type="spellStart"/>
      <w:r w:rsidRPr="009816DB">
        <w:t>ospital</w:t>
      </w:r>
      <w:proofErr w:type="spellEnd"/>
      <w:r w:rsidRPr="009816DB">
        <w:t xml:space="preserve"> </w:t>
      </w:r>
      <w:r>
        <w:t xml:space="preserve">or </w:t>
      </w:r>
      <w:r w:rsidR="00773CD1">
        <w:rPr>
          <w:lang w:val="en-US"/>
        </w:rPr>
        <w:t>I</w:t>
      </w:r>
      <w:proofErr w:type="spellStart"/>
      <w:r>
        <w:t>nstitution</w:t>
      </w:r>
      <w:proofErr w:type="spellEnd"/>
      <w:r>
        <w:t xml:space="preserve"> </w:t>
      </w:r>
      <w:r w:rsidRPr="009816DB">
        <w:t>event. All data for SBDs should be available from the provider’s billing records. If the provider is unable to participate by telephone</w:t>
      </w:r>
      <w:r w:rsidR="00773CD1">
        <w:rPr>
          <w:lang w:val="en-US"/>
        </w:rPr>
        <w:t>,</w:t>
      </w:r>
      <w:r w:rsidRPr="009816DB">
        <w:t xml:space="preserve"> the DCS will request </w:t>
      </w:r>
      <w:r w:rsidR="00A07009">
        <w:rPr>
          <w:lang w:val="en-US"/>
        </w:rPr>
        <w:t>the POC</w:t>
      </w:r>
      <w:r w:rsidR="00A07009" w:rsidRPr="009816DB">
        <w:t xml:space="preserve"> </w:t>
      </w:r>
      <w:r w:rsidRPr="009816DB">
        <w:t xml:space="preserve">send a copy of the </w:t>
      </w:r>
      <w:r>
        <w:t>billing</w:t>
      </w:r>
      <w:r w:rsidRPr="009816DB">
        <w:t xml:space="preserve"> records for abstraction.</w:t>
      </w:r>
    </w:p>
    <w:p w14:paraId="4308CA93" w14:textId="3D212C6A" w:rsidR="008A716D" w:rsidRPr="009816DB" w:rsidRDefault="008A716D" w:rsidP="00773CD1">
      <w:pPr>
        <w:pStyle w:val="BodyText"/>
        <w:rPr>
          <w:rFonts w:ascii="TimesNewRomanPSMT" w:hAnsi="TimesNewRomanPSMT" w:cs="TimesNewRomanPSMT"/>
        </w:rPr>
      </w:pPr>
      <w:r w:rsidRPr="009816DB">
        <w:t xml:space="preserve">Disavowals occur </w:t>
      </w:r>
      <w:r w:rsidRPr="00AC2027">
        <w:rPr>
          <w:szCs w:val="24"/>
        </w:rPr>
        <w:t>frequently</w:t>
      </w:r>
      <w:r w:rsidRPr="009816DB">
        <w:t xml:space="preserve"> during SBD data collection</w:t>
      </w:r>
      <w:r w:rsidR="004C0C6E">
        <w:rPr>
          <w:lang w:val="en-US"/>
        </w:rPr>
        <w:t xml:space="preserve"> with</w:t>
      </w:r>
      <w:r w:rsidRPr="009816DB">
        <w:t xml:space="preserve"> more wide-ranging </w:t>
      </w:r>
      <w:r w:rsidR="004C0C6E">
        <w:rPr>
          <w:lang w:val="en-US"/>
        </w:rPr>
        <w:t>reasons</w:t>
      </w:r>
      <w:r w:rsidRPr="009816DB">
        <w:t xml:space="preserve"> than for any other provider type. </w:t>
      </w:r>
      <w:r>
        <w:rPr>
          <w:lang w:val="en-US"/>
        </w:rPr>
        <w:t xml:space="preserve">Disavowals on SBD also differ from </w:t>
      </w:r>
      <w:r w:rsidR="004C0C6E">
        <w:rPr>
          <w:lang w:val="en-US"/>
        </w:rPr>
        <w:t xml:space="preserve">those </w:t>
      </w:r>
      <w:r>
        <w:rPr>
          <w:lang w:val="en-US"/>
        </w:rPr>
        <w:t>on other provider types because disavowal status can differ by node within the same pair on SBD.</w:t>
      </w:r>
      <w:r w:rsidR="0073513C">
        <w:rPr>
          <w:lang w:val="en-US"/>
        </w:rPr>
        <w:t xml:space="preserve"> </w:t>
      </w:r>
      <w:r w:rsidRPr="009816DB">
        <w:rPr>
          <w:rFonts w:ascii="TimesNewRomanPSMT" w:hAnsi="TimesNewRomanPSMT" w:cs="TimesNewRomanPSMT"/>
        </w:rPr>
        <w:t xml:space="preserve">Disavowals will be determined and recorded when the DCS </w:t>
      </w:r>
      <w:r>
        <w:rPr>
          <w:rFonts w:ascii="TimesNewRomanPSMT" w:hAnsi="TimesNewRomanPSMT" w:cs="TimesNewRomanPSMT"/>
        </w:rPr>
        <w:t xml:space="preserve">completes the patient verification process as well as when the DCS </w:t>
      </w:r>
      <w:r w:rsidRPr="009816DB">
        <w:rPr>
          <w:rFonts w:ascii="TimesNewRomanPSMT" w:hAnsi="TimesNewRomanPSMT" w:cs="TimesNewRomanPSMT"/>
        </w:rPr>
        <w:t xml:space="preserve">reviews </w:t>
      </w:r>
      <w:r>
        <w:rPr>
          <w:rFonts w:ascii="TimesNewRomanPSMT" w:hAnsi="TimesNewRomanPSMT" w:cs="TimesNewRomanPSMT"/>
        </w:rPr>
        <w:lastRenderedPageBreak/>
        <w:t xml:space="preserve">each node </w:t>
      </w:r>
      <w:r w:rsidRPr="009816DB">
        <w:rPr>
          <w:rFonts w:ascii="TimesNewRomanPSMT" w:hAnsi="TimesNewRomanPSMT" w:cs="TimesNewRomanPSMT"/>
        </w:rPr>
        <w:t>during</w:t>
      </w:r>
      <w:r>
        <w:rPr>
          <w:rFonts w:ascii="TimesNewRomanPSMT" w:hAnsi="TimesNewRomanPSMT" w:cs="TimesNewRomanPSMT"/>
        </w:rPr>
        <w:t xml:space="preserve"> completion of the SBD event forms.</w:t>
      </w:r>
      <w:r w:rsidR="0073513C">
        <w:rPr>
          <w:rFonts w:ascii="TimesNewRomanPSMT" w:hAnsi="TimesNewRomanPSMT" w:cs="TimesNewRomanPSMT"/>
        </w:rPr>
        <w:t xml:space="preserve"> </w:t>
      </w:r>
      <w:r>
        <w:rPr>
          <w:rFonts w:ascii="TimesNewRomanPSMT" w:hAnsi="TimesNewRomanPSMT" w:cs="TimesNewRomanPSMT"/>
        </w:rPr>
        <w:t xml:space="preserve">The DCS will probe to determine </w:t>
      </w:r>
      <w:r w:rsidR="00575BB9">
        <w:rPr>
          <w:rFonts w:ascii="TimesNewRomanPSMT" w:hAnsi="TimesNewRomanPSMT" w:cs="TimesNewRomanPSMT"/>
          <w:lang w:val="en-US"/>
        </w:rPr>
        <w:t>to</w:t>
      </w:r>
      <w:r>
        <w:rPr>
          <w:rFonts w:ascii="TimesNewRomanPSMT" w:hAnsi="TimesNewRomanPSMT" w:cs="TimesNewRomanPSMT"/>
        </w:rPr>
        <w:t xml:space="preserve"> which of the following disavowal categories the node should be coded:</w:t>
      </w:r>
      <w:r w:rsidR="0073513C">
        <w:rPr>
          <w:rFonts w:ascii="TimesNewRomanPSMT" w:hAnsi="TimesNewRomanPSMT" w:cs="TimesNewRomanPSMT"/>
        </w:rPr>
        <w:t xml:space="preserve"> </w:t>
      </w:r>
    </w:p>
    <w:p w14:paraId="43503D79" w14:textId="77777777" w:rsidR="008A716D" w:rsidRPr="000B4056" w:rsidRDefault="008A716D" w:rsidP="00FE1160">
      <w:pPr>
        <w:pStyle w:val="bullets"/>
      </w:pPr>
      <w:r w:rsidRPr="000B4056">
        <w:t>Knows patient but no participation/charge for this node</w:t>
      </w:r>
      <w:r w:rsidR="00FE1160">
        <w:t>—</w:t>
      </w:r>
      <w:r w:rsidRPr="000B4056">
        <w:rPr>
          <w:i/>
          <w:iCs/>
        </w:rPr>
        <w:t>Referring</w:t>
      </w:r>
      <w:r>
        <w:rPr>
          <w:i/>
          <w:iCs/>
        </w:rPr>
        <w:t>/Copied</w:t>
      </w:r>
      <w:r w:rsidRPr="000B4056">
        <w:rPr>
          <w:i/>
          <w:iCs/>
        </w:rPr>
        <w:t xml:space="preserve"> doc</w:t>
      </w:r>
    </w:p>
    <w:p w14:paraId="78531D26" w14:textId="77777777" w:rsidR="008A716D" w:rsidRPr="000B4056" w:rsidRDefault="008A716D" w:rsidP="00FE1160">
      <w:pPr>
        <w:pStyle w:val="bullets"/>
      </w:pPr>
      <w:r w:rsidRPr="000B4056">
        <w:t>Does NOT</w:t>
      </w:r>
      <w:r w:rsidR="0073513C">
        <w:t xml:space="preserve"> </w:t>
      </w:r>
      <w:r w:rsidRPr="000B4056">
        <w:t>know patient</w:t>
      </w:r>
      <w:r w:rsidR="00FE1160">
        <w:t>—</w:t>
      </w:r>
      <w:r w:rsidRPr="000B4056">
        <w:rPr>
          <w:i/>
          <w:iCs/>
        </w:rPr>
        <w:t>Department Head</w:t>
      </w:r>
      <w:r>
        <w:rPr>
          <w:i/>
          <w:iCs/>
        </w:rPr>
        <w:t>/Follow-up Doc</w:t>
      </w:r>
    </w:p>
    <w:p w14:paraId="279244F9" w14:textId="77777777" w:rsidR="008A716D" w:rsidRPr="000B4056" w:rsidRDefault="008A716D" w:rsidP="00FE1160">
      <w:pPr>
        <w:pStyle w:val="bullets"/>
      </w:pPr>
      <w:r>
        <w:t>No</w:t>
      </w:r>
      <w:r w:rsidRPr="000B4056">
        <w:t xml:space="preserve"> participation/charge for this node</w:t>
      </w:r>
      <w:r w:rsidR="00FE1160">
        <w:t>—</w:t>
      </w:r>
      <w:r w:rsidRPr="000B4056">
        <w:rPr>
          <w:i/>
          <w:iCs/>
        </w:rPr>
        <w:t>No additional information</w:t>
      </w:r>
    </w:p>
    <w:p w14:paraId="316CDC33" w14:textId="77777777" w:rsidR="008A716D" w:rsidRPr="00D96D13" w:rsidRDefault="008A716D" w:rsidP="00773CD1">
      <w:pPr>
        <w:pStyle w:val="BodyText"/>
        <w:rPr>
          <w:lang w:val="en-US"/>
        </w:rPr>
      </w:pPr>
      <w:r w:rsidRPr="009816DB">
        <w:t xml:space="preserve">The different types of disavowals </w:t>
      </w:r>
      <w:r>
        <w:t xml:space="preserve">noted above </w:t>
      </w:r>
      <w:r w:rsidRPr="009816DB">
        <w:t>will be tracked in the system for easy access for reporting and analysis</w:t>
      </w:r>
      <w:r>
        <w:rPr>
          <w:lang w:val="en-US"/>
        </w:rPr>
        <w:t xml:space="preserve">; however, all SBD disavowals are treated as out of scope in </w:t>
      </w:r>
      <w:r w:rsidR="00773CD1">
        <w:rPr>
          <w:lang w:val="en-US"/>
        </w:rPr>
        <w:t xml:space="preserve">completion </w:t>
      </w:r>
      <w:r>
        <w:rPr>
          <w:lang w:val="en-US"/>
        </w:rPr>
        <w:t>rate</w:t>
      </w:r>
      <w:r w:rsidR="00773CD1">
        <w:rPr>
          <w:lang w:val="en-US"/>
        </w:rPr>
        <w:t xml:space="preserve"> calculations</w:t>
      </w:r>
      <w:r w:rsidRPr="009816DB">
        <w:t xml:space="preserve">. </w:t>
      </w:r>
    </w:p>
    <w:p w14:paraId="38485EE7" w14:textId="77777777" w:rsidR="008A716D" w:rsidRPr="009816DB" w:rsidRDefault="00D8528A" w:rsidP="0073513C">
      <w:pPr>
        <w:pStyle w:val="Heading1"/>
      </w:pPr>
      <w:bookmarkStart w:id="66" w:name="_Toc326235184"/>
      <w:bookmarkStart w:id="67" w:name="_Toc188880715"/>
      <w:r>
        <w:rPr>
          <w:lang w:val="en-US"/>
        </w:rPr>
        <w:t xml:space="preserve">Document Handling and </w:t>
      </w:r>
      <w:r w:rsidR="008A716D" w:rsidRPr="009816DB">
        <w:t>Abstraction Procedures</w:t>
      </w:r>
      <w:bookmarkEnd w:id="66"/>
      <w:bookmarkEnd w:id="67"/>
    </w:p>
    <w:p w14:paraId="4B6D9D9B" w14:textId="4980FD48" w:rsidR="008A716D" w:rsidRDefault="00047BAB" w:rsidP="006C514B">
      <w:pPr>
        <w:pStyle w:val="BodyText"/>
      </w:pPr>
      <w:r>
        <w:rPr>
          <w:lang w:val="en-US"/>
        </w:rPr>
        <w:t>Typically, about 25% of</w:t>
      </w:r>
      <w:r w:rsidR="00503AA1">
        <w:rPr>
          <w:lang w:val="en-US"/>
        </w:rPr>
        <w:t xml:space="preserve"> SBD</w:t>
      </w:r>
      <w:r>
        <w:rPr>
          <w:lang w:val="en-US"/>
        </w:rPr>
        <w:t xml:space="preserve"> nodes are collected via records, while the remaining approximately 75% of </w:t>
      </w:r>
      <w:r w:rsidR="00503AA1">
        <w:rPr>
          <w:lang w:val="en-US"/>
        </w:rPr>
        <w:t xml:space="preserve">SBD </w:t>
      </w:r>
      <w:r>
        <w:rPr>
          <w:lang w:val="en-US"/>
        </w:rPr>
        <w:t xml:space="preserve">nodes are collected via phone.  </w:t>
      </w:r>
      <w:r w:rsidR="008A716D" w:rsidRPr="00D8528A">
        <w:t>Procedures for receipting</w:t>
      </w:r>
      <w:r w:rsidR="002F20F5">
        <w:rPr>
          <w:lang w:val="en-US"/>
        </w:rPr>
        <w:t xml:space="preserve"> and processing </w:t>
      </w:r>
      <w:r w:rsidR="008A716D" w:rsidRPr="00D8528A">
        <w:t xml:space="preserve">PA </w:t>
      </w:r>
      <w:r w:rsidR="006C514B">
        <w:rPr>
          <w:lang w:val="en-US"/>
        </w:rPr>
        <w:t xml:space="preserve">for SBDs mirror those used for </w:t>
      </w:r>
      <w:r w:rsidR="008A716D" w:rsidRPr="00D8528A">
        <w:t>other provider types.</w:t>
      </w:r>
      <w:r w:rsidR="0073513C" w:rsidRPr="00D8528A">
        <w:t xml:space="preserve"> </w:t>
      </w:r>
      <w:r w:rsidR="008A716D" w:rsidRPr="00D8528A">
        <w:t xml:space="preserve">However, determining how to receipt records </w:t>
      </w:r>
      <w:r w:rsidR="006C514B">
        <w:rPr>
          <w:lang w:val="en-US"/>
        </w:rPr>
        <w:t xml:space="preserve">for SBD </w:t>
      </w:r>
      <w:r w:rsidR="008A716D" w:rsidRPr="00D8528A">
        <w:t>can be more challenging.</w:t>
      </w:r>
      <w:r w:rsidR="0073513C">
        <w:t xml:space="preserve"> </w:t>
      </w:r>
      <w:r w:rsidR="008A716D">
        <w:t>First, records for a patient may include events with more than one provider within a particular group practice; thus they may need to be parsed among more than one patient-provider pair.</w:t>
      </w:r>
      <w:r w:rsidR="0073513C">
        <w:t xml:space="preserve"> </w:t>
      </w:r>
      <w:r w:rsidR="008A716D">
        <w:t xml:space="preserve">Second, while </w:t>
      </w:r>
      <w:r w:rsidR="005A0065">
        <w:rPr>
          <w:lang w:val="en-US"/>
        </w:rPr>
        <w:t>the protocol is to</w:t>
      </w:r>
      <w:r w:rsidR="008A716D">
        <w:t xml:space="preserve"> request professional fees, </w:t>
      </w:r>
      <w:r w:rsidR="005A0065">
        <w:rPr>
          <w:lang w:val="en-US"/>
        </w:rPr>
        <w:t>the DCS</w:t>
      </w:r>
      <w:r w:rsidR="008A716D">
        <w:t xml:space="preserve"> may again receive the same facility fees received </w:t>
      </w:r>
      <w:r w:rsidR="005A0065">
        <w:rPr>
          <w:lang w:val="en-US"/>
        </w:rPr>
        <w:t>during</w:t>
      </w:r>
      <w:r w:rsidR="008A716D">
        <w:t xml:space="preserve"> </w:t>
      </w:r>
      <w:r w:rsidR="002031B6">
        <w:rPr>
          <w:lang w:val="en-US"/>
        </w:rPr>
        <w:t>H</w:t>
      </w:r>
      <w:proofErr w:type="spellStart"/>
      <w:r w:rsidR="002031B6">
        <w:t>ospital</w:t>
      </w:r>
      <w:proofErr w:type="spellEnd"/>
      <w:r w:rsidR="002031B6">
        <w:t xml:space="preserve"> </w:t>
      </w:r>
      <w:r w:rsidR="008A716D">
        <w:t xml:space="preserve">and </w:t>
      </w:r>
      <w:r w:rsidR="002031B6">
        <w:rPr>
          <w:lang w:val="en-US"/>
        </w:rPr>
        <w:t>I</w:t>
      </w:r>
      <w:proofErr w:type="spellStart"/>
      <w:r w:rsidR="002031B6">
        <w:t>nstitution</w:t>
      </w:r>
      <w:proofErr w:type="spellEnd"/>
      <w:r w:rsidR="002031B6">
        <w:t xml:space="preserve"> </w:t>
      </w:r>
      <w:r w:rsidR="005A0065">
        <w:rPr>
          <w:lang w:val="en-US"/>
        </w:rPr>
        <w:t>data collection</w:t>
      </w:r>
      <w:r w:rsidR="008A716D">
        <w:t xml:space="preserve">; these </w:t>
      </w:r>
      <w:r w:rsidR="00C8343B">
        <w:rPr>
          <w:lang w:val="en-US"/>
        </w:rPr>
        <w:t>are</w:t>
      </w:r>
      <w:r w:rsidR="00C8343B">
        <w:t xml:space="preserve"> </w:t>
      </w:r>
      <w:r w:rsidR="008A716D">
        <w:t>not receipted as PA.</w:t>
      </w:r>
      <w:r w:rsidR="0073513C">
        <w:t xml:space="preserve"> </w:t>
      </w:r>
      <w:r w:rsidR="008A716D">
        <w:t xml:space="preserve">Third, </w:t>
      </w:r>
      <w:bookmarkStart w:id="68" w:name="_Hlk533597125"/>
      <w:r w:rsidR="008A716D">
        <w:t>for SBD data collection</w:t>
      </w:r>
      <w:r w:rsidR="005A0065">
        <w:rPr>
          <w:lang w:val="en-US"/>
        </w:rPr>
        <w:t>, the emphasis is on</w:t>
      </w:r>
      <w:r w:rsidR="008A716D">
        <w:t xml:space="preserve"> particular events; if these events do not all appear to be present in the records </w:t>
      </w:r>
      <w:r w:rsidR="006C514B">
        <w:t>received</w:t>
      </w:r>
      <w:r w:rsidR="006C514B">
        <w:rPr>
          <w:lang w:val="en-US"/>
        </w:rPr>
        <w:t>,</w:t>
      </w:r>
      <w:r w:rsidR="006C514B">
        <w:t xml:space="preserve"> </w:t>
      </w:r>
      <w:r w:rsidR="008A716D">
        <w:t>the</w:t>
      </w:r>
      <w:r w:rsidR="00C8343B">
        <w:rPr>
          <w:lang w:val="en-US"/>
        </w:rPr>
        <w:t xml:space="preserve"> records</w:t>
      </w:r>
      <w:r w:rsidR="008A716D">
        <w:t xml:space="preserve"> </w:t>
      </w:r>
      <w:r w:rsidR="00C8343B">
        <w:rPr>
          <w:lang w:val="en-US"/>
        </w:rPr>
        <w:t>are</w:t>
      </w:r>
      <w:r w:rsidR="008A716D">
        <w:t xml:space="preserve"> receipted as partial PA</w:t>
      </w:r>
      <w:r w:rsidR="00C8343B">
        <w:rPr>
          <w:lang w:val="en-US"/>
        </w:rPr>
        <w:t>, and a note is left in the system for the DCS to follow up with additional prompts for full PA records</w:t>
      </w:r>
      <w:r w:rsidR="008A716D">
        <w:t>.</w:t>
      </w:r>
      <w:r w:rsidR="0073513C">
        <w:t xml:space="preserve"> </w:t>
      </w:r>
      <w:bookmarkEnd w:id="68"/>
      <w:r w:rsidR="008A716D">
        <w:t xml:space="preserve">Fourth, </w:t>
      </w:r>
      <w:bookmarkStart w:id="69" w:name="_Hlk533597160"/>
      <w:r w:rsidR="008A716D">
        <w:t xml:space="preserve">POCs often send a disavowal note indicating they have no records for the patient; these </w:t>
      </w:r>
      <w:r w:rsidR="005D3FFA">
        <w:rPr>
          <w:lang w:val="en-US"/>
        </w:rPr>
        <w:t xml:space="preserve">documents </w:t>
      </w:r>
      <w:r w:rsidR="00C8343B">
        <w:rPr>
          <w:lang w:val="en-US"/>
        </w:rPr>
        <w:t>are</w:t>
      </w:r>
      <w:r w:rsidR="008A716D">
        <w:t xml:space="preserve"> receipted as “</w:t>
      </w:r>
      <w:r w:rsidR="001720B1">
        <w:rPr>
          <w:lang w:val="en-US"/>
        </w:rPr>
        <w:t>miscellaneous</w:t>
      </w:r>
      <w:r w:rsidR="008A716D">
        <w:t>” records.</w:t>
      </w:r>
      <w:bookmarkEnd w:id="69"/>
    </w:p>
    <w:p w14:paraId="47442D68" w14:textId="30A0E344" w:rsidR="008A716D" w:rsidRDefault="008A716D" w:rsidP="006C514B">
      <w:pPr>
        <w:pStyle w:val="BodyText"/>
      </w:pPr>
      <w:r>
        <w:t>After records are receipted, they are reviewed to ensure</w:t>
      </w:r>
      <w:r w:rsidR="006C514B">
        <w:rPr>
          <w:lang w:val="en-US"/>
        </w:rPr>
        <w:t xml:space="preserve"> the</w:t>
      </w:r>
      <w:r>
        <w:t xml:space="preserve"> accuracy of receipting and </w:t>
      </w:r>
      <w:r w:rsidR="00FF352F">
        <w:rPr>
          <w:lang w:val="en-US"/>
        </w:rPr>
        <w:t xml:space="preserve">to </w:t>
      </w:r>
      <w:r>
        <w:t>determine next steps.</w:t>
      </w:r>
      <w:r w:rsidR="0073513C">
        <w:t xml:space="preserve"> </w:t>
      </w:r>
      <w:r>
        <w:t>For the SBD</w:t>
      </w:r>
      <w:r w:rsidR="00BC09F5">
        <w:rPr>
          <w:lang w:val="en-US"/>
        </w:rPr>
        <w:t xml:space="preserve"> </w:t>
      </w:r>
      <w:r>
        <w:t xml:space="preserve">provider type, instead of comparing records received to the expected events from the </w:t>
      </w:r>
      <w:r w:rsidR="009164CE">
        <w:rPr>
          <w:lang w:val="en-US"/>
        </w:rPr>
        <w:t>HC</w:t>
      </w:r>
      <w:r>
        <w:t xml:space="preserve">, </w:t>
      </w:r>
      <w:r w:rsidR="00FD58A7">
        <w:rPr>
          <w:lang w:val="en-US"/>
        </w:rPr>
        <w:t>staff</w:t>
      </w:r>
      <w:r>
        <w:t xml:space="preserve"> will compare the events in records received to the nodes collected from the MPC </w:t>
      </w:r>
      <w:r w:rsidR="006C514B">
        <w:rPr>
          <w:lang w:val="en-US"/>
        </w:rPr>
        <w:t>H</w:t>
      </w:r>
      <w:proofErr w:type="spellStart"/>
      <w:r>
        <w:t>ospital</w:t>
      </w:r>
      <w:proofErr w:type="spellEnd"/>
      <w:r>
        <w:t xml:space="preserve"> and </w:t>
      </w:r>
      <w:r w:rsidR="006C514B">
        <w:rPr>
          <w:lang w:val="en-US"/>
        </w:rPr>
        <w:t>I</w:t>
      </w:r>
      <w:proofErr w:type="spellStart"/>
      <w:r>
        <w:t>nstitution</w:t>
      </w:r>
      <w:proofErr w:type="spellEnd"/>
      <w:r>
        <w:t xml:space="preserve"> events. If the events in the SBD records do not appear to fill all nodes, </w:t>
      </w:r>
      <w:r w:rsidR="00FD58A7">
        <w:rPr>
          <w:lang w:val="en-US"/>
        </w:rPr>
        <w:t>staff</w:t>
      </w:r>
      <w:r>
        <w:t xml:space="preserve"> will instruct the DCS to recontact the POC to probe about the missing nodes, determine an alternate POC who could have those records, or ascertain if no records are available because the provider was a referring doctor, copied doctor, follow-up doctor, or department head.</w:t>
      </w:r>
      <w:r w:rsidR="0073513C">
        <w:t xml:space="preserve"> </w:t>
      </w:r>
      <w:r>
        <w:t xml:space="preserve">Likewise, if the documents received contain a disavowal note, the supervisor will have the DCS contact the POC to probe </w:t>
      </w:r>
      <w:r w:rsidR="006C514B">
        <w:rPr>
          <w:lang w:val="en-US"/>
        </w:rPr>
        <w:t xml:space="preserve">and </w:t>
      </w:r>
      <w:r>
        <w:t>verify that a disavowal code is the most appropriate resolution of the node(s).</w:t>
      </w:r>
      <w:bookmarkStart w:id="70" w:name="_Toc326235186"/>
      <w:r w:rsidR="00575BB9">
        <w:rPr>
          <w:lang w:val="en-US"/>
        </w:rPr>
        <w:t xml:space="preserve"> </w:t>
      </w:r>
      <w:r>
        <w:rPr>
          <w:lang w:val="en-US"/>
        </w:rPr>
        <w:t xml:space="preserve">If </w:t>
      </w:r>
      <w:r w:rsidR="00FD58A7">
        <w:rPr>
          <w:lang w:val="en-US"/>
        </w:rPr>
        <w:t>staff</w:t>
      </w:r>
      <w:r>
        <w:rPr>
          <w:lang w:val="en-US"/>
        </w:rPr>
        <w:t xml:space="preserve"> determine the records contain the necessary nodes</w:t>
      </w:r>
      <w:r w:rsidR="006C514B">
        <w:rPr>
          <w:lang w:val="en-US"/>
        </w:rPr>
        <w:t>,</w:t>
      </w:r>
      <w:r>
        <w:rPr>
          <w:lang w:val="en-US"/>
        </w:rPr>
        <w:t xml:space="preserve"> </w:t>
      </w:r>
      <w:r w:rsidR="006C514B">
        <w:rPr>
          <w:lang w:val="en-US"/>
        </w:rPr>
        <w:t xml:space="preserve">the </w:t>
      </w:r>
      <w:r>
        <w:rPr>
          <w:lang w:val="en-US"/>
        </w:rPr>
        <w:t xml:space="preserve">abstractor will record </w:t>
      </w:r>
      <w:r w:rsidRPr="005E3269">
        <w:t xml:space="preserve">the data </w:t>
      </w:r>
      <w:r w:rsidR="00790F68">
        <w:rPr>
          <w:lang w:val="en-US"/>
        </w:rPr>
        <w:t>in</w:t>
      </w:r>
      <w:r>
        <w:t xml:space="preserve">to an </w:t>
      </w:r>
      <w:r w:rsidR="002F20F5">
        <w:rPr>
          <w:lang w:val="en-US"/>
        </w:rPr>
        <w:t xml:space="preserve">electronic </w:t>
      </w:r>
      <w:r>
        <w:t>abstraction notes form</w:t>
      </w:r>
      <w:r>
        <w:rPr>
          <w:lang w:val="en-US"/>
        </w:rPr>
        <w:t>,</w:t>
      </w:r>
      <w:r>
        <w:t xml:space="preserve"> </w:t>
      </w:r>
      <w:r w:rsidRPr="005E3269">
        <w:t xml:space="preserve">and </w:t>
      </w:r>
      <w:r>
        <w:t>the</w:t>
      </w:r>
      <w:r w:rsidR="002F20F5">
        <w:rPr>
          <w:lang w:val="en-US"/>
        </w:rPr>
        <w:t xml:space="preserve"> data are programmatically transferred</w:t>
      </w:r>
      <w:r w:rsidRPr="005E3269">
        <w:t xml:space="preserve"> into the SBD event form.</w:t>
      </w:r>
      <w:r w:rsidR="0073513C">
        <w:t xml:space="preserve"> </w:t>
      </w:r>
      <w:r w:rsidRPr="005E3269">
        <w:t xml:space="preserve">After the </w:t>
      </w:r>
      <w:r w:rsidR="002F20F5">
        <w:rPr>
          <w:lang w:val="en-US"/>
        </w:rPr>
        <w:t>event form has been populated,</w:t>
      </w:r>
      <w:r w:rsidRPr="005E3269">
        <w:t xml:space="preserve"> the system will evaluate </w:t>
      </w:r>
      <w:r>
        <w:rPr>
          <w:lang w:val="en-US"/>
        </w:rPr>
        <w:t>the</w:t>
      </w:r>
      <w:r w:rsidRPr="005E3269">
        <w:t xml:space="preserve"> completeness </w:t>
      </w:r>
      <w:r>
        <w:rPr>
          <w:lang w:val="en-US"/>
        </w:rPr>
        <w:t xml:space="preserve">of each node </w:t>
      </w:r>
      <w:r w:rsidRPr="005E3269">
        <w:t>and the case will either be finalized or submitted for data retrieval.</w:t>
      </w:r>
      <w:r w:rsidR="0073513C">
        <w:t xml:space="preserve"> </w:t>
      </w:r>
      <w:r w:rsidRPr="005E3269">
        <w:t xml:space="preserve">To minimize burden to the provider, re-contacts </w:t>
      </w:r>
      <w:r w:rsidR="006C514B" w:rsidRPr="005E3269">
        <w:t xml:space="preserve">to collect any missing information </w:t>
      </w:r>
      <w:r w:rsidRPr="005E3269">
        <w:t>will be made in an efficient manner.</w:t>
      </w:r>
      <w:bookmarkEnd w:id="70"/>
      <w:r w:rsidRPr="005E3269" w:rsidDel="00D96D13">
        <w:t xml:space="preserve"> </w:t>
      </w:r>
      <w:bookmarkStart w:id="71" w:name="_Toc326234793"/>
      <w:bookmarkStart w:id="72" w:name="_Toc221595833"/>
      <w:bookmarkStart w:id="73" w:name="_Toc221595835"/>
      <w:bookmarkStart w:id="74" w:name="_Toc326235187"/>
      <w:bookmarkEnd w:id="71"/>
      <w:bookmarkEnd w:id="72"/>
      <w:bookmarkEnd w:id="73"/>
    </w:p>
    <w:p w14:paraId="1D8ED06A" w14:textId="07C26A5C" w:rsidR="008A716D" w:rsidRDefault="008A716D" w:rsidP="006C514B">
      <w:pPr>
        <w:pStyle w:val="BodyText"/>
        <w:rPr>
          <w:lang w:val="en-US"/>
        </w:rPr>
      </w:pPr>
      <w:r>
        <w:t xml:space="preserve">For those difficult and sensitive cases </w:t>
      </w:r>
      <w:r w:rsidR="009164CE">
        <w:rPr>
          <w:lang w:val="en-US"/>
        </w:rPr>
        <w:t>requiring</w:t>
      </w:r>
      <w:r>
        <w:t xml:space="preserve"> a negotiator to maintain contact with the POC throughout completion, </w:t>
      </w:r>
      <w:r w:rsidR="005A0065">
        <w:rPr>
          <w:lang w:val="en-US"/>
        </w:rPr>
        <w:t>production supervisors</w:t>
      </w:r>
      <w:r w:rsidR="005A0065">
        <w:t xml:space="preserve"> </w:t>
      </w:r>
      <w:r>
        <w:t xml:space="preserve">will team negotiators and skilled abstractors together. When appropriate, negotiators and abstractors </w:t>
      </w:r>
      <w:r w:rsidR="009164CE">
        <w:rPr>
          <w:lang w:val="en-US"/>
        </w:rPr>
        <w:t xml:space="preserve">will work </w:t>
      </w:r>
      <w:r>
        <w:t xml:space="preserve">together to allow the negotiator to continue contact with the POC after records have been received and </w:t>
      </w:r>
      <w:r w:rsidR="006C514B">
        <w:rPr>
          <w:lang w:val="en-US"/>
        </w:rPr>
        <w:t xml:space="preserve">to </w:t>
      </w:r>
      <w:r>
        <w:t xml:space="preserve">work with the abstractor to follow up on any retrieval items. Allowing the negotiator and abstractor to work together for difficult cases </w:t>
      </w:r>
      <w:r w:rsidR="006C514B">
        <w:rPr>
          <w:lang w:val="en-US"/>
        </w:rPr>
        <w:t>maintains</w:t>
      </w:r>
      <w:r w:rsidR="00575BB9">
        <w:rPr>
          <w:lang w:val="en-US"/>
        </w:rPr>
        <w:t xml:space="preserve"> </w:t>
      </w:r>
      <w:r>
        <w:t>consistency when working the case and rapport with sensitive POCs because they only communicate with one person throughout the life of a case.</w:t>
      </w:r>
    </w:p>
    <w:p w14:paraId="449CF73F" w14:textId="77777777" w:rsidR="008A716D" w:rsidRPr="009816DB" w:rsidRDefault="008A716D" w:rsidP="0073513C">
      <w:pPr>
        <w:pStyle w:val="Heading1"/>
      </w:pPr>
      <w:bookmarkStart w:id="75" w:name="_Toc326235193"/>
      <w:bookmarkStart w:id="76" w:name="_Toc188880716"/>
      <w:bookmarkEnd w:id="74"/>
      <w:r>
        <w:lastRenderedPageBreak/>
        <w:t>Management</w:t>
      </w:r>
      <w:r w:rsidRPr="009816DB">
        <w:t xml:space="preserve"> Plan</w:t>
      </w:r>
      <w:bookmarkEnd w:id="76"/>
      <w:r w:rsidRPr="009816DB">
        <w:t xml:space="preserve"> </w:t>
      </w:r>
      <w:bookmarkEnd w:id="75"/>
    </w:p>
    <w:p w14:paraId="54C605F3" w14:textId="77777777" w:rsidR="008A716D" w:rsidRPr="009816DB" w:rsidRDefault="008A716D" w:rsidP="003C2B28">
      <w:pPr>
        <w:pStyle w:val="Heading2"/>
      </w:pPr>
      <w:bookmarkStart w:id="77" w:name="_Toc326235194"/>
      <w:bookmarkStart w:id="78" w:name="_Toc188880717"/>
      <w:r>
        <w:t>Management</w:t>
      </w:r>
      <w:bookmarkEnd w:id="77"/>
      <w:bookmarkEnd w:id="78"/>
    </w:p>
    <w:p w14:paraId="4BDF21DB" w14:textId="14EE7E45" w:rsidR="008A716D" w:rsidRDefault="008A716D" w:rsidP="004C5314">
      <w:pPr>
        <w:pStyle w:val="BodyText"/>
        <w:rPr>
          <w:lang w:val="en-US"/>
        </w:rPr>
      </w:pPr>
      <w:r>
        <w:rPr>
          <w:lang w:val="en-US"/>
        </w:rPr>
        <w:t xml:space="preserve">The </w:t>
      </w:r>
      <w:r w:rsidR="009164CE">
        <w:rPr>
          <w:lang w:val="en-US"/>
        </w:rPr>
        <w:t xml:space="preserve">MPC </w:t>
      </w:r>
      <w:r>
        <w:t>Project Director</w:t>
      </w:r>
      <w:r w:rsidRPr="00996A3D">
        <w:t xml:space="preserve"> will be actively</w:t>
      </w:r>
      <w:r>
        <w:t xml:space="preserve"> engaged in every aspect of</w:t>
      </w:r>
      <w:r>
        <w:rPr>
          <w:lang w:val="en-US"/>
        </w:rPr>
        <w:t xml:space="preserve"> SBD data collection</w:t>
      </w:r>
      <w:r w:rsidRPr="00996A3D">
        <w:t xml:space="preserve"> from sample preparation </w:t>
      </w:r>
      <w:r>
        <w:rPr>
          <w:lang w:val="en-US"/>
        </w:rPr>
        <w:t xml:space="preserve">through </w:t>
      </w:r>
      <w:r w:rsidRPr="00996A3D">
        <w:t>data collection operations</w:t>
      </w:r>
      <w:r>
        <w:rPr>
          <w:lang w:val="en-US"/>
        </w:rPr>
        <w:t xml:space="preserve"> </w:t>
      </w:r>
      <w:r w:rsidRPr="00996A3D">
        <w:t xml:space="preserve">and </w:t>
      </w:r>
      <w:r>
        <w:rPr>
          <w:lang w:val="en-US"/>
        </w:rPr>
        <w:t xml:space="preserve">data </w:t>
      </w:r>
      <w:r w:rsidRPr="00996A3D">
        <w:t xml:space="preserve">file delivery. </w:t>
      </w:r>
      <w:r>
        <w:rPr>
          <w:lang w:val="en-US"/>
        </w:rPr>
        <w:t xml:space="preserve">The </w:t>
      </w:r>
      <w:r w:rsidR="006C2A9C">
        <w:rPr>
          <w:lang w:val="en-US"/>
        </w:rPr>
        <w:t>P</w:t>
      </w:r>
      <w:r>
        <w:rPr>
          <w:lang w:val="en-US"/>
        </w:rPr>
        <w:t xml:space="preserve">roject </w:t>
      </w:r>
      <w:r w:rsidR="006C2A9C">
        <w:rPr>
          <w:lang w:val="en-US"/>
        </w:rPr>
        <w:t>D</w:t>
      </w:r>
      <w:r>
        <w:rPr>
          <w:lang w:val="en-US"/>
        </w:rPr>
        <w:t>irector</w:t>
      </w:r>
      <w:r w:rsidRPr="00996A3D">
        <w:t xml:space="preserve"> regularly attends, and is actively involved in, the weekly production meeting, data quality meetings, monthly financial review meetings with team leaders</w:t>
      </w:r>
      <w:r>
        <w:rPr>
          <w:lang w:val="en-US"/>
        </w:rPr>
        <w:t xml:space="preserve">, </w:t>
      </w:r>
      <w:r w:rsidRPr="00996A3D">
        <w:t>meetings of supervisory staff</w:t>
      </w:r>
      <w:r>
        <w:rPr>
          <w:lang w:val="en-US"/>
        </w:rPr>
        <w:t>,</w:t>
      </w:r>
      <w:r w:rsidRPr="00996A3D">
        <w:t xml:space="preserve"> and quality circle meetings with DCSs. </w:t>
      </w:r>
      <w:r>
        <w:rPr>
          <w:lang w:val="en-US"/>
        </w:rPr>
        <w:t xml:space="preserve">The </w:t>
      </w:r>
      <w:r w:rsidR="006C2A9C">
        <w:rPr>
          <w:lang w:val="en-US"/>
        </w:rPr>
        <w:t>P</w:t>
      </w:r>
      <w:r>
        <w:rPr>
          <w:lang w:val="en-US"/>
        </w:rPr>
        <w:t xml:space="preserve">roject </w:t>
      </w:r>
      <w:r w:rsidR="006C2A9C">
        <w:rPr>
          <w:lang w:val="en-US"/>
        </w:rPr>
        <w:t>D</w:t>
      </w:r>
      <w:r>
        <w:rPr>
          <w:lang w:val="en-US"/>
        </w:rPr>
        <w:t xml:space="preserve">irector </w:t>
      </w:r>
      <w:r>
        <w:t>has</w:t>
      </w:r>
      <w:r w:rsidRPr="00996A3D">
        <w:t xml:space="preserve"> the ultimate authority and responsibility for decision</w:t>
      </w:r>
      <w:r w:rsidR="00A07009">
        <w:rPr>
          <w:lang w:val="en-US"/>
        </w:rPr>
        <w:t xml:space="preserve"> </w:t>
      </w:r>
      <w:r w:rsidRPr="00996A3D">
        <w:t xml:space="preserve">making related to </w:t>
      </w:r>
      <w:r>
        <w:rPr>
          <w:lang w:val="en-US"/>
        </w:rPr>
        <w:t xml:space="preserve">SBD </w:t>
      </w:r>
      <w:r w:rsidRPr="00996A3D">
        <w:t>data collection operations</w:t>
      </w:r>
      <w:r w:rsidR="004C5314">
        <w:rPr>
          <w:lang w:val="en-US"/>
        </w:rPr>
        <w:t>,</w:t>
      </w:r>
      <w:r>
        <w:rPr>
          <w:lang w:val="en-US"/>
        </w:rPr>
        <w:t xml:space="preserve"> as with </w:t>
      </w:r>
      <w:r w:rsidRPr="00996A3D">
        <w:t>all other tasks on the project.</w:t>
      </w:r>
      <w:r w:rsidR="00D7048C">
        <w:rPr>
          <w:lang w:val="en-US"/>
        </w:rPr>
        <w:t xml:space="preserve"> The </w:t>
      </w:r>
      <w:r w:rsidR="006C2A9C">
        <w:rPr>
          <w:lang w:val="en-US"/>
        </w:rPr>
        <w:t>A</w:t>
      </w:r>
      <w:r w:rsidR="00D7048C">
        <w:rPr>
          <w:lang w:val="en-US"/>
        </w:rPr>
        <w:t xml:space="preserve">ssociate </w:t>
      </w:r>
      <w:r w:rsidR="006C2A9C">
        <w:rPr>
          <w:lang w:val="en-US"/>
        </w:rPr>
        <w:t>P</w:t>
      </w:r>
      <w:r w:rsidR="00D7048C">
        <w:rPr>
          <w:lang w:val="en-US"/>
        </w:rPr>
        <w:t xml:space="preserve">roject </w:t>
      </w:r>
      <w:r w:rsidR="006C2A9C">
        <w:rPr>
          <w:lang w:val="en-US"/>
        </w:rPr>
        <w:t>D</w:t>
      </w:r>
      <w:r w:rsidR="00D7048C">
        <w:rPr>
          <w:lang w:val="en-US"/>
        </w:rPr>
        <w:t xml:space="preserve">irector will assist the </w:t>
      </w:r>
      <w:r w:rsidR="00A07009">
        <w:rPr>
          <w:lang w:val="en-US"/>
        </w:rPr>
        <w:t>P</w:t>
      </w:r>
      <w:r w:rsidR="00D7048C">
        <w:rPr>
          <w:lang w:val="en-US"/>
        </w:rPr>
        <w:t xml:space="preserve">roject </w:t>
      </w:r>
      <w:r w:rsidR="00A07009">
        <w:rPr>
          <w:lang w:val="en-US"/>
        </w:rPr>
        <w:t>D</w:t>
      </w:r>
      <w:r w:rsidR="00D7048C">
        <w:rPr>
          <w:lang w:val="en-US"/>
        </w:rPr>
        <w:t xml:space="preserve">irector with management of the project and will also assist the </w:t>
      </w:r>
      <w:r w:rsidR="004316D8">
        <w:rPr>
          <w:lang w:val="en-US"/>
        </w:rPr>
        <w:t>D</w:t>
      </w:r>
      <w:r w:rsidR="00D7048C">
        <w:rPr>
          <w:lang w:val="en-US"/>
        </w:rPr>
        <w:t xml:space="preserve">ata </w:t>
      </w:r>
      <w:r w:rsidR="004316D8">
        <w:rPr>
          <w:lang w:val="en-US"/>
        </w:rPr>
        <w:t>C</w:t>
      </w:r>
      <w:r w:rsidR="00D7048C">
        <w:rPr>
          <w:lang w:val="en-US"/>
        </w:rPr>
        <w:t xml:space="preserve">ollection </w:t>
      </w:r>
      <w:r w:rsidR="004316D8">
        <w:rPr>
          <w:lang w:val="en-US"/>
        </w:rPr>
        <w:t>T</w:t>
      </w:r>
      <w:r w:rsidR="00D7048C">
        <w:rPr>
          <w:lang w:val="en-US"/>
        </w:rPr>
        <w:t xml:space="preserve">eam </w:t>
      </w:r>
      <w:r w:rsidR="004316D8">
        <w:rPr>
          <w:lang w:val="en-US"/>
        </w:rPr>
        <w:t>L</w:t>
      </w:r>
      <w:r w:rsidR="00D7048C">
        <w:rPr>
          <w:lang w:val="en-US"/>
        </w:rPr>
        <w:t xml:space="preserve">eader with technical oversight. </w:t>
      </w:r>
      <w:r w:rsidRPr="00996A3D">
        <w:t xml:space="preserve"> </w:t>
      </w:r>
    </w:p>
    <w:p w14:paraId="4A229B96" w14:textId="2E628AE5" w:rsidR="008A716D" w:rsidRDefault="004C5314" w:rsidP="004C5314">
      <w:pPr>
        <w:pStyle w:val="BodyText"/>
        <w:rPr>
          <w:lang w:val="en-US"/>
        </w:rPr>
      </w:pPr>
      <w:r>
        <w:rPr>
          <w:lang w:val="en-US"/>
        </w:rPr>
        <w:t>The</w:t>
      </w:r>
      <w:r w:rsidR="008A716D">
        <w:t xml:space="preserve"> data collection team will be led by the </w:t>
      </w:r>
      <w:r w:rsidR="006C2A9C">
        <w:rPr>
          <w:lang w:val="en-US"/>
        </w:rPr>
        <w:t>D</w:t>
      </w:r>
      <w:proofErr w:type="spellStart"/>
      <w:r w:rsidR="008A716D">
        <w:t>ata</w:t>
      </w:r>
      <w:proofErr w:type="spellEnd"/>
      <w:r w:rsidR="008A716D">
        <w:t xml:space="preserve"> </w:t>
      </w:r>
      <w:r w:rsidR="006C2A9C">
        <w:rPr>
          <w:lang w:val="en-US"/>
        </w:rPr>
        <w:t>C</w:t>
      </w:r>
      <w:proofErr w:type="spellStart"/>
      <w:r w:rsidR="008A716D">
        <w:t>ollection</w:t>
      </w:r>
      <w:proofErr w:type="spellEnd"/>
      <w:r w:rsidR="008A716D">
        <w:t xml:space="preserve"> </w:t>
      </w:r>
      <w:r w:rsidR="006C2A9C">
        <w:rPr>
          <w:lang w:val="en-US"/>
        </w:rPr>
        <w:t>T</w:t>
      </w:r>
      <w:proofErr w:type="spellStart"/>
      <w:r w:rsidR="008A716D">
        <w:t>eam</w:t>
      </w:r>
      <w:proofErr w:type="spellEnd"/>
      <w:r w:rsidR="008A716D">
        <w:t xml:space="preserve"> </w:t>
      </w:r>
      <w:r w:rsidR="006C2A9C">
        <w:rPr>
          <w:lang w:val="en-US"/>
        </w:rPr>
        <w:t>L</w:t>
      </w:r>
      <w:proofErr w:type="spellStart"/>
      <w:r w:rsidR="008A716D">
        <w:t>eader</w:t>
      </w:r>
      <w:proofErr w:type="spellEnd"/>
      <w:r w:rsidR="008A716D">
        <w:rPr>
          <w:lang w:val="en-US"/>
        </w:rPr>
        <w:t>, who, with deference to the Project Director,</w:t>
      </w:r>
      <w:r w:rsidR="008A716D">
        <w:t xml:space="preserve"> will provide overall direction and supervision for all aspects of data collection, including instrumentation, training, coding, and data collection production and quality. </w:t>
      </w:r>
    </w:p>
    <w:p w14:paraId="2CB798D8" w14:textId="709C36A8" w:rsidR="008A716D" w:rsidRPr="004F0A80" w:rsidRDefault="008A716D" w:rsidP="004C5314">
      <w:pPr>
        <w:pStyle w:val="BodyText"/>
        <w:rPr>
          <w:lang w:val="en-US"/>
        </w:rPr>
      </w:pPr>
      <w:r>
        <w:t xml:space="preserve">The </w:t>
      </w:r>
      <w:r w:rsidR="006C2A9C">
        <w:rPr>
          <w:lang w:val="en-US"/>
        </w:rPr>
        <w:t>P</w:t>
      </w:r>
      <w:r w:rsidR="00FF352F">
        <w:rPr>
          <w:lang w:val="en-US"/>
        </w:rPr>
        <w:t xml:space="preserve">roduction </w:t>
      </w:r>
      <w:r w:rsidR="006C2A9C">
        <w:rPr>
          <w:lang w:val="en-US"/>
        </w:rPr>
        <w:t>M</w:t>
      </w:r>
      <w:r w:rsidR="00FF352F">
        <w:rPr>
          <w:lang w:val="en-US"/>
        </w:rPr>
        <w:t>anager</w:t>
      </w:r>
      <w:r>
        <w:t>, who works under the</w:t>
      </w:r>
      <w:r>
        <w:rPr>
          <w:lang w:val="en-US"/>
        </w:rPr>
        <w:t xml:space="preserve"> </w:t>
      </w:r>
      <w:r w:rsidR="006C2A9C">
        <w:rPr>
          <w:lang w:val="en-US"/>
        </w:rPr>
        <w:t>D</w:t>
      </w:r>
      <w:r>
        <w:rPr>
          <w:lang w:val="en-US"/>
        </w:rPr>
        <w:t xml:space="preserve">ata </w:t>
      </w:r>
      <w:r w:rsidR="006C2A9C">
        <w:rPr>
          <w:lang w:val="en-US"/>
        </w:rPr>
        <w:t>C</w:t>
      </w:r>
      <w:r>
        <w:rPr>
          <w:lang w:val="en-US"/>
        </w:rPr>
        <w:t>ollection</w:t>
      </w:r>
      <w:r>
        <w:t xml:space="preserve"> </w:t>
      </w:r>
      <w:r w:rsidR="006C2A9C">
        <w:rPr>
          <w:lang w:val="en-US"/>
        </w:rPr>
        <w:t>T</w:t>
      </w:r>
      <w:proofErr w:type="spellStart"/>
      <w:r>
        <w:t>eam</w:t>
      </w:r>
      <w:proofErr w:type="spellEnd"/>
      <w:r>
        <w:t xml:space="preserve"> </w:t>
      </w:r>
      <w:r w:rsidR="006C2A9C">
        <w:rPr>
          <w:lang w:val="en-US"/>
        </w:rPr>
        <w:t>L</w:t>
      </w:r>
      <w:proofErr w:type="spellStart"/>
      <w:r>
        <w:t>eader</w:t>
      </w:r>
      <w:proofErr w:type="spellEnd"/>
      <w:r>
        <w:t xml:space="preserve"> in support of data collection operations, will work with the project supervisors to make certain clear directives and messaging is provided to </w:t>
      </w:r>
      <w:r w:rsidR="004C5314">
        <w:rPr>
          <w:lang w:val="en-US"/>
        </w:rPr>
        <w:t>production team</w:t>
      </w:r>
      <w:r w:rsidR="00FF352F">
        <w:rPr>
          <w:lang w:val="en-US"/>
        </w:rPr>
        <w:t xml:space="preserve"> </w:t>
      </w:r>
      <w:r>
        <w:t>supervisors and DCSs/abstractors.</w:t>
      </w:r>
      <w:r w:rsidR="0073513C">
        <w:rPr>
          <w:lang w:val="en-US"/>
        </w:rPr>
        <w:t xml:space="preserve"> </w:t>
      </w:r>
    </w:p>
    <w:p w14:paraId="1A6F57A9" w14:textId="037E8BA3" w:rsidR="008A716D" w:rsidRDefault="008A716D" w:rsidP="00C1084C">
      <w:pPr>
        <w:pStyle w:val="BodyText"/>
        <w:rPr>
          <w:lang w:val="en-US"/>
        </w:rPr>
      </w:pPr>
      <w:r>
        <w:rPr>
          <w:lang w:val="en-US"/>
        </w:rPr>
        <w:t xml:space="preserve">The </w:t>
      </w:r>
      <w:r w:rsidR="006C2A9C">
        <w:rPr>
          <w:lang w:val="en-US"/>
        </w:rPr>
        <w:t>Training M</w:t>
      </w:r>
      <w:r>
        <w:rPr>
          <w:lang w:val="en-US"/>
        </w:rPr>
        <w:t xml:space="preserve">anager </w:t>
      </w:r>
      <w:r w:rsidR="008E11DC">
        <w:rPr>
          <w:lang w:val="en-US"/>
        </w:rPr>
        <w:t>manage</w:t>
      </w:r>
      <w:r w:rsidR="00AA1ACE">
        <w:rPr>
          <w:lang w:val="en-US"/>
        </w:rPr>
        <w:t>s</w:t>
      </w:r>
      <w:r w:rsidR="008E11DC">
        <w:rPr>
          <w:lang w:val="en-US"/>
        </w:rPr>
        <w:t xml:space="preserve"> the project training team and </w:t>
      </w:r>
      <w:r w:rsidR="00AA1ACE">
        <w:rPr>
          <w:lang w:val="en-US"/>
        </w:rPr>
        <w:t>is</w:t>
      </w:r>
      <w:r w:rsidR="009164CE">
        <w:rPr>
          <w:lang w:val="en-US"/>
        </w:rPr>
        <w:t xml:space="preserve"> </w:t>
      </w:r>
      <w:r w:rsidR="004762BF">
        <w:rPr>
          <w:lang w:val="en-US"/>
        </w:rPr>
        <w:t xml:space="preserve">responsible for continuing and improving the </w:t>
      </w:r>
      <w:r w:rsidR="002D6BA2">
        <w:rPr>
          <w:lang w:val="en-US"/>
        </w:rPr>
        <w:t>overall training program and its integration into data collection production</w:t>
      </w:r>
      <w:r w:rsidR="00A07009">
        <w:rPr>
          <w:lang w:val="en-US"/>
        </w:rPr>
        <w:t xml:space="preserve"> and </w:t>
      </w:r>
      <w:r w:rsidR="002D6BA2">
        <w:rPr>
          <w:lang w:val="en-US"/>
        </w:rPr>
        <w:t xml:space="preserve">works with the quality control staff to make sure data quality standards are maintained and </w:t>
      </w:r>
      <w:r w:rsidR="00347709">
        <w:rPr>
          <w:lang w:val="en-US"/>
        </w:rPr>
        <w:t xml:space="preserve">oversees the </w:t>
      </w:r>
      <w:r>
        <w:rPr>
          <w:lang w:val="en-US"/>
        </w:rPr>
        <w:t>review</w:t>
      </w:r>
      <w:r w:rsidR="00347709">
        <w:rPr>
          <w:lang w:val="en-US"/>
        </w:rPr>
        <w:t xml:space="preserve"> of</w:t>
      </w:r>
      <w:r>
        <w:rPr>
          <w:lang w:val="en-US"/>
        </w:rPr>
        <w:t xml:space="preserve"> anomalous cases to ensure data are being collected correctly. </w:t>
      </w:r>
      <w:r w:rsidR="00C1084C">
        <w:rPr>
          <w:lang w:val="en-US"/>
        </w:rPr>
        <w:t>For SBD</w:t>
      </w:r>
      <w:r w:rsidR="00333B91">
        <w:rPr>
          <w:lang w:val="en-US"/>
        </w:rPr>
        <w:t>,</w:t>
      </w:r>
      <w:r w:rsidR="00C1084C">
        <w:rPr>
          <w:lang w:val="en-US"/>
        </w:rPr>
        <w:t xml:space="preserve"> this managerial review includes duplicate events (SBD/SBD and SBD/Hospital), SBD/OBD overlaps, and events with extreme charges or payments.</w:t>
      </w:r>
      <w:r w:rsidR="002D6BA2">
        <w:rPr>
          <w:lang w:val="en-US"/>
        </w:rPr>
        <w:t xml:space="preserve"> </w:t>
      </w:r>
      <w:r w:rsidR="00A07009">
        <w:rPr>
          <w:lang w:val="en-US"/>
        </w:rPr>
        <w:t xml:space="preserve">The Training </w:t>
      </w:r>
      <w:r w:rsidR="002D6BA2">
        <w:rPr>
          <w:lang w:val="en-US"/>
        </w:rPr>
        <w:t>Manager work</w:t>
      </w:r>
      <w:r w:rsidR="00A07009">
        <w:rPr>
          <w:lang w:val="en-US"/>
        </w:rPr>
        <w:t>s</w:t>
      </w:r>
      <w:r w:rsidR="002D6BA2">
        <w:rPr>
          <w:lang w:val="en-US"/>
        </w:rPr>
        <w:t xml:space="preserve"> under the Data Collection Team Leader.</w:t>
      </w:r>
    </w:p>
    <w:p w14:paraId="3C82A2EB" w14:textId="3042B58F" w:rsidR="008A716D" w:rsidRDefault="008A716D" w:rsidP="004C5314">
      <w:pPr>
        <w:pStyle w:val="BodyText"/>
      </w:pPr>
      <w:r>
        <w:t>Pro</w:t>
      </w:r>
      <w:r w:rsidR="0054556B">
        <w:rPr>
          <w:lang w:val="en-US"/>
        </w:rPr>
        <w:t xml:space="preserve">duction Shift </w:t>
      </w:r>
      <w:r w:rsidR="006C2A9C">
        <w:rPr>
          <w:lang w:val="en-US"/>
        </w:rPr>
        <w:t>S</w:t>
      </w:r>
      <w:proofErr w:type="spellStart"/>
      <w:r>
        <w:t>upervisors</w:t>
      </w:r>
      <w:proofErr w:type="spellEnd"/>
      <w:r>
        <w:t xml:space="preserve"> coordinate day-to-day activities and provide specific logistical instructions to the </w:t>
      </w:r>
      <w:r w:rsidR="004C5314">
        <w:rPr>
          <w:lang w:val="en-US"/>
        </w:rPr>
        <w:t>team</w:t>
      </w:r>
      <w:r>
        <w:t xml:space="preserve"> supervisors consistent with directives provided by the </w:t>
      </w:r>
      <w:r w:rsidR="008E11DC">
        <w:rPr>
          <w:lang w:val="en-US"/>
        </w:rPr>
        <w:t>D</w:t>
      </w:r>
      <w:r w:rsidR="00FF352F">
        <w:rPr>
          <w:lang w:val="en-US"/>
        </w:rPr>
        <w:t xml:space="preserve">ata </w:t>
      </w:r>
      <w:r w:rsidR="008E11DC">
        <w:rPr>
          <w:lang w:val="en-US"/>
        </w:rPr>
        <w:t>C</w:t>
      </w:r>
      <w:r w:rsidR="00FF352F">
        <w:rPr>
          <w:lang w:val="en-US"/>
        </w:rPr>
        <w:t xml:space="preserve">ollection </w:t>
      </w:r>
      <w:r w:rsidR="008E11DC">
        <w:rPr>
          <w:lang w:val="en-US"/>
        </w:rPr>
        <w:t>T</w:t>
      </w:r>
      <w:proofErr w:type="spellStart"/>
      <w:r>
        <w:t>eam</w:t>
      </w:r>
      <w:proofErr w:type="spellEnd"/>
      <w:r>
        <w:t xml:space="preserve"> </w:t>
      </w:r>
      <w:r w:rsidR="008E11DC">
        <w:rPr>
          <w:lang w:val="en-US"/>
        </w:rPr>
        <w:t>L</w:t>
      </w:r>
      <w:proofErr w:type="spellStart"/>
      <w:r>
        <w:t>eader</w:t>
      </w:r>
      <w:proofErr w:type="spellEnd"/>
      <w:r>
        <w:t xml:space="preserve"> and </w:t>
      </w:r>
      <w:r w:rsidR="008E11DC">
        <w:rPr>
          <w:lang w:val="en-US"/>
        </w:rPr>
        <w:t>P</w:t>
      </w:r>
      <w:r w:rsidR="00FF352F">
        <w:rPr>
          <w:lang w:val="en-US"/>
        </w:rPr>
        <w:t xml:space="preserve">roduction </w:t>
      </w:r>
      <w:r w:rsidR="008E11DC">
        <w:rPr>
          <w:lang w:val="en-US"/>
        </w:rPr>
        <w:t>M</w:t>
      </w:r>
      <w:r w:rsidR="00FF352F">
        <w:rPr>
          <w:lang w:val="en-US"/>
        </w:rPr>
        <w:t>anager</w:t>
      </w:r>
      <w:r>
        <w:t xml:space="preserve">. The </w:t>
      </w:r>
      <w:r w:rsidR="0054556B">
        <w:rPr>
          <w:lang w:val="en-US"/>
        </w:rPr>
        <w:t>Production Shift</w:t>
      </w:r>
      <w:r w:rsidR="00FF352F">
        <w:rPr>
          <w:lang w:val="en-US"/>
        </w:rPr>
        <w:t xml:space="preserve"> </w:t>
      </w:r>
      <w:r w:rsidR="006C2A9C">
        <w:rPr>
          <w:lang w:val="en-US"/>
        </w:rPr>
        <w:t>S</w:t>
      </w:r>
      <w:proofErr w:type="spellStart"/>
      <w:r>
        <w:t>upervisors</w:t>
      </w:r>
      <w:proofErr w:type="spellEnd"/>
      <w:r>
        <w:t xml:space="preserve"> work with the </w:t>
      </w:r>
      <w:r w:rsidR="006C2A9C">
        <w:rPr>
          <w:lang w:val="en-US"/>
        </w:rPr>
        <w:t>P</w:t>
      </w:r>
      <w:r w:rsidR="00FF352F">
        <w:rPr>
          <w:lang w:val="en-US"/>
        </w:rPr>
        <w:t xml:space="preserve">roduction </w:t>
      </w:r>
      <w:r w:rsidR="006C2A9C">
        <w:rPr>
          <w:lang w:val="en-US"/>
        </w:rPr>
        <w:t>M</w:t>
      </w:r>
      <w:r w:rsidR="00FF352F">
        <w:rPr>
          <w:lang w:val="en-US"/>
        </w:rPr>
        <w:t>anager</w:t>
      </w:r>
      <w:r>
        <w:t xml:space="preserve"> to propose specific protocols </w:t>
      </w:r>
      <w:r w:rsidR="004C5314">
        <w:rPr>
          <w:lang w:val="en-US"/>
        </w:rPr>
        <w:t>and</w:t>
      </w:r>
      <w:r>
        <w:t xml:space="preserve"> procedures that enhance production. These proposals are reviewed for feedback and approval by the </w:t>
      </w:r>
      <w:r w:rsidR="008E11DC">
        <w:rPr>
          <w:lang w:val="en-US"/>
        </w:rPr>
        <w:t>P</w:t>
      </w:r>
      <w:r w:rsidR="00FF352F">
        <w:rPr>
          <w:lang w:val="en-US"/>
        </w:rPr>
        <w:t xml:space="preserve">roduction </w:t>
      </w:r>
      <w:r w:rsidR="008E11DC">
        <w:rPr>
          <w:lang w:val="en-US"/>
        </w:rPr>
        <w:t>M</w:t>
      </w:r>
      <w:r w:rsidR="00FF352F">
        <w:rPr>
          <w:lang w:val="en-US"/>
        </w:rPr>
        <w:t xml:space="preserve">anager and </w:t>
      </w:r>
      <w:r w:rsidR="008E11DC">
        <w:rPr>
          <w:lang w:val="en-US"/>
        </w:rPr>
        <w:t>D</w:t>
      </w:r>
      <w:proofErr w:type="spellStart"/>
      <w:r>
        <w:t>ata</w:t>
      </w:r>
      <w:proofErr w:type="spellEnd"/>
      <w:r>
        <w:t xml:space="preserve"> </w:t>
      </w:r>
      <w:r w:rsidR="008E11DC">
        <w:rPr>
          <w:lang w:val="en-US"/>
        </w:rPr>
        <w:t>C</w:t>
      </w:r>
      <w:proofErr w:type="spellStart"/>
      <w:r>
        <w:t>ollection</w:t>
      </w:r>
      <w:proofErr w:type="spellEnd"/>
      <w:r>
        <w:t xml:space="preserve"> </w:t>
      </w:r>
      <w:r w:rsidR="008E11DC">
        <w:rPr>
          <w:lang w:val="en-US"/>
        </w:rPr>
        <w:t>T</w:t>
      </w:r>
      <w:proofErr w:type="spellStart"/>
      <w:r>
        <w:t>eam</w:t>
      </w:r>
      <w:proofErr w:type="spellEnd"/>
      <w:r>
        <w:t xml:space="preserve"> </w:t>
      </w:r>
      <w:r w:rsidR="008E11DC">
        <w:rPr>
          <w:lang w:val="en-US"/>
        </w:rPr>
        <w:t>L</w:t>
      </w:r>
      <w:proofErr w:type="spellStart"/>
      <w:r>
        <w:t>eader</w:t>
      </w:r>
      <w:proofErr w:type="spellEnd"/>
      <w:r>
        <w:t xml:space="preserve">. The </w:t>
      </w:r>
      <w:r w:rsidR="006C2A9C">
        <w:rPr>
          <w:lang w:val="en-US"/>
        </w:rPr>
        <w:t>P</w:t>
      </w:r>
      <w:r w:rsidR="00FF352F">
        <w:rPr>
          <w:lang w:val="en-US"/>
        </w:rPr>
        <w:t xml:space="preserve">roduction </w:t>
      </w:r>
      <w:r w:rsidR="006C2A9C">
        <w:rPr>
          <w:lang w:val="en-US"/>
        </w:rPr>
        <w:t>M</w:t>
      </w:r>
      <w:r w:rsidR="00FF352F">
        <w:rPr>
          <w:lang w:val="en-US"/>
        </w:rPr>
        <w:t>anager</w:t>
      </w:r>
      <w:r>
        <w:t xml:space="preserve"> is also responsible for approving all meeting agendas for supervisors and data collection staff</w:t>
      </w:r>
      <w:r w:rsidR="00FF352F">
        <w:rPr>
          <w:lang w:val="en-US"/>
        </w:rPr>
        <w:t>,</w:t>
      </w:r>
      <w:r>
        <w:t xml:space="preserve"> and review</w:t>
      </w:r>
      <w:r w:rsidR="004C5314">
        <w:rPr>
          <w:lang w:val="en-US"/>
        </w:rPr>
        <w:t>s</w:t>
      </w:r>
      <w:r>
        <w:t xml:space="preserve"> all meeting notes and memos before distribution. The </w:t>
      </w:r>
      <w:r w:rsidR="006C2A9C">
        <w:rPr>
          <w:lang w:val="en-US"/>
        </w:rPr>
        <w:t>P</w:t>
      </w:r>
      <w:r w:rsidR="00FF352F">
        <w:rPr>
          <w:lang w:val="en-US"/>
        </w:rPr>
        <w:t xml:space="preserve">roduction </w:t>
      </w:r>
      <w:r w:rsidR="006C2A9C">
        <w:rPr>
          <w:lang w:val="en-US"/>
        </w:rPr>
        <w:t>M</w:t>
      </w:r>
      <w:r w:rsidR="00FF352F">
        <w:rPr>
          <w:lang w:val="en-US"/>
        </w:rPr>
        <w:t xml:space="preserve">anager and </w:t>
      </w:r>
      <w:r w:rsidR="006C2A9C">
        <w:rPr>
          <w:lang w:val="en-US"/>
        </w:rPr>
        <w:t>D</w:t>
      </w:r>
      <w:proofErr w:type="spellStart"/>
      <w:r>
        <w:t>ata</w:t>
      </w:r>
      <w:proofErr w:type="spellEnd"/>
      <w:r>
        <w:t xml:space="preserve"> </w:t>
      </w:r>
      <w:r w:rsidR="006C2A9C">
        <w:rPr>
          <w:lang w:val="en-US"/>
        </w:rPr>
        <w:t>C</w:t>
      </w:r>
      <w:proofErr w:type="spellStart"/>
      <w:r>
        <w:t>ollection</w:t>
      </w:r>
      <w:proofErr w:type="spellEnd"/>
      <w:r>
        <w:t xml:space="preserve"> </w:t>
      </w:r>
      <w:r w:rsidR="006C2A9C">
        <w:rPr>
          <w:lang w:val="en-US"/>
        </w:rPr>
        <w:t>T</w:t>
      </w:r>
      <w:proofErr w:type="spellStart"/>
      <w:r>
        <w:t>eam</w:t>
      </w:r>
      <w:proofErr w:type="spellEnd"/>
      <w:r>
        <w:t xml:space="preserve"> </w:t>
      </w:r>
      <w:r w:rsidR="006C2A9C">
        <w:rPr>
          <w:lang w:val="en-US"/>
        </w:rPr>
        <w:t>L</w:t>
      </w:r>
      <w:proofErr w:type="spellStart"/>
      <w:r>
        <w:t>eade</w:t>
      </w:r>
      <w:r w:rsidR="00D34D05">
        <w:rPr>
          <w:lang w:val="en-US"/>
        </w:rPr>
        <w:t>r</w:t>
      </w:r>
      <w:proofErr w:type="spellEnd"/>
      <w:r>
        <w:t xml:space="preserve"> are in attendance at </w:t>
      </w:r>
      <w:r w:rsidR="004C5314">
        <w:rPr>
          <w:lang w:val="en-US"/>
        </w:rPr>
        <w:t>production</w:t>
      </w:r>
      <w:r>
        <w:t xml:space="preserve"> meetings and provide feedback to supervisors and data collection staff, as appropriate. DCSs and abstractors also know that</w:t>
      </w:r>
      <w:r w:rsidR="003A3FD0">
        <w:rPr>
          <w:lang w:val="en-US"/>
        </w:rPr>
        <w:t>,</w:t>
      </w:r>
      <w:r>
        <w:t xml:space="preserve"> regardless of the project hierarchy</w:t>
      </w:r>
      <w:r w:rsidR="00AA1ACE">
        <w:rPr>
          <w:lang w:val="en-US"/>
        </w:rPr>
        <w:t>,</w:t>
      </w:r>
      <w:r>
        <w:t xml:space="preserve"> they can go to anyone on the project team to address questions and concerns. This hands-on approach provides consistency </w:t>
      </w:r>
      <w:r w:rsidR="004C5314">
        <w:rPr>
          <w:lang w:val="en-US"/>
        </w:rPr>
        <w:t xml:space="preserve">across teams </w:t>
      </w:r>
      <w:r>
        <w:t xml:space="preserve">and also assists in determining priority shifts, as necessary. </w:t>
      </w:r>
    </w:p>
    <w:p w14:paraId="7AB0F7DF" w14:textId="0A3C0DD0" w:rsidR="008A716D" w:rsidRDefault="008A716D" w:rsidP="003C3D02">
      <w:pPr>
        <w:pStyle w:val="BodyText"/>
        <w:rPr>
          <w:lang w:val="en-US"/>
        </w:rPr>
      </w:pPr>
      <w:r>
        <w:t xml:space="preserve">Reporting to the </w:t>
      </w:r>
      <w:r w:rsidR="0054556B">
        <w:rPr>
          <w:lang w:val="en-US"/>
        </w:rPr>
        <w:t>Production Shift</w:t>
      </w:r>
      <w:r w:rsidR="00FF352F">
        <w:rPr>
          <w:lang w:val="en-US"/>
        </w:rPr>
        <w:t xml:space="preserve"> </w:t>
      </w:r>
      <w:r w:rsidR="00BF17A6">
        <w:rPr>
          <w:lang w:val="en-US"/>
        </w:rPr>
        <w:t>S</w:t>
      </w:r>
      <w:proofErr w:type="spellStart"/>
      <w:r>
        <w:t>upervisors</w:t>
      </w:r>
      <w:proofErr w:type="spellEnd"/>
      <w:r>
        <w:t xml:space="preserve"> are </w:t>
      </w:r>
      <w:r w:rsidR="006C2A9C">
        <w:rPr>
          <w:lang w:val="en-US"/>
        </w:rPr>
        <w:t>P</w:t>
      </w:r>
      <w:r w:rsidR="004C5314">
        <w:rPr>
          <w:lang w:val="en-US"/>
        </w:rPr>
        <w:t xml:space="preserve">roduction </w:t>
      </w:r>
      <w:r w:rsidR="006C2A9C">
        <w:rPr>
          <w:lang w:val="en-US"/>
        </w:rPr>
        <w:t>T</w:t>
      </w:r>
      <w:r w:rsidR="004C5314">
        <w:rPr>
          <w:lang w:val="en-US"/>
        </w:rPr>
        <w:t>eam</w:t>
      </w:r>
      <w:r>
        <w:t xml:space="preserve"> </w:t>
      </w:r>
      <w:r w:rsidR="006C2A9C">
        <w:rPr>
          <w:lang w:val="en-US"/>
        </w:rPr>
        <w:t>S</w:t>
      </w:r>
      <w:proofErr w:type="spellStart"/>
      <w:r>
        <w:t>upervisors</w:t>
      </w:r>
      <w:proofErr w:type="spellEnd"/>
      <w:r>
        <w:t>, who are each responsible for a team of DCS</w:t>
      </w:r>
      <w:r w:rsidR="003C3D02">
        <w:rPr>
          <w:lang w:val="en-US"/>
        </w:rPr>
        <w:t>s and abstractors</w:t>
      </w:r>
      <w:r>
        <w:t>.</w:t>
      </w:r>
      <w:r w:rsidR="00FF352F">
        <w:rPr>
          <w:lang w:val="en-US"/>
        </w:rPr>
        <w:t xml:space="preserve"> </w:t>
      </w:r>
      <w:r w:rsidR="003C3D02">
        <w:rPr>
          <w:lang w:val="en-US"/>
        </w:rPr>
        <w:t xml:space="preserve">Production </w:t>
      </w:r>
      <w:r w:rsidR="006C2A9C">
        <w:rPr>
          <w:lang w:val="en-US"/>
        </w:rPr>
        <w:t>T</w:t>
      </w:r>
      <w:r w:rsidR="003C3D02">
        <w:rPr>
          <w:lang w:val="en-US"/>
        </w:rPr>
        <w:t xml:space="preserve">eam </w:t>
      </w:r>
      <w:r w:rsidR="006C2A9C">
        <w:rPr>
          <w:lang w:val="en-US"/>
        </w:rPr>
        <w:t>S</w:t>
      </w:r>
      <w:proofErr w:type="spellStart"/>
      <w:r>
        <w:t>upervisors</w:t>
      </w:r>
      <w:proofErr w:type="spellEnd"/>
      <w:r>
        <w:t xml:space="preserve"> are responsible for assigning work to team members in a manner appropriate to each DCS’ skill level and </w:t>
      </w:r>
      <w:r w:rsidR="00397D87">
        <w:rPr>
          <w:lang w:val="en-US"/>
        </w:rPr>
        <w:t>serving as</w:t>
      </w:r>
      <w:r w:rsidR="00397D87">
        <w:t xml:space="preserve"> </w:t>
      </w:r>
      <w:r>
        <w:t>the DCS’ first line of contact with questions about working their assignment.</w:t>
      </w:r>
      <w:r w:rsidR="0073513C">
        <w:t xml:space="preserve"> </w:t>
      </w:r>
      <w:r>
        <w:t>Supervisors use performance indicators, relative to each DCS’ assignment, to prioritize weekly one-on-one case review, coaching, and mentoring activities with the individuals on their team.</w:t>
      </w:r>
      <w:r w:rsidR="0073513C">
        <w:t xml:space="preserve"> </w:t>
      </w:r>
      <w:r>
        <w:t xml:space="preserve">In addition, support </w:t>
      </w:r>
      <w:r w:rsidR="00234C10">
        <w:rPr>
          <w:lang w:val="en-US"/>
        </w:rPr>
        <w:t>specialists</w:t>
      </w:r>
      <w:r w:rsidR="006103E5">
        <w:rPr>
          <w:lang w:val="en-US"/>
        </w:rPr>
        <w:t>, utility specialists</w:t>
      </w:r>
      <w:r w:rsidR="00347709">
        <w:rPr>
          <w:lang w:val="en-US"/>
        </w:rPr>
        <w:t>,</w:t>
      </w:r>
      <w:r w:rsidR="00234C10">
        <w:rPr>
          <w:lang w:val="en-US"/>
        </w:rPr>
        <w:t xml:space="preserve"> </w:t>
      </w:r>
      <w:r>
        <w:t xml:space="preserve">and </w:t>
      </w:r>
      <w:r w:rsidR="00234C10">
        <w:rPr>
          <w:lang w:val="en-US"/>
        </w:rPr>
        <w:t>team leads</w:t>
      </w:r>
      <w:r>
        <w:t xml:space="preserve"> are responsible for providing support to production supervisors</w:t>
      </w:r>
      <w:r w:rsidR="006103E5">
        <w:rPr>
          <w:lang w:val="en-US"/>
        </w:rPr>
        <w:t>, help</w:t>
      </w:r>
      <w:r w:rsidR="00347709">
        <w:rPr>
          <w:lang w:val="en-US"/>
        </w:rPr>
        <w:t>ing</w:t>
      </w:r>
      <w:r w:rsidR="006103E5">
        <w:rPr>
          <w:lang w:val="en-US"/>
        </w:rPr>
        <w:t xml:space="preserve"> as needed in any area of the project,</w:t>
      </w:r>
      <w:r>
        <w:t xml:space="preserve"> and assist</w:t>
      </w:r>
      <w:r w:rsidR="00347709">
        <w:rPr>
          <w:lang w:val="en-US"/>
        </w:rPr>
        <w:t>ing</w:t>
      </w:r>
      <w:r>
        <w:t xml:space="preserve"> with certain tasks that previously </w:t>
      </w:r>
      <w:r w:rsidR="003C3D02">
        <w:rPr>
          <w:lang w:val="en-US"/>
        </w:rPr>
        <w:t xml:space="preserve">were distributed across </w:t>
      </w:r>
      <w:r>
        <w:t>supervisor</w:t>
      </w:r>
      <w:r w:rsidR="00347709">
        <w:rPr>
          <w:lang w:val="en-US"/>
        </w:rPr>
        <w:t>s</w:t>
      </w:r>
      <w:r w:rsidR="003C3D02">
        <w:rPr>
          <w:lang w:val="en-US"/>
        </w:rPr>
        <w:t>.</w:t>
      </w:r>
      <w:r>
        <w:t xml:space="preserve"> The purpose of the support </w:t>
      </w:r>
      <w:r w:rsidR="006C2A9C">
        <w:rPr>
          <w:lang w:val="en-US"/>
        </w:rPr>
        <w:t>staff</w:t>
      </w:r>
      <w:r w:rsidR="006C2A9C">
        <w:t xml:space="preserve"> </w:t>
      </w:r>
      <w:r>
        <w:t>during SBD data collection is to focus on the review of problem reports, disavowals, case merges or case banding</w:t>
      </w:r>
      <w:r w:rsidR="00234C10">
        <w:rPr>
          <w:lang w:val="en-US"/>
        </w:rPr>
        <w:t>.</w:t>
      </w:r>
      <w:r w:rsidR="0073513C">
        <w:t xml:space="preserve"> </w:t>
      </w:r>
      <w:r>
        <w:t xml:space="preserve">These specific activities will </w:t>
      </w:r>
      <w:r>
        <w:lastRenderedPageBreak/>
        <w:t xml:space="preserve">prevent distraction for production </w:t>
      </w:r>
      <w:r w:rsidR="003C3D02">
        <w:rPr>
          <w:lang w:val="en-US"/>
        </w:rPr>
        <w:t xml:space="preserve">team </w:t>
      </w:r>
      <w:r>
        <w:t>supervisors and allow them to truly focus on their team’s case review and production.</w:t>
      </w:r>
      <w:r w:rsidR="0073513C">
        <w:t xml:space="preserve"> </w:t>
      </w:r>
    </w:p>
    <w:p w14:paraId="7222126E" w14:textId="77777777" w:rsidR="004915B9" w:rsidRDefault="004915B9" w:rsidP="004915B9">
      <w:pPr>
        <w:pStyle w:val="Heading2"/>
      </w:pPr>
      <w:bookmarkStart w:id="79" w:name="_Toc188880718"/>
      <w:r>
        <w:t>Team Organization</w:t>
      </w:r>
      <w:bookmarkEnd w:id="79"/>
    </w:p>
    <w:p w14:paraId="2029FFDF" w14:textId="3CEA9664" w:rsidR="004915B9" w:rsidRPr="00982B45" w:rsidRDefault="003C3D02" w:rsidP="00785E29">
      <w:pPr>
        <w:pStyle w:val="BodyText"/>
      </w:pPr>
      <w:r>
        <w:rPr>
          <w:lang w:val="en-US"/>
        </w:rPr>
        <w:t xml:space="preserve">Rather than integrating a third provider type into the existing teams, </w:t>
      </w:r>
      <w:r w:rsidR="005A0065">
        <w:rPr>
          <w:lang w:val="en-US"/>
        </w:rPr>
        <w:t>RTI</w:t>
      </w:r>
      <w:r>
        <w:rPr>
          <w:lang w:val="en-US"/>
        </w:rPr>
        <w:t xml:space="preserve"> plan</w:t>
      </w:r>
      <w:r w:rsidR="005A0065">
        <w:rPr>
          <w:lang w:val="en-US"/>
        </w:rPr>
        <w:t>s</w:t>
      </w:r>
      <w:r>
        <w:rPr>
          <w:lang w:val="en-US"/>
        </w:rPr>
        <w:t xml:space="preserve"> to reorganize the teams </w:t>
      </w:r>
      <w:r w:rsidR="006C2A9C">
        <w:rPr>
          <w:lang w:val="en-US"/>
        </w:rPr>
        <w:t>as DCSs complete SBD training</w:t>
      </w:r>
      <w:r w:rsidR="0040688A">
        <w:rPr>
          <w:lang w:val="en-US"/>
        </w:rPr>
        <w:t>s</w:t>
      </w:r>
      <w:r w:rsidR="006C2A9C">
        <w:rPr>
          <w:lang w:val="en-US"/>
        </w:rPr>
        <w:t xml:space="preserve">, </w:t>
      </w:r>
      <w:r>
        <w:rPr>
          <w:lang w:val="en-US"/>
        </w:rPr>
        <w:t>creat</w:t>
      </w:r>
      <w:r w:rsidR="006C2A9C">
        <w:rPr>
          <w:lang w:val="en-US"/>
        </w:rPr>
        <w:t>ing</w:t>
      </w:r>
      <w:r>
        <w:rPr>
          <w:lang w:val="en-US"/>
        </w:rPr>
        <w:t xml:space="preserve"> several teams that have only SBD work. As the staff </w:t>
      </w:r>
      <w:r w:rsidR="006C2A9C">
        <w:rPr>
          <w:lang w:val="en-US"/>
        </w:rPr>
        <w:t xml:space="preserve">continue to </w:t>
      </w:r>
      <w:r>
        <w:rPr>
          <w:lang w:val="en-US"/>
        </w:rPr>
        <w:t xml:space="preserve">transition from Hospital and OBD </w:t>
      </w:r>
      <w:r w:rsidR="004C1E67">
        <w:rPr>
          <w:lang w:val="en-US"/>
        </w:rPr>
        <w:t>(non</w:t>
      </w:r>
      <w:r w:rsidR="00AA1ACE">
        <w:rPr>
          <w:lang w:val="en-US"/>
        </w:rPr>
        <w:t>-</w:t>
      </w:r>
      <w:r w:rsidR="004C1E67">
        <w:rPr>
          <w:lang w:val="en-US"/>
        </w:rPr>
        <w:t xml:space="preserve">SBD) </w:t>
      </w:r>
      <w:r>
        <w:rPr>
          <w:lang w:val="en-US"/>
        </w:rPr>
        <w:t>to SBD, more SBD-only teams</w:t>
      </w:r>
      <w:r w:rsidR="005A0065">
        <w:rPr>
          <w:lang w:val="en-US"/>
        </w:rPr>
        <w:t xml:space="preserve"> will be created</w:t>
      </w:r>
      <w:r>
        <w:rPr>
          <w:lang w:val="en-US"/>
        </w:rPr>
        <w:t>, and the Hospital and OBD work</w:t>
      </w:r>
      <w:r w:rsidR="005A0065">
        <w:rPr>
          <w:lang w:val="en-US"/>
        </w:rPr>
        <w:t xml:space="preserve"> will be consolidated</w:t>
      </w:r>
      <w:r>
        <w:rPr>
          <w:lang w:val="en-US"/>
        </w:rPr>
        <w:t xml:space="preserve"> into fewer teams. </w:t>
      </w:r>
      <w:r>
        <w:t xml:space="preserve">Organizing into provider-specific teams </w:t>
      </w:r>
      <w:r>
        <w:rPr>
          <w:lang w:val="en-US"/>
        </w:rPr>
        <w:t xml:space="preserve">(Hospital-OBD and SBD Only) will </w:t>
      </w:r>
      <w:r>
        <w:t xml:space="preserve">allow overlap </w:t>
      </w:r>
      <w:r w:rsidR="003A3FD0">
        <w:rPr>
          <w:lang w:val="en-US"/>
        </w:rPr>
        <w:t xml:space="preserve">of </w:t>
      </w:r>
      <w:r>
        <w:t xml:space="preserve">the SBD field period with the non-SBD field period with minimal distraction to DCS and supervisors who are involved in closing out data collection on non-SBD providers. </w:t>
      </w:r>
      <w:r w:rsidR="005E39F8">
        <w:rPr>
          <w:lang w:val="en-US"/>
        </w:rPr>
        <w:t>Negotiators who have a caseload</w:t>
      </w:r>
      <w:r w:rsidR="00D8528A">
        <w:rPr>
          <w:lang w:val="en-US"/>
        </w:rPr>
        <w:t xml:space="preserve"> </w:t>
      </w:r>
      <w:r w:rsidR="005E39F8">
        <w:rPr>
          <w:lang w:val="en-US"/>
        </w:rPr>
        <w:t xml:space="preserve">that includes </w:t>
      </w:r>
      <w:r w:rsidR="005D6681">
        <w:rPr>
          <w:lang w:val="en-US"/>
        </w:rPr>
        <w:t>L</w:t>
      </w:r>
      <w:r w:rsidR="005E39F8">
        <w:rPr>
          <w:lang w:val="en-US"/>
        </w:rPr>
        <w:t xml:space="preserve">arge </w:t>
      </w:r>
      <w:r w:rsidR="005D6681">
        <w:rPr>
          <w:lang w:val="en-US"/>
        </w:rPr>
        <w:t>P</w:t>
      </w:r>
      <w:r w:rsidR="005E39F8">
        <w:rPr>
          <w:lang w:val="en-US"/>
        </w:rPr>
        <w:t xml:space="preserve">roviders from both non-SBD and SBD samples will continue to </w:t>
      </w:r>
      <w:r w:rsidR="00234C10">
        <w:rPr>
          <w:lang w:val="en-US"/>
        </w:rPr>
        <w:t xml:space="preserve">be organized into one team and </w:t>
      </w:r>
      <w:r w:rsidR="005E39F8">
        <w:rPr>
          <w:lang w:val="en-US"/>
        </w:rPr>
        <w:t xml:space="preserve">meet weekly with their assigned manager to discuss </w:t>
      </w:r>
      <w:r w:rsidR="005D6681">
        <w:rPr>
          <w:lang w:val="en-US"/>
        </w:rPr>
        <w:t>L</w:t>
      </w:r>
      <w:r w:rsidR="005E39F8">
        <w:rPr>
          <w:lang w:val="en-US"/>
        </w:rPr>
        <w:t xml:space="preserve">arge </w:t>
      </w:r>
      <w:r w:rsidR="005D6681">
        <w:rPr>
          <w:lang w:val="en-US"/>
        </w:rPr>
        <w:t>P</w:t>
      </w:r>
      <w:r w:rsidR="003D7049">
        <w:rPr>
          <w:lang w:val="en-US"/>
        </w:rPr>
        <w:t>rovider band</w:t>
      </w:r>
      <w:r w:rsidR="005E39F8">
        <w:rPr>
          <w:lang w:val="en-US"/>
        </w:rPr>
        <w:t xml:space="preserve">s from both samples.  </w:t>
      </w:r>
    </w:p>
    <w:p w14:paraId="599E86E7" w14:textId="445DF71A" w:rsidR="005A59A0" w:rsidRDefault="007C7C68" w:rsidP="005A59A0">
      <w:pPr>
        <w:pStyle w:val="Heading2"/>
        <w:tabs>
          <w:tab w:val="num" w:pos="1566"/>
        </w:tabs>
        <w:rPr>
          <w:lang w:val="en-US"/>
        </w:rPr>
      </w:pPr>
      <w:bookmarkStart w:id="80" w:name="_Toc372896296"/>
      <w:bookmarkStart w:id="81" w:name="_Toc188880719"/>
      <w:r>
        <w:rPr>
          <w:lang w:val="en-US"/>
        </w:rPr>
        <w:t xml:space="preserve">Remote and </w:t>
      </w:r>
      <w:r w:rsidR="005A59A0">
        <w:t>On-site Management</w:t>
      </w:r>
      <w:bookmarkEnd w:id="80"/>
      <w:bookmarkEnd w:id="81"/>
    </w:p>
    <w:p w14:paraId="3B8DD702" w14:textId="03AE3523" w:rsidR="007C7C68" w:rsidRPr="007C7C68" w:rsidRDefault="00270219" w:rsidP="00BC2F43">
      <w:pPr>
        <w:pStyle w:val="BodyText"/>
        <w:rPr>
          <w:lang w:val="en-US"/>
        </w:rPr>
      </w:pPr>
      <w:bookmarkStart w:id="82" w:name="_Hlk498252909"/>
      <w:r>
        <w:rPr>
          <w:lang w:val="en-US"/>
        </w:rPr>
        <w:t>C</w:t>
      </w:r>
      <w:r w:rsidR="009D7C03">
        <w:rPr>
          <w:lang w:val="en-US"/>
        </w:rPr>
        <w:t xml:space="preserve">urrent plans </w:t>
      </w:r>
      <w:r w:rsidR="00443AAA">
        <w:rPr>
          <w:lang w:val="en-US"/>
        </w:rPr>
        <w:t xml:space="preserve">for the </w:t>
      </w:r>
      <w:r w:rsidR="003A3FD0">
        <w:rPr>
          <w:lang w:val="en-US"/>
        </w:rPr>
        <w:t xml:space="preserve">2023 </w:t>
      </w:r>
      <w:r w:rsidR="00443AAA">
        <w:rPr>
          <w:lang w:val="en-US"/>
        </w:rPr>
        <w:t xml:space="preserve">cycle </w:t>
      </w:r>
      <w:r w:rsidR="009D7C03">
        <w:rPr>
          <w:lang w:val="en-US"/>
        </w:rPr>
        <w:t xml:space="preserve">reflect </w:t>
      </w:r>
      <w:r w:rsidR="00A26AA3">
        <w:rPr>
          <w:lang w:val="en-US"/>
        </w:rPr>
        <w:t xml:space="preserve">staff </w:t>
      </w:r>
      <w:r w:rsidR="007C7C68">
        <w:t xml:space="preserve">will </w:t>
      </w:r>
      <w:r w:rsidR="009D7C03">
        <w:rPr>
          <w:lang w:val="en-US"/>
        </w:rPr>
        <w:t xml:space="preserve">continue </w:t>
      </w:r>
      <w:r w:rsidR="007C7C68">
        <w:t xml:space="preserve">working </w:t>
      </w:r>
      <w:r>
        <w:rPr>
          <w:lang w:val="en-US"/>
        </w:rPr>
        <w:t>in a hybrid environment</w:t>
      </w:r>
      <w:r w:rsidR="007C7C68">
        <w:t xml:space="preserve">, with </w:t>
      </w:r>
      <w:r w:rsidR="00D5708D">
        <w:rPr>
          <w:lang w:val="en-US"/>
        </w:rPr>
        <w:t xml:space="preserve">some </w:t>
      </w:r>
      <w:r w:rsidR="007C7C68">
        <w:t xml:space="preserve">staff </w:t>
      </w:r>
      <w:r>
        <w:rPr>
          <w:lang w:val="en-US"/>
        </w:rPr>
        <w:t xml:space="preserve">working </w:t>
      </w:r>
      <w:r w:rsidR="007C7C68">
        <w:t xml:space="preserve">on-site </w:t>
      </w:r>
      <w:r>
        <w:rPr>
          <w:lang w:val="en-US"/>
        </w:rPr>
        <w:t>and others continuing to work from hom</w:t>
      </w:r>
      <w:r w:rsidR="00EC52A2">
        <w:rPr>
          <w:lang w:val="en-US"/>
        </w:rPr>
        <w:t>e</w:t>
      </w:r>
      <w:r w:rsidR="007C7C68">
        <w:t>.</w:t>
      </w:r>
      <w:r w:rsidR="007C7C68">
        <w:rPr>
          <w:lang w:val="en-US"/>
        </w:rPr>
        <w:t xml:space="preserve"> </w:t>
      </w:r>
      <w:r w:rsidR="00D5708D">
        <w:rPr>
          <w:lang w:val="en-US"/>
        </w:rPr>
        <w:t xml:space="preserve">For </w:t>
      </w:r>
      <w:r w:rsidR="003A3FD0">
        <w:rPr>
          <w:lang w:val="en-US"/>
        </w:rPr>
        <w:t>2023</w:t>
      </w:r>
      <w:r w:rsidR="00D5708D">
        <w:rPr>
          <w:lang w:val="en-US"/>
        </w:rPr>
        <w:t xml:space="preserve">, all DCSs will get an opportunity to work on-site in the weeks following a training session </w:t>
      </w:r>
      <w:r w:rsidR="00F95C91">
        <w:rPr>
          <w:lang w:val="en-US"/>
        </w:rPr>
        <w:t xml:space="preserve">of a new task </w:t>
      </w:r>
      <w:r w:rsidR="00D5708D">
        <w:rPr>
          <w:lang w:val="en-US"/>
        </w:rPr>
        <w:t xml:space="preserve">to get additional in-person coaching. </w:t>
      </w:r>
      <w:r w:rsidR="007C7C68">
        <w:t>As the cycle progresses, project managers will carefully consider the mix of on-site staff and management to best meet project needs.</w:t>
      </w:r>
      <w:r w:rsidR="007C7C68">
        <w:rPr>
          <w:lang w:val="en-US"/>
        </w:rPr>
        <w:t xml:space="preserve"> </w:t>
      </w:r>
      <w:r w:rsidR="007C7C68">
        <w:t xml:space="preserve">While in a </w:t>
      </w:r>
      <w:r w:rsidR="00AA1ACE">
        <w:rPr>
          <w:lang w:val="en-US"/>
        </w:rPr>
        <w:t>hybrid</w:t>
      </w:r>
      <w:r w:rsidR="00AA1ACE">
        <w:t xml:space="preserve"> </w:t>
      </w:r>
      <w:r w:rsidR="007C7C68">
        <w:t>setting, managers continue to meet virtually with staff at various levels of the project, including a weekly “floor” meeting, and managers troubleshoot and problem solve with the Production Shift Supervisors. Managers are also active in various discussions and team huddles that are held remotely via MS Teams and use this access to anticipate and research potential production, workflow, and quality issues and to detect and correct drift in implementation of procedures.</w:t>
      </w:r>
    </w:p>
    <w:p w14:paraId="010ECFDB" w14:textId="74818BCB" w:rsidR="00AF23A4" w:rsidRDefault="00AF23A4" w:rsidP="00BC2F43">
      <w:pPr>
        <w:pStyle w:val="BodyText"/>
        <w:rPr>
          <w:lang w:val="en-US"/>
        </w:rPr>
      </w:pPr>
      <w:r>
        <w:rPr>
          <w:lang w:val="en-US"/>
        </w:rPr>
        <w:t>When on-site operations are taking place</w:t>
      </w:r>
      <w:r w:rsidR="00D5708D">
        <w:rPr>
          <w:lang w:val="en-US"/>
        </w:rPr>
        <w:t xml:space="preserve"> without restrictions due to COVID-19</w:t>
      </w:r>
      <w:r>
        <w:rPr>
          <w:lang w:val="en-US"/>
        </w:rPr>
        <w:t>, t</w:t>
      </w:r>
      <w:r w:rsidR="00771277" w:rsidRPr="00FC48AF">
        <w:rPr>
          <w:lang w:val="en-US"/>
        </w:rPr>
        <w:t xml:space="preserve">he Project Director typically spends 2 days a month at </w:t>
      </w:r>
      <w:bookmarkEnd w:id="82"/>
      <w:r w:rsidR="00D5708D">
        <w:rPr>
          <w:lang w:val="en-US"/>
        </w:rPr>
        <w:t>the ROC</w:t>
      </w:r>
      <w:r w:rsidR="00771277" w:rsidRPr="00FC48AF">
        <w:rPr>
          <w:lang w:val="en-US"/>
        </w:rPr>
        <w:t xml:space="preserve">. The Associate Project Director typically spends </w:t>
      </w:r>
      <w:r w:rsidR="000D5039">
        <w:rPr>
          <w:lang w:val="en-US"/>
        </w:rPr>
        <w:t>2</w:t>
      </w:r>
      <w:r w:rsidR="00771277" w:rsidRPr="00FC48AF">
        <w:rPr>
          <w:lang w:val="en-US"/>
        </w:rPr>
        <w:t xml:space="preserve"> day</w:t>
      </w:r>
      <w:r w:rsidR="000D5039">
        <w:rPr>
          <w:lang w:val="en-US"/>
        </w:rPr>
        <w:t>s</w:t>
      </w:r>
      <w:r w:rsidR="00771277" w:rsidRPr="00FC48AF">
        <w:rPr>
          <w:lang w:val="en-US"/>
        </w:rPr>
        <w:t xml:space="preserve"> a </w:t>
      </w:r>
      <w:r w:rsidR="000D5039">
        <w:rPr>
          <w:lang w:val="en-US"/>
        </w:rPr>
        <w:t>month</w:t>
      </w:r>
      <w:r w:rsidR="00771277" w:rsidRPr="00FC48AF">
        <w:rPr>
          <w:lang w:val="en-US"/>
        </w:rPr>
        <w:t xml:space="preserve"> at </w:t>
      </w:r>
      <w:r w:rsidR="00D5708D">
        <w:rPr>
          <w:lang w:val="en-US"/>
        </w:rPr>
        <w:t>the ROC</w:t>
      </w:r>
      <w:r w:rsidR="00771277" w:rsidRPr="00FC48AF">
        <w:rPr>
          <w:lang w:val="en-US"/>
        </w:rPr>
        <w:t xml:space="preserve">. </w:t>
      </w:r>
      <w:r w:rsidR="005A59A0" w:rsidRPr="00E373F1">
        <w:rPr>
          <w:lang w:val="en-US"/>
        </w:rPr>
        <w:t>The Data Collection Team Leader</w:t>
      </w:r>
      <w:r w:rsidR="00A26AA3">
        <w:rPr>
          <w:lang w:val="en-US"/>
        </w:rPr>
        <w:t xml:space="preserve">, </w:t>
      </w:r>
      <w:r w:rsidR="002B70FD" w:rsidRPr="00E373F1">
        <w:rPr>
          <w:lang w:val="en-US"/>
        </w:rPr>
        <w:t xml:space="preserve">Data Quality </w:t>
      </w:r>
      <w:r w:rsidR="00A26AA3">
        <w:rPr>
          <w:lang w:val="en-US"/>
        </w:rPr>
        <w:t xml:space="preserve">Manager </w:t>
      </w:r>
      <w:r w:rsidR="00E373F1" w:rsidRPr="00E373F1">
        <w:rPr>
          <w:lang w:val="en-US"/>
        </w:rPr>
        <w:t xml:space="preserve">and Training </w:t>
      </w:r>
      <w:r w:rsidR="002B70FD" w:rsidRPr="00E373F1">
        <w:rPr>
          <w:lang w:val="en-US"/>
        </w:rPr>
        <w:t xml:space="preserve">Manager will typically </w:t>
      </w:r>
      <w:r w:rsidR="005A59A0" w:rsidRPr="00E373F1">
        <w:rPr>
          <w:lang w:val="en-US"/>
        </w:rPr>
        <w:t xml:space="preserve">spend </w:t>
      </w:r>
      <w:r w:rsidR="00A3305D" w:rsidRPr="00E373F1">
        <w:rPr>
          <w:lang w:val="en-US"/>
        </w:rPr>
        <w:t>4-</w:t>
      </w:r>
      <w:r w:rsidR="00ED4E60" w:rsidRPr="00E373F1">
        <w:rPr>
          <w:lang w:val="en-US"/>
        </w:rPr>
        <w:t xml:space="preserve">5 </w:t>
      </w:r>
      <w:r w:rsidR="005A59A0" w:rsidRPr="00E373F1">
        <w:rPr>
          <w:lang w:val="en-US"/>
        </w:rPr>
        <w:t xml:space="preserve">days weekly at </w:t>
      </w:r>
      <w:r w:rsidR="00D5708D" w:rsidRPr="00E373F1">
        <w:rPr>
          <w:lang w:val="en-US"/>
        </w:rPr>
        <w:t>the ROC</w:t>
      </w:r>
      <w:r w:rsidR="005A59A0" w:rsidRPr="00E373F1">
        <w:rPr>
          <w:lang w:val="en-US"/>
        </w:rPr>
        <w:t xml:space="preserve"> during the SBD field period. The </w:t>
      </w:r>
      <w:r w:rsidR="002B70FD" w:rsidRPr="00E373F1">
        <w:rPr>
          <w:lang w:val="en-US"/>
        </w:rPr>
        <w:t>Production Manager</w:t>
      </w:r>
      <w:r w:rsidR="00E373F1" w:rsidRPr="00E373F1">
        <w:rPr>
          <w:lang w:val="en-US"/>
        </w:rPr>
        <w:t xml:space="preserve"> </w:t>
      </w:r>
      <w:r w:rsidR="00ED4E60" w:rsidRPr="00E373F1">
        <w:rPr>
          <w:lang w:val="en-US"/>
        </w:rPr>
        <w:t>typically</w:t>
      </w:r>
      <w:r w:rsidR="005A59A0" w:rsidRPr="00E373F1">
        <w:rPr>
          <w:lang w:val="en-US"/>
        </w:rPr>
        <w:t xml:space="preserve"> spend</w:t>
      </w:r>
      <w:r w:rsidR="002B70FD" w:rsidRPr="00E373F1">
        <w:rPr>
          <w:lang w:val="en-US"/>
        </w:rPr>
        <w:t>s</w:t>
      </w:r>
      <w:r w:rsidR="005A59A0" w:rsidRPr="00E373F1">
        <w:rPr>
          <w:lang w:val="en-US"/>
        </w:rPr>
        <w:t xml:space="preserve"> </w:t>
      </w:r>
      <w:r w:rsidR="002B70FD" w:rsidRPr="00E373F1">
        <w:rPr>
          <w:lang w:val="en-US"/>
        </w:rPr>
        <w:t>5</w:t>
      </w:r>
      <w:r w:rsidR="00ED4E60" w:rsidRPr="00E373F1">
        <w:rPr>
          <w:lang w:val="en-US"/>
        </w:rPr>
        <w:t xml:space="preserve"> days </w:t>
      </w:r>
      <w:r w:rsidR="005A59A0" w:rsidRPr="00E373F1">
        <w:rPr>
          <w:lang w:val="en-US"/>
        </w:rPr>
        <w:t>onsite</w:t>
      </w:r>
      <w:r w:rsidR="00D5708D" w:rsidRPr="00E373F1">
        <w:rPr>
          <w:lang w:val="en-US"/>
        </w:rPr>
        <w:t xml:space="preserve"> per week</w:t>
      </w:r>
      <w:r w:rsidR="002D6BA2" w:rsidRPr="00E373F1">
        <w:rPr>
          <w:lang w:val="en-US"/>
        </w:rPr>
        <w:t>.</w:t>
      </w:r>
      <w:r w:rsidR="005A59A0" w:rsidRPr="00E373F1">
        <w:rPr>
          <w:lang w:val="en-US"/>
        </w:rPr>
        <w:t xml:space="preserve"> </w:t>
      </w:r>
      <w:r w:rsidR="003A3FD0">
        <w:rPr>
          <w:lang w:val="en-US"/>
        </w:rPr>
        <w:t>M</w:t>
      </w:r>
      <w:r w:rsidR="002D6BA2" w:rsidRPr="00E373F1">
        <w:rPr>
          <w:lang w:val="en-US"/>
        </w:rPr>
        <w:t>anagers also conduct</w:t>
      </w:r>
      <w:r w:rsidR="00D7048C" w:rsidRPr="00E373F1">
        <w:rPr>
          <w:lang w:val="en-US"/>
        </w:rPr>
        <w:t xml:space="preserve"> periodic visits to </w:t>
      </w:r>
      <w:r w:rsidR="008E6F9D">
        <w:rPr>
          <w:lang w:val="en-US"/>
        </w:rPr>
        <w:t>SUBCONTRACTOR</w:t>
      </w:r>
      <w:r w:rsidR="008E6F9D" w:rsidRPr="00E373F1">
        <w:rPr>
          <w:lang w:val="en-US"/>
        </w:rPr>
        <w:t xml:space="preserve">’s </w:t>
      </w:r>
      <w:r w:rsidR="00D7048C" w:rsidRPr="00E373F1">
        <w:rPr>
          <w:lang w:val="en-US"/>
        </w:rPr>
        <w:t>call center</w:t>
      </w:r>
      <w:r w:rsidR="005A59A0" w:rsidRPr="00E373F1">
        <w:rPr>
          <w:lang w:val="en-US"/>
        </w:rPr>
        <w:t>.</w:t>
      </w:r>
      <w:r w:rsidR="005A59A0">
        <w:rPr>
          <w:lang w:val="en-US"/>
        </w:rPr>
        <w:t xml:space="preserve"> </w:t>
      </w:r>
    </w:p>
    <w:p w14:paraId="31AA4348" w14:textId="30DB35F1" w:rsidR="005A59A0" w:rsidRDefault="005A59A0" w:rsidP="00BC2F43">
      <w:pPr>
        <w:pStyle w:val="BodyText"/>
        <w:rPr>
          <w:lang w:val="en-US"/>
        </w:rPr>
      </w:pPr>
      <w:r>
        <w:rPr>
          <w:lang w:val="en-US"/>
        </w:rPr>
        <w:t xml:space="preserve">Time </w:t>
      </w:r>
      <w:r w:rsidR="00A26AA3">
        <w:rPr>
          <w:lang w:val="en-US"/>
        </w:rPr>
        <w:t>on-site</w:t>
      </w:r>
      <w:r>
        <w:rPr>
          <w:lang w:val="en-US"/>
        </w:rPr>
        <w:t xml:space="preserve"> is spent </w:t>
      </w:r>
      <w:r w:rsidR="003D7049">
        <w:rPr>
          <w:lang w:val="en-US"/>
        </w:rPr>
        <w:t>o</w:t>
      </w:r>
      <w:r>
        <w:rPr>
          <w:lang w:val="en-US"/>
        </w:rPr>
        <w:t>n management activities including meeting with staff at various levels of the project, troubleshooting and problem solving with the project supervisors, walking the floor, gathering information, providing feedback, and reviewing problem cases, as needed. This active approach gives project management an up</w:t>
      </w:r>
      <w:r w:rsidR="00BC2F43">
        <w:rPr>
          <w:lang w:val="en-US"/>
        </w:rPr>
        <w:t>-</w:t>
      </w:r>
      <w:r>
        <w:rPr>
          <w:lang w:val="en-US"/>
        </w:rPr>
        <w:t xml:space="preserve">close opportunity to anticipate and research potential production, case flow, </w:t>
      </w:r>
      <w:r w:rsidR="003D7049">
        <w:rPr>
          <w:lang w:val="en-US"/>
        </w:rPr>
        <w:t xml:space="preserve">and </w:t>
      </w:r>
      <w:r>
        <w:rPr>
          <w:lang w:val="en-US"/>
        </w:rPr>
        <w:t>quality issues and to detect and correct drift in implementation of procedures.</w:t>
      </w:r>
      <w:r w:rsidR="00AF23A4">
        <w:rPr>
          <w:lang w:val="en-US"/>
        </w:rPr>
        <w:t xml:space="preserve"> When off-site work is being conducted</w:t>
      </w:r>
      <w:r w:rsidR="002F6BE9">
        <w:rPr>
          <w:lang w:val="en-US"/>
        </w:rPr>
        <w:t>, remote tools will be utilized to accomplish the same management tasks.</w:t>
      </w:r>
    </w:p>
    <w:p w14:paraId="2069651E" w14:textId="77777777" w:rsidR="008A716D" w:rsidRDefault="008A716D" w:rsidP="003C2B28">
      <w:pPr>
        <w:pStyle w:val="Heading2"/>
      </w:pPr>
      <w:bookmarkStart w:id="83" w:name="_Toc326235181"/>
      <w:bookmarkStart w:id="84" w:name="_Toc354754906"/>
      <w:bookmarkStart w:id="85" w:name="_Toc188880720"/>
      <w:r>
        <w:t>Data Collection Schedule</w:t>
      </w:r>
      <w:bookmarkEnd w:id="83"/>
      <w:bookmarkEnd w:id="84"/>
      <w:bookmarkEnd w:id="85"/>
    </w:p>
    <w:p w14:paraId="0658F85C" w14:textId="1AE81433" w:rsidR="008A716D" w:rsidRPr="00BD3538" w:rsidRDefault="00BF17A6" w:rsidP="00BC2F43">
      <w:pPr>
        <w:pStyle w:val="BodyText"/>
        <w:rPr>
          <w:highlight w:val="yellow"/>
        </w:rPr>
      </w:pPr>
      <w:proofErr w:type="spellStart"/>
      <w:r>
        <w:rPr>
          <w:lang w:val="en-US"/>
        </w:rPr>
        <w:t>T</w:t>
      </w:r>
      <w:r w:rsidR="001078F8" w:rsidRPr="001078F8">
        <w:t>o</w:t>
      </w:r>
      <w:proofErr w:type="spellEnd"/>
      <w:r w:rsidR="001078F8" w:rsidRPr="001078F8">
        <w:t xml:space="preserve"> use the full SBD data collection schedule, </w:t>
      </w:r>
      <w:r w:rsidR="005A0065">
        <w:rPr>
          <w:lang w:val="en-US"/>
        </w:rPr>
        <w:t>the production team</w:t>
      </w:r>
      <w:r w:rsidR="001078F8" w:rsidRPr="001078F8">
        <w:t xml:space="preserve"> anticipate</w:t>
      </w:r>
      <w:r w:rsidR="005A0065">
        <w:rPr>
          <w:lang w:val="en-US"/>
        </w:rPr>
        <w:t>s</w:t>
      </w:r>
      <w:r w:rsidR="001078F8" w:rsidRPr="001078F8">
        <w:t xml:space="preserve"> an overlap </w:t>
      </w:r>
      <w:r w:rsidR="00BC2F43">
        <w:rPr>
          <w:lang w:val="en-US"/>
        </w:rPr>
        <w:t xml:space="preserve">with </w:t>
      </w:r>
      <w:r w:rsidR="001078F8" w:rsidRPr="001078F8">
        <w:t xml:space="preserve">non-SBD data collection at the beginning of SBD data collection. </w:t>
      </w:r>
      <w:r w:rsidR="008A716D">
        <w:t xml:space="preserve">In </w:t>
      </w:r>
      <w:r w:rsidR="007A5B77">
        <w:rPr>
          <w:lang w:val="en-US"/>
        </w:rPr>
        <w:t>August</w:t>
      </w:r>
      <w:r w:rsidR="008A716D">
        <w:t xml:space="preserve">, </w:t>
      </w:r>
      <w:r w:rsidR="008A716D">
        <w:rPr>
          <w:lang w:val="en-US"/>
        </w:rPr>
        <w:t xml:space="preserve">most </w:t>
      </w:r>
      <w:r w:rsidR="000E6C0C">
        <w:rPr>
          <w:lang w:val="en-US"/>
        </w:rPr>
        <w:t>DCSs</w:t>
      </w:r>
      <w:r w:rsidR="0073513C">
        <w:rPr>
          <w:lang w:val="en-US"/>
        </w:rPr>
        <w:t xml:space="preserve"> </w:t>
      </w:r>
      <w:r w:rsidR="008A716D">
        <w:t xml:space="preserve">will continue to clean up </w:t>
      </w:r>
      <w:r w:rsidR="00BC2F43">
        <w:rPr>
          <w:lang w:val="en-US"/>
        </w:rPr>
        <w:t>H</w:t>
      </w:r>
      <w:proofErr w:type="spellStart"/>
      <w:r w:rsidR="008A716D">
        <w:t>ospital</w:t>
      </w:r>
      <w:proofErr w:type="spellEnd"/>
      <w:r w:rsidR="008A716D">
        <w:t xml:space="preserve">, OBD, and </w:t>
      </w:r>
      <w:r w:rsidR="00BC2F43">
        <w:rPr>
          <w:lang w:val="en-US"/>
        </w:rPr>
        <w:t>P</w:t>
      </w:r>
      <w:proofErr w:type="spellStart"/>
      <w:r w:rsidR="008A716D">
        <w:t>harmacy</w:t>
      </w:r>
      <w:proofErr w:type="spellEnd"/>
      <w:r w:rsidR="008A716D">
        <w:t xml:space="preserve">, while </w:t>
      </w:r>
      <w:r w:rsidR="008A716D">
        <w:rPr>
          <w:lang w:val="en-US"/>
        </w:rPr>
        <w:t xml:space="preserve">seasoned negotiators </w:t>
      </w:r>
      <w:r w:rsidR="007A74DC">
        <w:rPr>
          <w:lang w:val="en-US"/>
        </w:rPr>
        <w:t xml:space="preserve">and </w:t>
      </w:r>
      <w:r w:rsidR="00A809A7">
        <w:rPr>
          <w:lang w:val="en-US"/>
        </w:rPr>
        <w:t xml:space="preserve">some </w:t>
      </w:r>
      <w:r w:rsidR="007A74DC">
        <w:rPr>
          <w:lang w:val="en-US"/>
        </w:rPr>
        <w:t xml:space="preserve">experienced DCS </w:t>
      </w:r>
      <w:r w:rsidR="008A716D">
        <w:t xml:space="preserve">begin contacting </w:t>
      </w:r>
      <w:r w:rsidR="00A809A7">
        <w:rPr>
          <w:lang w:val="en-US"/>
        </w:rPr>
        <w:t>W</w:t>
      </w:r>
      <w:proofErr w:type="spellStart"/>
      <w:r w:rsidR="008A716D">
        <w:t>ave</w:t>
      </w:r>
      <w:proofErr w:type="spellEnd"/>
      <w:r w:rsidR="008A716D">
        <w:t xml:space="preserve"> 1 </w:t>
      </w:r>
      <w:r w:rsidR="008A716D" w:rsidRPr="00E373F1">
        <w:t>SBDs.</w:t>
      </w:r>
      <w:r w:rsidR="0073513C" w:rsidRPr="00E373F1">
        <w:t xml:space="preserve"> </w:t>
      </w:r>
      <w:r w:rsidR="00A26AA3" w:rsidRPr="00200DB7">
        <w:rPr>
          <w:lang w:val="en-US"/>
        </w:rPr>
        <w:t>Four SBD samples releases are expected</w:t>
      </w:r>
      <w:r w:rsidR="008A716D" w:rsidRPr="00200DB7">
        <w:t xml:space="preserve">: one </w:t>
      </w:r>
      <w:r w:rsidR="00BF659E" w:rsidRPr="00200DB7">
        <w:rPr>
          <w:lang w:val="en-US"/>
        </w:rPr>
        <w:t>in mid-</w:t>
      </w:r>
      <w:r w:rsidR="007A5B77" w:rsidRPr="00200DB7">
        <w:rPr>
          <w:lang w:val="en-US"/>
        </w:rPr>
        <w:t xml:space="preserve">August, </w:t>
      </w:r>
      <w:r w:rsidR="008A716D" w:rsidRPr="00200DB7">
        <w:t xml:space="preserve">the second </w:t>
      </w:r>
      <w:r w:rsidR="007A5B77" w:rsidRPr="00200DB7">
        <w:rPr>
          <w:lang w:val="en-US"/>
        </w:rPr>
        <w:t xml:space="preserve">in </w:t>
      </w:r>
      <w:r w:rsidR="007A74DC" w:rsidRPr="00200DB7">
        <w:rPr>
          <w:lang w:val="en-US"/>
        </w:rPr>
        <w:t>mid-</w:t>
      </w:r>
      <w:r w:rsidR="002A3276" w:rsidRPr="00200DB7">
        <w:rPr>
          <w:lang w:val="en-US"/>
        </w:rPr>
        <w:t xml:space="preserve">September, </w:t>
      </w:r>
      <w:r w:rsidR="005A59A0" w:rsidRPr="00200DB7">
        <w:rPr>
          <w:lang w:val="en-US"/>
        </w:rPr>
        <w:t xml:space="preserve">the </w:t>
      </w:r>
      <w:r w:rsidR="002A3276" w:rsidRPr="00200DB7">
        <w:rPr>
          <w:lang w:val="en-US"/>
        </w:rPr>
        <w:t xml:space="preserve">third </w:t>
      </w:r>
      <w:r w:rsidR="007A74DC" w:rsidRPr="00200DB7">
        <w:rPr>
          <w:lang w:val="en-US"/>
        </w:rPr>
        <w:t xml:space="preserve">in </w:t>
      </w:r>
      <w:r w:rsidR="00264D62" w:rsidRPr="00200DB7">
        <w:rPr>
          <w:lang w:val="en-US"/>
        </w:rPr>
        <w:t>mid-</w:t>
      </w:r>
      <w:r w:rsidR="008A716D" w:rsidRPr="00200DB7">
        <w:rPr>
          <w:lang w:val="en-US"/>
        </w:rPr>
        <w:t>October</w:t>
      </w:r>
      <w:r w:rsidR="005A59A0" w:rsidRPr="00200DB7">
        <w:rPr>
          <w:lang w:val="en-US"/>
        </w:rPr>
        <w:t>,</w:t>
      </w:r>
      <w:r w:rsidR="002A3276" w:rsidRPr="00200DB7">
        <w:rPr>
          <w:lang w:val="en-US"/>
        </w:rPr>
        <w:t xml:space="preserve"> </w:t>
      </w:r>
      <w:r w:rsidR="005A59A0" w:rsidRPr="00200DB7">
        <w:rPr>
          <w:lang w:val="en-US"/>
        </w:rPr>
        <w:t xml:space="preserve">and </w:t>
      </w:r>
      <w:r w:rsidR="008A716D" w:rsidRPr="00200DB7">
        <w:t>the last wave</w:t>
      </w:r>
      <w:r w:rsidR="005A59A0" w:rsidRPr="00200DB7">
        <w:rPr>
          <w:lang w:val="en-US"/>
        </w:rPr>
        <w:t xml:space="preserve"> </w:t>
      </w:r>
      <w:r w:rsidR="008A716D" w:rsidRPr="00200DB7">
        <w:t xml:space="preserve">to follow in </w:t>
      </w:r>
      <w:r w:rsidR="002A3276" w:rsidRPr="00200DB7">
        <w:rPr>
          <w:lang w:val="en-US"/>
        </w:rPr>
        <w:t>November</w:t>
      </w:r>
      <w:r w:rsidR="008A716D" w:rsidRPr="00200DB7">
        <w:t xml:space="preserve">. SBD data collection will end in </w:t>
      </w:r>
      <w:r w:rsidR="007A74DC" w:rsidRPr="00200DB7">
        <w:rPr>
          <w:lang w:val="en-US"/>
        </w:rPr>
        <w:t xml:space="preserve">early </w:t>
      </w:r>
      <w:r w:rsidR="007A5B77" w:rsidRPr="00200DB7">
        <w:rPr>
          <w:lang w:val="en-US"/>
        </w:rPr>
        <w:t>January</w:t>
      </w:r>
      <w:r w:rsidR="008A716D" w:rsidRPr="00200DB7">
        <w:t>.</w:t>
      </w:r>
      <w:r w:rsidR="0073513C" w:rsidRPr="00200DB7">
        <w:t xml:space="preserve"> </w:t>
      </w:r>
    </w:p>
    <w:p w14:paraId="2B1C6015" w14:textId="5C6AE248" w:rsidR="008A716D" w:rsidRDefault="008A716D" w:rsidP="00BC2F43">
      <w:pPr>
        <w:pStyle w:val="BodyText"/>
        <w:rPr>
          <w:b/>
          <w:lang w:val="en-US"/>
        </w:rPr>
      </w:pPr>
      <w:r w:rsidRPr="001805EC">
        <w:lastRenderedPageBreak/>
        <w:t xml:space="preserve">As with </w:t>
      </w:r>
      <w:r w:rsidR="002A3276" w:rsidRPr="001805EC">
        <w:rPr>
          <w:lang w:val="en-US"/>
        </w:rPr>
        <w:t>H</w:t>
      </w:r>
      <w:proofErr w:type="spellStart"/>
      <w:r w:rsidR="002A3276" w:rsidRPr="001805EC">
        <w:t>ospital</w:t>
      </w:r>
      <w:proofErr w:type="spellEnd"/>
      <w:r w:rsidR="002A3276" w:rsidRPr="001805EC">
        <w:t xml:space="preserve"> </w:t>
      </w:r>
      <w:r w:rsidRPr="001805EC">
        <w:t>and OBD, edit shop activities for SBDs are scheduled to run concurrent with SBD production.</w:t>
      </w:r>
      <w:r w:rsidR="0073513C" w:rsidRPr="001805EC">
        <w:t xml:space="preserve"> </w:t>
      </w:r>
      <w:r w:rsidRPr="001805EC">
        <w:rPr>
          <w:lang w:val="en-US"/>
        </w:rPr>
        <w:t xml:space="preserve">Full </w:t>
      </w:r>
      <w:r w:rsidRPr="001805EC">
        <w:t xml:space="preserve">SBD abstraction and </w:t>
      </w:r>
      <w:proofErr w:type="spellStart"/>
      <w:r w:rsidRPr="001805EC">
        <w:t>reabstraction</w:t>
      </w:r>
      <w:proofErr w:type="spellEnd"/>
      <w:r w:rsidRPr="001805EC">
        <w:t xml:space="preserve"> is expected to start in </w:t>
      </w:r>
      <w:r w:rsidR="00264D62" w:rsidRPr="001805EC">
        <w:rPr>
          <w:lang w:val="en-US"/>
        </w:rPr>
        <w:t>November.</w:t>
      </w:r>
      <w:r w:rsidR="0073513C">
        <w:t xml:space="preserve"> </w:t>
      </w:r>
      <w:r w:rsidR="00234C10">
        <w:rPr>
          <w:bCs/>
          <w:lang w:val="en-US"/>
        </w:rPr>
        <w:t xml:space="preserve">  </w:t>
      </w:r>
      <w:r w:rsidRPr="00312EF1">
        <w:rPr>
          <w:bCs/>
          <w:lang w:val="en-US"/>
        </w:rPr>
        <w:t xml:space="preserve"> </w:t>
      </w:r>
    </w:p>
    <w:p w14:paraId="6342E979" w14:textId="77777777" w:rsidR="008A716D" w:rsidRDefault="008A716D" w:rsidP="0073513C">
      <w:pPr>
        <w:pStyle w:val="Heading1"/>
      </w:pPr>
      <w:bookmarkStart w:id="86" w:name="_Toc221595849"/>
      <w:bookmarkStart w:id="87" w:name="_Toc221595859"/>
      <w:bookmarkStart w:id="88" w:name="_Toc221595865"/>
      <w:bookmarkStart w:id="89" w:name="_Toc221595871"/>
      <w:bookmarkStart w:id="90" w:name="_Toc221595872"/>
      <w:bookmarkStart w:id="91" w:name="_Toc221595873"/>
      <w:bookmarkStart w:id="92" w:name="_Toc221595874"/>
      <w:bookmarkStart w:id="93" w:name="_Toc221595875"/>
      <w:bookmarkStart w:id="94" w:name="_Toc221595876"/>
      <w:bookmarkStart w:id="95" w:name="_Toc221595884"/>
      <w:bookmarkStart w:id="96" w:name="_Toc221595885"/>
      <w:bookmarkStart w:id="97" w:name="_Toc221595886"/>
      <w:bookmarkStart w:id="98" w:name="_Toc221595896"/>
      <w:bookmarkStart w:id="99" w:name="_Toc221595897"/>
      <w:bookmarkStart w:id="100" w:name="_Toc221595898"/>
      <w:bookmarkStart w:id="101" w:name="_Toc221595899"/>
      <w:bookmarkStart w:id="102" w:name="_Toc221595900"/>
      <w:bookmarkStart w:id="103" w:name="_Toc221595901"/>
      <w:bookmarkStart w:id="104" w:name="_Toc326235196"/>
      <w:bookmarkStart w:id="105" w:name="_Toc354754909"/>
      <w:bookmarkStart w:id="106" w:name="_Toc18888072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9816DB">
        <w:t>Field Cost and Progress Reports</w:t>
      </w:r>
      <w:bookmarkEnd w:id="104"/>
      <w:bookmarkEnd w:id="105"/>
      <w:bookmarkEnd w:id="106"/>
      <w:r w:rsidRPr="009816DB">
        <w:t xml:space="preserve"> </w:t>
      </w:r>
    </w:p>
    <w:p w14:paraId="1903C118" w14:textId="1686E3F4" w:rsidR="008A716D" w:rsidRDefault="00714079" w:rsidP="00714079">
      <w:pPr>
        <w:pStyle w:val="BodyText"/>
      </w:pPr>
      <w:r>
        <w:rPr>
          <w:lang w:val="en-US"/>
        </w:rPr>
        <w:t>The</w:t>
      </w:r>
      <w:r w:rsidR="008A716D" w:rsidRPr="00EA2A91">
        <w:t xml:space="preserve"> </w:t>
      </w:r>
      <w:r w:rsidR="008A716D" w:rsidRPr="00EA2A91">
        <w:rPr>
          <w:b/>
          <w:bCs/>
          <w:i/>
          <w:iCs/>
        </w:rPr>
        <w:t xml:space="preserve">MPC </w:t>
      </w:r>
      <w:r w:rsidR="00D32F67">
        <w:rPr>
          <w:b/>
          <w:bCs/>
          <w:i/>
          <w:iCs/>
          <w:lang w:val="en-US"/>
        </w:rPr>
        <w:t xml:space="preserve">Consolidated </w:t>
      </w:r>
      <w:r w:rsidR="008A716D" w:rsidRPr="00EA2A91">
        <w:rPr>
          <w:b/>
          <w:bCs/>
          <w:i/>
          <w:iCs/>
        </w:rPr>
        <w:t xml:space="preserve">Data Collection Plan </w:t>
      </w:r>
      <w:r w:rsidR="008A716D" w:rsidRPr="00EA2A91">
        <w:t>reviews Field Cost and Progress Reports</w:t>
      </w:r>
      <w:r w:rsidR="008A716D">
        <w:t xml:space="preserve"> available for all provider types</w:t>
      </w:r>
      <w:r w:rsidR="008A716D" w:rsidRPr="00EA2A91">
        <w:t>.</w:t>
      </w:r>
      <w:r w:rsidR="0073513C">
        <w:t xml:space="preserve"> </w:t>
      </w:r>
      <w:r w:rsidR="008A716D">
        <w:t xml:space="preserve">In addition, </w:t>
      </w:r>
      <w:r w:rsidR="00A26AA3">
        <w:rPr>
          <w:lang w:val="en-US"/>
        </w:rPr>
        <w:t>there are</w:t>
      </w:r>
      <w:r w:rsidR="008A716D">
        <w:t xml:space="preserve"> two reports unique to the SBD provider type: an SBD Node Report provides the current status of all nodes, and an SBD pair-level report provides finer detail about ineligible pairs than is available in the main production report.</w:t>
      </w:r>
      <w:r w:rsidR="0073513C">
        <w:t xml:space="preserve"> </w:t>
      </w:r>
    </w:p>
    <w:p w14:paraId="2E8A1F7D" w14:textId="063EF5E7" w:rsidR="00A26AA3" w:rsidRDefault="00A26AA3">
      <w:pPr>
        <w:rPr>
          <w:szCs w:val="24"/>
        </w:rPr>
      </w:pPr>
      <w:bookmarkStart w:id="107" w:name="IDX2"/>
      <w:bookmarkStart w:id="108" w:name="IDX3"/>
      <w:bookmarkEnd w:id="107"/>
      <w:bookmarkEnd w:id="108"/>
    </w:p>
    <w:p w14:paraId="0C0174A6" w14:textId="77777777" w:rsidR="004C7B62" w:rsidRDefault="004C7B62" w:rsidP="0073513C">
      <w:pPr>
        <w:rPr>
          <w:szCs w:val="24"/>
        </w:rPr>
      </w:pPr>
    </w:p>
    <w:p w14:paraId="03E6C17A" w14:textId="7F44A934" w:rsidR="00FE1160" w:rsidRDefault="00FE1160" w:rsidP="00FE1160">
      <w:pPr>
        <w:pStyle w:val="ExhibitTitle"/>
        <w:rPr>
          <w:szCs w:val="24"/>
        </w:rPr>
      </w:pPr>
      <w:bookmarkStart w:id="109" w:name="_Toc354746078"/>
      <w:bookmarkStart w:id="110" w:name="_Toc354853283"/>
      <w:r>
        <w:rPr>
          <w:szCs w:val="24"/>
        </w:rPr>
        <w:t xml:space="preserve">Exhibit </w:t>
      </w:r>
      <w:r w:rsidR="004E1EFA">
        <w:rPr>
          <w:szCs w:val="24"/>
          <w:lang w:val="en-US"/>
        </w:rPr>
        <w:t>6</w:t>
      </w:r>
      <w:r>
        <w:rPr>
          <w:szCs w:val="24"/>
        </w:rPr>
        <w:t>.</w:t>
      </w:r>
      <w:r>
        <w:rPr>
          <w:szCs w:val="24"/>
        </w:rPr>
        <w:tab/>
      </w:r>
      <w:r w:rsidRPr="008A74FE">
        <w:t>MPC SBD Pair Report</w:t>
      </w:r>
      <w:r>
        <w:t>—</w:t>
      </w:r>
      <w:r w:rsidRPr="008A74FE">
        <w:t>Overall</w:t>
      </w:r>
      <w:bookmarkEnd w:id="109"/>
      <w:bookmarkEnd w:id="110"/>
    </w:p>
    <w:tbl>
      <w:tblPr>
        <w:tblW w:w="936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616"/>
        <w:gridCol w:w="1872"/>
        <w:gridCol w:w="1872"/>
      </w:tblGrid>
      <w:tr w:rsidR="008A716D" w:rsidRPr="008A74FE" w14:paraId="79CCDAC5" w14:textId="77777777" w:rsidTr="00BE2D92">
        <w:tc>
          <w:tcPr>
            <w:tcW w:w="5616" w:type="dxa"/>
            <w:shd w:val="clear" w:color="auto" w:fill="D9D9D9"/>
            <w:vAlign w:val="bottom"/>
            <w:hideMark/>
          </w:tcPr>
          <w:p w14:paraId="4699083D" w14:textId="77777777" w:rsidR="008A716D" w:rsidRPr="008A74FE" w:rsidRDefault="008A716D" w:rsidP="00FE1160">
            <w:pPr>
              <w:pStyle w:val="TableHeading"/>
            </w:pPr>
            <w:r w:rsidRPr="008A74FE">
              <w:t>Category</w:t>
            </w:r>
          </w:p>
        </w:tc>
        <w:tc>
          <w:tcPr>
            <w:tcW w:w="1872" w:type="dxa"/>
            <w:shd w:val="clear" w:color="auto" w:fill="D9D9D9"/>
            <w:vAlign w:val="bottom"/>
            <w:hideMark/>
          </w:tcPr>
          <w:p w14:paraId="77DDD85C" w14:textId="77777777" w:rsidR="008A716D" w:rsidRPr="008A74FE" w:rsidRDefault="008A716D" w:rsidP="00FE1160">
            <w:pPr>
              <w:pStyle w:val="TableHeading"/>
            </w:pPr>
            <w:r w:rsidRPr="008A74FE">
              <w:t>Value</w:t>
            </w:r>
          </w:p>
        </w:tc>
        <w:tc>
          <w:tcPr>
            <w:tcW w:w="1872" w:type="dxa"/>
            <w:shd w:val="clear" w:color="auto" w:fill="D9D9D9"/>
            <w:vAlign w:val="bottom"/>
            <w:hideMark/>
          </w:tcPr>
          <w:p w14:paraId="14C23736" w14:textId="77777777" w:rsidR="008A716D" w:rsidRPr="008A74FE" w:rsidRDefault="008A716D" w:rsidP="00FE1160">
            <w:pPr>
              <w:pStyle w:val="TableHeading"/>
            </w:pPr>
            <w:r w:rsidRPr="008A74FE">
              <w:t>% of Original N</w:t>
            </w:r>
          </w:p>
        </w:tc>
      </w:tr>
      <w:tr w:rsidR="008A716D" w:rsidRPr="00BE2D92" w14:paraId="052AB5EB" w14:textId="77777777" w:rsidTr="00BE2D92">
        <w:tc>
          <w:tcPr>
            <w:tcW w:w="5616" w:type="dxa"/>
            <w:shd w:val="clear" w:color="auto" w:fill="auto"/>
            <w:hideMark/>
          </w:tcPr>
          <w:p w14:paraId="42F1B4B2" w14:textId="7B264FE7" w:rsidR="008A716D" w:rsidRPr="008A74FE" w:rsidRDefault="008A716D" w:rsidP="00BE2D92">
            <w:pPr>
              <w:pStyle w:val="TableText"/>
              <w:widowControl w:val="0"/>
            </w:pPr>
            <w:r w:rsidRPr="008A74FE">
              <w:t>Original</w:t>
            </w:r>
            <w:r w:rsidR="0052166A">
              <w:rPr>
                <w:lang w:val="en-US"/>
              </w:rPr>
              <w:t xml:space="preserve"> </w:t>
            </w:r>
            <w:r w:rsidRPr="008A74FE">
              <w:t>N</w:t>
            </w:r>
          </w:p>
        </w:tc>
        <w:tc>
          <w:tcPr>
            <w:tcW w:w="1872" w:type="dxa"/>
            <w:shd w:val="clear" w:color="auto" w:fill="auto"/>
            <w:hideMark/>
          </w:tcPr>
          <w:p w14:paraId="4DADF7B1" w14:textId="77777777" w:rsidR="008A716D" w:rsidRPr="008A74FE" w:rsidRDefault="008A716D" w:rsidP="00BE2D92">
            <w:pPr>
              <w:pStyle w:val="TableText"/>
              <w:widowControl w:val="0"/>
              <w:ind w:right="288"/>
              <w:jc w:val="right"/>
            </w:pPr>
          </w:p>
        </w:tc>
        <w:tc>
          <w:tcPr>
            <w:tcW w:w="1872" w:type="dxa"/>
            <w:shd w:val="clear" w:color="auto" w:fill="auto"/>
            <w:hideMark/>
          </w:tcPr>
          <w:p w14:paraId="260411C7" w14:textId="77777777" w:rsidR="008A716D" w:rsidRPr="008A74FE" w:rsidRDefault="008A716D" w:rsidP="00BE2D92">
            <w:pPr>
              <w:pStyle w:val="TableText"/>
              <w:widowControl w:val="0"/>
              <w:ind w:right="288"/>
              <w:jc w:val="right"/>
            </w:pPr>
          </w:p>
        </w:tc>
      </w:tr>
      <w:tr w:rsidR="008A716D" w:rsidRPr="00BE2D92" w14:paraId="4FA0DA07" w14:textId="77777777" w:rsidTr="00BE2D92">
        <w:tc>
          <w:tcPr>
            <w:tcW w:w="5616" w:type="dxa"/>
            <w:shd w:val="clear" w:color="auto" w:fill="auto"/>
            <w:hideMark/>
          </w:tcPr>
          <w:p w14:paraId="5291BBCE" w14:textId="77777777" w:rsidR="008A716D" w:rsidRPr="008A74FE" w:rsidRDefault="008A716D" w:rsidP="00BE2D92">
            <w:pPr>
              <w:pStyle w:val="TableText"/>
              <w:widowControl w:val="0"/>
            </w:pPr>
            <w:r w:rsidRPr="008A74FE">
              <w:t>Merge</w:t>
            </w:r>
          </w:p>
        </w:tc>
        <w:tc>
          <w:tcPr>
            <w:tcW w:w="1872" w:type="dxa"/>
            <w:shd w:val="clear" w:color="auto" w:fill="auto"/>
            <w:hideMark/>
          </w:tcPr>
          <w:p w14:paraId="3BDEB9F5" w14:textId="77777777" w:rsidR="008A716D" w:rsidRPr="008A74FE" w:rsidRDefault="008A716D" w:rsidP="00BE2D92">
            <w:pPr>
              <w:pStyle w:val="TableText"/>
              <w:widowControl w:val="0"/>
              <w:ind w:right="288"/>
              <w:jc w:val="right"/>
            </w:pPr>
          </w:p>
        </w:tc>
        <w:tc>
          <w:tcPr>
            <w:tcW w:w="1872" w:type="dxa"/>
            <w:shd w:val="clear" w:color="auto" w:fill="auto"/>
            <w:hideMark/>
          </w:tcPr>
          <w:p w14:paraId="6A90C9F6" w14:textId="77777777" w:rsidR="008A716D" w:rsidRPr="008A74FE" w:rsidRDefault="008A716D" w:rsidP="00BE2D92">
            <w:pPr>
              <w:pStyle w:val="TableText"/>
              <w:widowControl w:val="0"/>
              <w:ind w:right="288"/>
              <w:jc w:val="right"/>
            </w:pPr>
          </w:p>
        </w:tc>
      </w:tr>
      <w:tr w:rsidR="008A716D" w:rsidRPr="00BE2D92" w14:paraId="35761DFA" w14:textId="77777777" w:rsidTr="00BE2D92">
        <w:tc>
          <w:tcPr>
            <w:tcW w:w="5616" w:type="dxa"/>
            <w:shd w:val="clear" w:color="auto" w:fill="auto"/>
            <w:hideMark/>
          </w:tcPr>
          <w:p w14:paraId="68D91B74" w14:textId="77777777" w:rsidR="008A716D" w:rsidRPr="008A74FE" w:rsidRDefault="008A716D" w:rsidP="00BE2D92">
            <w:pPr>
              <w:pStyle w:val="TableText"/>
              <w:widowControl w:val="0"/>
            </w:pPr>
            <w:r w:rsidRPr="008A74FE">
              <w:t>Abstracted in Error</w:t>
            </w:r>
          </w:p>
        </w:tc>
        <w:tc>
          <w:tcPr>
            <w:tcW w:w="1872" w:type="dxa"/>
            <w:shd w:val="clear" w:color="auto" w:fill="auto"/>
            <w:hideMark/>
          </w:tcPr>
          <w:p w14:paraId="6BFF13F8" w14:textId="77777777" w:rsidR="008A716D" w:rsidRPr="008A74FE" w:rsidRDefault="008A716D" w:rsidP="00BE2D92">
            <w:pPr>
              <w:pStyle w:val="TableText"/>
              <w:widowControl w:val="0"/>
              <w:ind w:right="288"/>
              <w:jc w:val="right"/>
            </w:pPr>
          </w:p>
        </w:tc>
        <w:tc>
          <w:tcPr>
            <w:tcW w:w="1872" w:type="dxa"/>
            <w:shd w:val="clear" w:color="auto" w:fill="auto"/>
            <w:hideMark/>
          </w:tcPr>
          <w:p w14:paraId="33AE0156" w14:textId="77777777" w:rsidR="008A716D" w:rsidRPr="008A74FE" w:rsidRDefault="008A716D" w:rsidP="00BE2D92">
            <w:pPr>
              <w:pStyle w:val="TableText"/>
              <w:widowControl w:val="0"/>
              <w:ind w:right="288"/>
              <w:jc w:val="right"/>
            </w:pPr>
          </w:p>
        </w:tc>
      </w:tr>
      <w:tr w:rsidR="008A716D" w:rsidRPr="00BE2D92" w14:paraId="6809CC07" w14:textId="77777777" w:rsidTr="00BE2D92">
        <w:tc>
          <w:tcPr>
            <w:tcW w:w="5616" w:type="dxa"/>
            <w:shd w:val="clear" w:color="auto" w:fill="auto"/>
            <w:hideMark/>
          </w:tcPr>
          <w:p w14:paraId="0F68E294" w14:textId="77777777" w:rsidR="008A716D" w:rsidRPr="008A74FE" w:rsidRDefault="008A716D" w:rsidP="00BE2D92">
            <w:pPr>
              <w:pStyle w:val="TableText"/>
              <w:widowControl w:val="0"/>
            </w:pPr>
            <w:r w:rsidRPr="008A74FE">
              <w:t>Included in another SBD</w:t>
            </w:r>
          </w:p>
        </w:tc>
        <w:tc>
          <w:tcPr>
            <w:tcW w:w="1872" w:type="dxa"/>
            <w:shd w:val="clear" w:color="auto" w:fill="auto"/>
            <w:hideMark/>
          </w:tcPr>
          <w:p w14:paraId="45C90AAD" w14:textId="77777777" w:rsidR="008A716D" w:rsidRPr="008A74FE" w:rsidRDefault="008A716D" w:rsidP="00BE2D92">
            <w:pPr>
              <w:pStyle w:val="TableText"/>
              <w:widowControl w:val="0"/>
              <w:ind w:right="288"/>
              <w:jc w:val="right"/>
            </w:pPr>
          </w:p>
        </w:tc>
        <w:tc>
          <w:tcPr>
            <w:tcW w:w="1872" w:type="dxa"/>
            <w:shd w:val="clear" w:color="auto" w:fill="auto"/>
            <w:hideMark/>
          </w:tcPr>
          <w:p w14:paraId="4CAB708E" w14:textId="77777777" w:rsidR="008A716D" w:rsidRPr="008A74FE" w:rsidRDefault="008A716D" w:rsidP="00BE2D92">
            <w:pPr>
              <w:pStyle w:val="TableText"/>
              <w:widowControl w:val="0"/>
              <w:ind w:right="288"/>
              <w:jc w:val="right"/>
            </w:pPr>
          </w:p>
        </w:tc>
      </w:tr>
      <w:tr w:rsidR="008A716D" w:rsidRPr="00BE2D92" w14:paraId="427E911E" w14:textId="77777777" w:rsidTr="00BE2D92">
        <w:tc>
          <w:tcPr>
            <w:tcW w:w="5616" w:type="dxa"/>
            <w:shd w:val="clear" w:color="auto" w:fill="auto"/>
            <w:hideMark/>
          </w:tcPr>
          <w:p w14:paraId="5AE51D94" w14:textId="77777777" w:rsidR="008A716D" w:rsidRPr="008A74FE" w:rsidRDefault="008A716D" w:rsidP="00BE2D92">
            <w:pPr>
              <w:pStyle w:val="TableText"/>
              <w:widowControl w:val="0"/>
            </w:pPr>
            <w:r w:rsidRPr="008A74FE">
              <w:t>Included in Hospital Charges</w:t>
            </w:r>
          </w:p>
        </w:tc>
        <w:tc>
          <w:tcPr>
            <w:tcW w:w="1872" w:type="dxa"/>
            <w:shd w:val="clear" w:color="auto" w:fill="auto"/>
            <w:hideMark/>
          </w:tcPr>
          <w:p w14:paraId="22ACAC55" w14:textId="77777777" w:rsidR="008A716D" w:rsidRPr="008A74FE" w:rsidRDefault="008A716D" w:rsidP="00BE2D92">
            <w:pPr>
              <w:pStyle w:val="TableText"/>
              <w:widowControl w:val="0"/>
              <w:ind w:right="288"/>
              <w:jc w:val="right"/>
            </w:pPr>
          </w:p>
        </w:tc>
        <w:tc>
          <w:tcPr>
            <w:tcW w:w="1872" w:type="dxa"/>
            <w:shd w:val="clear" w:color="auto" w:fill="auto"/>
            <w:hideMark/>
          </w:tcPr>
          <w:p w14:paraId="555BEC21" w14:textId="77777777" w:rsidR="008A716D" w:rsidRPr="008A74FE" w:rsidRDefault="008A716D" w:rsidP="00BE2D92">
            <w:pPr>
              <w:pStyle w:val="TableText"/>
              <w:widowControl w:val="0"/>
              <w:ind w:right="288"/>
              <w:jc w:val="right"/>
            </w:pPr>
          </w:p>
        </w:tc>
      </w:tr>
      <w:tr w:rsidR="008A716D" w:rsidRPr="00BE2D92" w14:paraId="4CAFD088" w14:textId="77777777" w:rsidTr="00BE2D92">
        <w:tc>
          <w:tcPr>
            <w:tcW w:w="5616" w:type="dxa"/>
            <w:shd w:val="clear" w:color="auto" w:fill="auto"/>
            <w:hideMark/>
          </w:tcPr>
          <w:p w14:paraId="0C9211A8" w14:textId="77777777" w:rsidR="008A716D" w:rsidRPr="008A74FE" w:rsidRDefault="008A716D" w:rsidP="00BE2D92">
            <w:pPr>
              <w:pStyle w:val="TableText"/>
              <w:widowControl w:val="0"/>
            </w:pPr>
            <w:r w:rsidRPr="008A74FE">
              <w:t>Disavowal 1</w:t>
            </w:r>
          </w:p>
        </w:tc>
        <w:tc>
          <w:tcPr>
            <w:tcW w:w="1872" w:type="dxa"/>
            <w:shd w:val="clear" w:color="auto" w:fill="auto"/>
            <w:hideMark/>
          </w:tcPr>
          <w:p w14:paraId="5ABC00C5" w14:textId="77777777" w:rsidR="008A716D" w:rsidRPr="008A74FE" w:rsidRDefault="008A716D" w:rsidP="00BE2D92">
            <w:pPr>
              <w:pStyle w:val="TableText"/>
              <w:widowControl w:val="0"/>
              <w:ind w:right="288"/>
              <w:jc w:val="right"/>
            </w:pPr>
          </w:p>
        </w:tc>
        <w:tc>
          <w:tcPr>
            <w:tcW w:w="1872" w:type="dxa"/>
            <w:shd w:val="clear" w:color="auto" w:fill="auto"/>
            <w:hideMark/>
          </w:tcPr>
          <w:p w14:paraId="79765BE1" w14:textId="77777777" w:rsidR="008A716D" w:rsidRPr="008A74FE" w:rsidRDefault="008A716D" w:rsidP="00BE2D92">
            <w:pPr>
              <w:pStyle w:val="TableText"/>
              <w:widowControl w:val="0"/>
              <w:ind w:right="288"/>
              <w:jc w:val="right"/>
            </w:pPr>
          </w:p>
        </w:tc>
      </w:tr>
      <w:tr w:rsidR="008A716D" w:rsidRPr="00BE2D92" w14:paraId="3738AFE3" w14:textId="77777777" w:rsidTr="00BE2D92">
        <w:tc>
          <w:tcPr>
            <w:tcW w:w="5616" w:type="dxa"/>
            <w:shd w:val="clear" w:color="auto" w:fill="auto"/>
            <w:hideMark/>
          </w:tcPr>
          <w:p w14:paraId="0FDFCCBF" w14:textId="77777777" w:rsidR="008A716D" w:rsidRPr="008A74FE" w:rsidRDefault="008A716D" w:rsidP="00BE2D92">
            <w:pPr>
              <w:pStyle w:val="TableText"/>
              <w:widowControl w:val="0"/>
            </w:pPr>
            <w:r w:rsidRPr="008A74FE">
              <w:t>Not Treated for event, Disavowal 2</w:t>
            </w:r>
          </w:p>
        </w:tc>
        <w:tc>
          <w:tcPr>
            <w:tcW w:w="1872" w:type="dxa"/>
            <w:shd w:val="clear" w:color="auto" w:fill="auto"/>
            <w:hideMark/>
          </w:tcPr>
          <w:p w14:paraId="17BE7EFA" w14:textId="77777777" w:rsidR="008A716D" w:rsidRPr="008A74FE" w:rsidRDefault="008A716D" w:rsidP="00BE2D92">
            <w:pPr>
              <w:pStyle w:val="TableText"/>
              <w:widowControl w:val="0"/>
              <w:ind w:right="288"/>
              <w:jc w:val="right"/>
            </w:pPr>
          </w:p>
        </w:tc>
        <w:tc>
          <w:tcPr>
            <w:tcW w:w="1872" w:type="dxa"/>
            <w:shd w:val="clear" w:color="auto" w:fill="auto"/>
            <w:hideMark/>
          </w:tcPr>
          <w:p w14:paraId="0219EA28" w14:textId="77777777" w:rsidR="008A716D" w:rsidRPr="008A74FE" w:rsidRDefault="008A716D" w:rsidP="00BE2D92">
            <w:pPr>
              <w:pStyle w:val="TableText"/>
              <w:widowControl w:val="0"/>
              <w:ind w:right="288"/>
              <w:jc w:val="right"/>
            </w:pPr>
          </w:p>
        </w:tc>
      </w:tr>
      <w:tr w:rsidR="008A716D" w:rsidRPr="00BE2D92" w14:paraId="092EC979" w14:textId="77777777" w:rsidTr="00BE2D92">
        <w:tc>
          <w:tcPr>
            <w:tcW w:w="5616" w:type="dxa"/>
            <w:shd w:val="clear" w:color="auto" w:fill="auto"/>
            <w:hideMark/>
          </w:tcPr>
          <w:p w14:paraId="14C06984" w14:textId="77777777" w:rsidR="008A716D" w:rsidRPr="008A74FE" w:rsidRDefault="008A716D" w:rsidP="00BE2D92">
            <w:pPr>
              <w:pStyle w:val="TableText"/>
              <w:widowControl w:val="0"/>
            </w:pPr>
            <w:r w:rsidRPr="008A74FE">
              <w:t>Referred/Copied Physician</w:t>
            </w:r>
          </w:p>
        </w:tc>
        <w:tc>
          <w:tcPr>
            <w:tcW w:w="1872" w:type="dxa"/>
            <w:shd w:val="clear" w:color="auto" w:fill="auto"/>
            <w:hideMark/>
          </w:tcPr>
          <w:p w14:paraId="349CB376" w14:textId="77777777" w:rsidR="008A716D" w:rsidRPr="008A74FE" w:rsidRDefault="008A716D" w:rsidP="00BE2D92">
            <w:pPr>
              <w:pStyle w:val="TableText"/>
              <w:widowControl w:val="0"/>
              <w:ind w:right="288"/>
              <w:jc w:val="right"/>
            </w:pPr>
          </w:p>
        </w:tc>
        <w:tc>
          <w:tcPr>
            <w:tcW w:w="1872" w:type="dxa"/>
            <w:shd w:val="clear" w:color="auto" w:fill="auto"/>
            <w:hideMark/>
          </w:tcPr>
          <w:p w14:paraId="7A9D8CC8" w14:textId="77777777" w:rsidR="008A716D" w:rsidRPr="008A74FE" w:rsidRDefault="008A716D" w:rsidP="00BE2D92">
            <w:pPr>
              <w:pStyle w:val="TableText"/>
              <w:widowControl w:val="0"/>
              <w:ind w:right="288"/>
              <w:jc w:val="right"/>
            </w:pPr>
          </w:p>
        </w:tc>
      </w:tr>
      <w:tr w:rsidR="008A716D" w:rsidRPr="00BE2D92" w14:paraId="34810A6C" w14:textId="77777777" w:rsidTr="00BE2D92">
        <w:tc>
          <w:tcPr>
            <w:tcW w:w="5616" w:type="dxa"/>
            <w:shd w:val="clear" w:color="auto" w:fill="auto"/>
            <w:hideMark/>
          </w:tcPr>
          <w:p w14:paraId="62F3E153" w14:textId="77777777" w:rsidR="008A716D" w:rsidRPr="008A74FE" w:rsidRDefault="008A716D" w:rsidP="00BE2D92">
            <w:pPr>
              <w:pStyle w:val="TableText"/>
              <w:widowControl w:val="0"/>
            </w:pPr>
            <w:r w:rsidRPr="008A74FE">
              <w:t>Department Head/Follow-up Doctor</w:t>
            </w:r>
          </w:p>
        </w:tc>
        <w:tc>
          <w:tcPr>
            <w:tcW w:w="1872" w:type="dxa"/>
            <w:shd w:val="clear" w:color="auto" w:fill="auto"/>
            <w:hideMark/>
          </w:tcPr>
          <w:p w14:paraId="41181A19" w14:textId="77777777" w:rsidR="008A716D" w:rsidRPr="008A74FE" w:rsidRDefault="008A716D" w:rsidP="00BE2D92">
            <w:pPr>
              <w:pStyle w:val="TableText"/>
              <w:widowControl w:val="0"/>
              <w:ind w:right="288"/>
              <w:jc w:val="right"/>
            </w:pPr>
          </w:p>
        </w:tc>
        <w:tc>
          <w:tcPr>
            <w:tcW w:w="1872" w:type="dxa"/>
            <w:shd w:val="clear" w:color="auto" w:fill="auto"/>
            <w:hideMark/>
          </w:tcPr>
          <w:p w14:paraId="54AE0EF7" w14:textId="77777777" w:rsidR="008A716D" w:rsidRPr="008A74FE" w:rsidRDefault="008A716D" w:rsidP="00BE2D92">
            <w:pPr>
              <w:pStyle w:val="TableText"/>
              <w:widowControl w:val="0"/>
              <w:ind w:right="288"/>
              <w:jc w:val="right"/>
            </w:pPr>
          </w:p>
        </w:tc>
      </w:tr>
      <w:tr w:rsidR="00FE1160" w:rsidRPr="008A74FE" w14:paraId="307B7E70" w14:textId="77777777" w:rsidTr="00BE2D92">
        <w:tc>
          <w:tcPr>
            <w:tcW w:w="5616" w:type="dxa"/>
            <w:shd w:val="clear" w:color="auto" w:fill="auto"/>
          </w:tcPr>
          <w:p w14:paraId="5579B244" w14:textId="70D58E0B" w:rsidR="00FE1160" w:rsidRPr="008A74FE" w:rsidRDefault="00FE1160" w:rsidP="00BE2D92">
            <w:pPr>
              <w:pStyle w:val="TableText"/>
              <w:widowControl w:val="0"/>
              <w:spacing w:before="120"/>
            </w:pPr>
            <w:r w:rsidRPr="00BE2D92">
              <w:rPr>
                <w:rFonts w:cs="Arial"/>
                <w:color w:val="000000"/>
              </w:rPr>
              <w:t>Current</w:t>
            </w:r>
            <w:r w:rsidR="0052166A">
              <w:rPr>
                <w:rFonts w:cs="Arial"/>
                <w:color w:val="000000"/>
                <w:lang w:val="en-US"/>
              </w:rPr>
              <w:t xml:space="preserve"> </w:t>
            </w:r>
            <w:r w:rsidRPr="00BE2D92">
              <w:rPr>
                <w:rFonts w:cs="Arial"/>
                <w:color w:val="000000"/>
              </w:rPr>
              <w:t>N</w:t>
            </w:r>
          </w:p>
        </w:tc>
        <w:tc>
          <w:tcPr>
            <w:tcW w:w="1872" w:type="dxa"/>
            <w:shd w:val="clear" w:color="auto" w:fill="auto"/>
          </w:tcPr>
          <w:p w14:paraId="38B8BD29" w14:textId="77777777" w:rsidR="00FE1160" w:rsidRPr="008A74FE" w:rsidRDefault="00FE1160" w:rsidP="00BE2D92">
            <w:pPr>
              <w:pStyle w:val="TableText"/>
              <w:widowControl w:val="0"/>
              <w:spacing w:before="120"/>
              <w:ind w:right="288"/>
              <w:jc w:val="right"/>
            </w:pPr>
          </w:p>
        </w:tc>
        <w:tc>
          <w:tcPr>
            <w:tcW w:w="1872" w:type="dxa"/>
            <w:shd w:val="clear" w:color="auto" w:fill="auto"/>
          </w:tcPr>
          <w:p w14:paraId="223D9B4C" w14:textId="77777777" w:rsidR="00FE1160" w:rsidRPr="008A74FE" w:rsidRDefault="00FE1160" w:rsidP="00BE2D92">
            <w:pPr>
              <w:pStyle w:val="TableText"/>
              <w:widowControl w:val="0"/>
              <w:spacing w:before="120"/>
              <w:ind w:right="288"/>
              <w:jc w:val="right"/>
            </w:pPr>
          </w:p>
        </w:tc>
      </w:tr>
      <w:tr w:rsidR="00FE1160" w:rsidRPr="008A74FE" w14:paraId="2316EB96" w14:textId="77777777" w:rsidTr="00BE2D92">
        <w:tc>
          <w:tcPr>
            <w:tcW w:w="5616" w:type="dxa"/>
            <w:shd w:val="clear" w:color="auto" w:fill="auto"/>
          </w:tcPr>
          <w:p w14:paraId="0CAE61A3" w14:textId="77777777" w:rsidR="00FE1160" w:rsidRPr="008A74FE" w:rsidRDefault="00FE1160" w:rsidP="00BE2D92">
            <w:pPr>
              <w:pStyle w:val="TableText"/>
              <w:widowControl w:val="0"/>
            </w:pPr>
            <w:r w:rsidRPr="00BE2D92">
              <w:rPr>
                <w:rFonts w:cs="Arial"/>
                <w:color w:val="000000"/>
              </w:rPr>
              <w:t>Complete</w:t>
            </w:r>
          </w:p>
        </w:tc>
        <w:tc>
          <w:tcPr>
            <w:tcW w:w="1872" w:type="dxa"/>
            <w:shd w:val="clear" w:color="auto" w:fill="auto"/>
          </w:tcPr>
          <w:p w14:paraId="18E4609E" w14:textId="77777777" w:rsidR="00FE1160" w:rsidRPr="008A74FE" w:rsidRDefault="00FE1160" w:rsidP="00BE2D92">
            <w:pPr>
              <w:pStyle w:val="TableText"/>
              <w:widowControl w:val="0"/>
              <w:ind w:right="288"/>
              <w:jc w:val="right"/>
            </w:pPr>
          </w:p>
        </w:tc>
        <w:tc>
          <w:tcPr>
            <w:tcW w:w="1872" w:type="dxa"/>
            <w:shd w:val="clear" w:color="auto" w:fill="auto"/>
          </w:tcPr>
          <w:p w14:paraId="0C5B3BEF" w14:textId="77777777" w:rsidR="00FE1160" w:rsidRPr="008A74FE" w:rsidRDefault="00FE1160" w:rsidP="00BE2D92">
            <w:pPr>
              <w:pStyle w:val="TableText"/>
              <w:widowControl w:val="0"/>
              <w:ind w:right="288"/>
              <w:jc w:val="right"/>
            </w:pPr>
          </w:p>
        </w:tc>
      </w:tr>
      <w:tr w:rsidR="00FE1160" w:rsidRPr="008A74FE" w14:paraId="1F5E44A2" w14:textId="77777777" w:rsidTr="00BE2D92">
        <w:tc>
          <w:tcPr>
            <w:tcW w:w="5616" w:type="dxa"/>
            <w:shd w:val="clear" w:color="auto" w:fill="auto"/>
          </w:tcPr>
          <w:p w14:paraId="41588FF7" w14:textId="77777777" w:rsidR="00FE1160" w:rsidRPr="008A74FE" w:rsidRDefault="00FE1160" w:rsidP="00BE2D92">
            <w:pPr>
              <w:pStyle w:val="TableText"/>
              <w:widowControl w:val="0"/>
            </w:pPr>
            <w:r w:rsidRPr="00BE2D92">
              <w:rPr>
                <w:rFonts w:cs="Arial"/>
                <w:color w:val="000000"/>
              </w:rPr>
              <w:t>Partial complete</w:t>
            </w:r>
          </w:p>
        </w:tc>
        <w:tc>
          <w:tcPr>
            <w:tcW w:w="1872" w:type="dxa"/>
            <w:shd w:val="clear" w:color="auto" w:fill="auto"/>
          </w:tcPr>
          <w:p w14:paraId="7D97D297" w14:textId="77777777" w:rsidR="00FE1160" w:rsidRPr="008A74FE" w:rsidRDefault="00FE1160" w:rsidP="00BE2D92">
            <w:pPr>
              <w:pStyle w:val="TableText"/>
              <w:widowControl w:val="0"/>
              <w:ind w:right="288"/>
              <w:jc w:val="right"/>
            </w:pPr>
          </w:p>
        </w:tc>
        <w:tc>
          <w:tcPr>
            <w:tcW w:w="1872" w:type="dxa"/>
            <w:shd w:val="clear" w:color="auto" w:fill="auto"/>
          </w:tcPr>
          <w:p w14:paraId="4476DF38" w14:textId="77777777" w:rsidR="00FE1160" w:rsidRPr="008A74FE" w:rsidRDefault="00FE1160" w:rsidP="00BE2D92">
            <w:pPr>
              <w:pStyle w:val="TableText"/>
              <w:widowControl w:val="0"/>
              <w:ind w:right="288"/>
              <w:jc w:val="right"/>
            </w:pPr>
          </w:p>
        </w:tc>
      </w:tr>
      <w:tr w:rsidR="00FE1160" w:rsidRPr="008A74FE" w14:paraId="7ECB01E9" w14:textId="77777777" w:rsidTr="00BE2D92">
        <w:tc>
          <w:tcPr>
            <w:tcW w:w="5616" w:type="dxa"/>
            <w:shd w:val="clear" w:color="auto" w:fill="auto"/>
          </w:tcPr>
          <w:p w14:paraId="7E7BB3CB" w14:textId="77777777" w:rsidR="00FE1160" w:rsidRPr="008A74FE" w:rsidRDefault="00FE1160" w:rsidP="00BE2D92">
            <w:pPr>
              <w:pStyle w:val="TableText"/>
              <w:widowControl w:val="0"/>
            </w:pPr>
            <w:r w:rsidRPr="00BE2D92">
              <w:rPr>
                <w:rFonts w:cs="Arial"/>
                <w:color w:val="000000"/>
              </w:rPr>
              <w:t>General refusal.</w:t>
            </w:r>
          </w:p>
        </w:tc>
        <w:tc>
          <w:tcPr>
            <w:tcW w:w="1872" w:type="dxa"/>
            <w:shd w:val="clear" w:color="auto" w:fill="auto"/>
          </w:tcPr>
          <w:p w14:paraId="6AAD74BF" w14:textId="77777777" w:rsidR="00FE1160" w:rsidRPr="008A74FE" w:rsidRDefault="00FE1160" w:rsidP="00BE2D92">
            <w:pPr>
              <w:pStyle w:val="TableText"/>
              <w:widowControl w:val="0"/>
              <w:ind w:right="288"/>
              <w:jc w:val="right"/>
            </w:pPr>
          </w:p>
        </w:tc>
        <w:tc>
          <w:tcPr>
            <w:tcW w:w="1872" w:type="dxa"/>
            <w:shd w:val="clear" w:color="auto" w:fill="auto"/>
          </w:tcPr>
          <w:p w14:paraId="1B64A2EC" w14:textId="77777777" w:rsidR="00FE1160" w:rsidRPr="008A74FE" w:rsidRDefault="00FE1160" w:rsidP="00BE2D92">
            <w:pPr>
              <w:pStyle w:val="TableText"/>
              <w:widowControl w:val="0"/>
              <w:ind w:right="288"/>
              <w:jc w:val="right"/>
            </w:pPr>
          </w:p>
        </w:tc>
      </w:tr>
      <w:tr w:rsidR="00FE1160" w:rsidRPr="008A74FE" w14:paraId="2106627B" w14:textId="77777777" w:rsidTr="00BE2D92">
        <w:tc>
          <w:tcPr>
            <w:tcW w:w="5616" w:type="dxa"/>
            <w:shd w:val="clear" w:color="auto" w:fill="auto"/>
          </w:tcPr>
          <w:p w14:paraId="4D15411A" w14:textId="77777777" w:rsidR="00FE1160" w:rsidRPr="008A74FE" w:rsidRDefault="00FE1160" w:rsidP="00BE2D92">
            <w:pPr>
              <w:pStyle w:val="TableText"/>
              <w:widowControl w:val="0"/>
            </w:pPr>
            <w:r w:rsidRPr="00BE2D92">
              <w:rPr>
                <w:rFonts w:cs="Arial"/>
                <w:color w:val="000000"/>
              </w:rPr>
              <w:t>PF refusal</w:t>
            </w:r>
          </w:p>
        </w:tc>
        <w:tc>
          <w:tcPr>
            <w:tcW w:w="1872" w:type="dxa"/>
            <w:shd w:val="clear" w:color="auto" w:fill="auto"/>
          </w:tcPr>
          <w:p w14:paraId="436F6D38" w14:textId="77777777" w:rsidR="00FE1160" w:rsidRPr="008A74FE" w:rsidRDefault="00FE1160" w:rsidP="00BE2D92">
            <w:pPr>
              <w:pStyle w:val="TableText"/>
              <w:widowControl w:val="0"/>
              <w:ind w:right="288"/>
              <w:jc w:val="right"/>
            </w:pPr>
          </w:p>
        </w:tc>
        <w:tc>
          <w:tcPr>
            <w:tcW w:w="1872" w:type="dxa"/>
            <w:shd w:val="clear" w:color="auto" w:fill="auto"/>
          </w:tcPr>
          <w:p w14:paraId="24BDD0F7" w14:textId="77777777" w:rsidR="00FE1160" w:rsidRPr="008A74FE" w:rsidRDefault="00FE1160" w:rsidP="00BE2D92">
            <w:pPr>
              <w:pStyle w:val="TableText"/>
              <w:widowControl w:val="0"/>
              <w:ind w:right="288"/>
              <w:jc w:val="right"/>
            </w:pPr>
          </w:p>
        </w:tc>
      </w:tr>
      <w:tr w:rsidR="00FE1160" w:rsidRPr="008A74FE" w14:paraId="02ECFE49" w14:textId="77777777" w:rsidTr="00BE2D92">
        <w:tc>
          <w:tcPr>
            <w:tcW w:w="5616" w:type="dxa"/>
            <w:shd w:val="clear" w:color="auto" w:fill="auto"/>
          </w:tcPr>
          <w:p w14:paraId="0CFCDEDB" w14:textId="77777777" w:rsidR="00FE1160" w:rsidRPr="008A74FE" w:rsidRDefault="00FE1160" w:rsidP="00BE2D92">
            <w:pPr>
              <w:pStyle w:val="TableText"/>
              <w:widowControl w:val="0"/>
            </w:pPr>
            <w:r w:rsidRPr="00BE2D92">
              <w:rPr>
                <w:rFonts w:cs="Arial"/>
                <w:color w:val="000000"/>
              </w:rPr>
              <w:t>Unlocatable</w:t>
            </w:r>
          </w:p>
        </w:tc>
        <w:tc>
          <w:tcPr>
            <w:tcW w:w="1872" w:type="dxa"/>
            <w:shd w:val="clear" w:color="auto" w:fill="auto"/>
          </w:tcPr>
          <w:p w14:paraId="5BFE26B0" w14:textId="77777777" w:rsidR="00FE1160" w:rsidRPr="008A74FE" w:rsidRDefault="00FE1160" w:rsidP="00BE2D92">
            <w:pPr>
              <w:pStyle w:val="TableText"/>
              <w:widowControl w:val="0"/>
              <w:ind w:right="288"/>
              <w:jc w:val="right"/>
            </w:pPr>
          </w:p>
        </w:tc>
        <w:tc>
          <w:tcPr>
            <w:tcW w:w="1872" w:type="dxa"/>
            <w:shd w:val="clear" w:color="auto" w:fill="auto"/>
          </w:tcPr>
          <w:p w14:paraId="401F1171" w14:textId="77777777" w:rsidR="00FE1160" w:rsidRPr="008A74FE" w:rsidRDefault="00FE1160" w:rsidP="00BE2D92">
            <w:pPr>
              <w:pStyle w:val="TableText"/>
              <w:widowControl w:val="0"/>
              <w:ind w:right="288"/>
              <w:jc w:val="right"/>
            </w:pPr>
          </w:p>
        </w:tc>
      </w:tr>
      <w:tr w:rsidR="00FE1160" w:rsidRPr="008A74FE" w14:paraId="53087B76" w14:textId="77777777" w:rsidTr="00BE2D92">
        <w:tc>
          <w:tcPr>
            <w:tcW w:w="5616" w:type="dxa"/>
            <w:shd w:val="clear" w:color="auto" w:fill="auto"/>
          </w:tcPr>
          <w:p w14:paraId="58E3EF04" w14:textId="77777777" w:rsidR="00FE1160" w:rsidRPr="008A74FE" w:rsidRDefault="00FE1160" w:rsidP="00BE2D92">
            <w:pPr>
              <w:pStyle w:val="TableText"/>
              <w:widowControl w:val="0"/>
            </w:pPr>
            <w:r w:rsidRPr="00BE2D92">
              <w:rPr>
                <w:rFonts w:cs="Arial"/>
                <w:color w:val="000000"/>
              </w:rPr>
              <w:t>Refuses to retrieve records</w:t>
            </w:r>
          </w:p>
        </w:tc>
        <w:tc>
          <w:tcPr>
            <w:tcW w:w="1872" w:type="dxa"/>
            <w:shd w:val="clear" w:color="auto" w:fill="auto"/>
          </w:tcPr>
          <w:p w14:paraId="3B5544A6" w14:textId="77777777" w:rsidR="00FE1160" w:rsidRPr="008A74FE" w:rsidRDefault="00FE1160" w:rsidP="00BE2D92">
            <w:pPr>
              <w:pStyle w:val="TableText"/>
              <w:widowControl w:val="0"/>
              <w:ind w:right="288"/>
              <w:jc w:val="right"/>
            </w:pPr>
          </w:p>
        </w:tc>
        <w:tc>
          <w:tcPr>
            <w:tcW w:w="1872" w:type="dxa"/>
            <w:shd w:val="clear" w:color="auto" w:fill="auto"/>
          </w:tcPr>
          <w:p w14:paraId="513756C4" w14:textId="77777777" w:rsidR="00FE1160" w:rsidRPr="008A74FE" w:rsidRDefault="00FE1160" w:rsidP="00BE2D92">
            <w:pPr>
              <w:pStyle w:val="TableText"/>
              <w:widowControl w:val="0"/>
              <w:ind w:right="288"/>
              <w:jc w:val="right"/>
            </w:pPr>
          </w:p>
        </w:tc>
      </w:tr>
      <w:tr w:rsidR="00FE1160" w:rsidRPr="008A74FE" w14:paraId="48148E73" w14:textId="77777777" w:rsidTr="00BE2D92">
        <w:tc>
          <w:tcPr>
            <w:tcW w:w="5616" w:type="dxa"/>
            <w:shd w:val="clear" w:color="auto" w:fill="auto"/>
          </w:tcPr>
          <w:p w14:paraId="07754B0B" w14:textId="77777777" w:rsidR="00FE1160" w:rsidRPr="008A74FE" w:rsidRDefault="00FE1160" w:rsidP="00BE2D92">
            <w:pPr>
              <w:pStyle w:val="TableText"/>
              <w:widowControl w:val="0"/>
            </w:pPr>
            <w:r w:rsidRPr="00BE2D92">
              <w:rPr>
                <w:rFonts w:cs="Arial"/>
                <w:color w:val="000000"/>
              </w:rPr>
              <w:t>No data, info purged</w:t>
            </w:r>
          </w:p>
        </w:tc>
        <w:tc>
          <w:tcPr>
            <w:tcW w:w="1872" w:type="dxa"/>
            <w:shd w:val="clear" w:color="auto" w:fill="auto"/>
          </w:tcPr>
          <w:p w14:paraId="39CC8B0F" w14:textId="77777777" w:rsidR="00FE1160" w:rsidRPr="008A74FE" w:rsidRDefault="00FE1160" w:rsidP="00BE2D92">
            <w:pPr>
              <w:pStyle w:val="TableText"/>
              <w:widowControl w:val="0"/>
              <w:ind w:right="288"/>
              <w:jc w:val="right"/>
            </w:pPr>
          </w:p>
        </w:tc>
        <w:tc>
          <w:tcPr>
            <w:tcW w:w="1872" w:type="dxa"/>
            <w:shd w:val="clear" w:color="auto" w:fill="auto"/>
          </w:tcPr>
          <w:p w14:paraId="76FFA2C6" w14:textId="77777777" w:rsidR="00FE1160" w:rsidRPr="008A74FE" w:rsidRDefault="00FE1160" w:rsidP="00BE2D92">
            <w:pPr>
              <w:pStyle w:val="TableText"/>
              <w:widowControl w:val="0"/>
              <w:ind w:right="288"/>
              <w:jc w:val="right"/>
            </w:pPr>
          </w:p>
        </w:tc>
      </w:tr>
      <w:tr w:rsidR="00FE1160" w:rsidRPr="008A74FE" w14:paraId="26A380D2" w14:textId="77777777" w:rsidTr="00BE2D92">
        <w:tc>
          <w:tcPr>
            <w:tcW w:w="5616" w:type="dxa"/>
            <w:shd w:val="clear" w:color="auto" w:fill="auto"/>
          </w:tcPr>
          <w:p w14:paraId="57A9A9D1" w14:textId="77777777" w:rsidR="00FE1160" w:rsidRPr="008A74FE" w:rsidRDefault="00FE1160" w:rsidP="00BE2D92">
            <w:pPr>
              <w:pStyle w:val="TableText"/>
              <w:widowControl w:val="0"/>
            </w:pPr>
            <w:r w:rsidRPr="00BE2D92">
              <w:rPr>
                <w:rFonts w:cs="Arial"/>
                <w:color w:val="000000"/>
              </w:rPr>
              <w:t>Any other non-response</w:t>
            </w:r>
          </w:p>
        </w:tc>
        <w:tc>
          <w:tcPr>
            <w:tcW w:w="1872" w:type="dxa"/>
            <w:shd w:val="clear" w:color="auto" w:fill="auto"/>
          </w:tcPr>
          <w:p w14:paraId="22E4A12D" w14:textId="77777777" w:rsidR="00FE1160" w:rsidRPr="008A74FE" w:rsidRDefault="00FE1160" w:rsidP="00BE2D92">
            <w:pPr>
              <w:pStyle w:val="TableText"/>
              <w:widowControl w:val="0"/>
              <w:ind w:right="288"/>
              <w:jc w:val="right"/>
            </w:pPr>
          </w:p>
        </w:tc>
        <w:tc>
          <w:tcPr>
            <w:tcW w:w="1872" w:type="dxa"/>
            <w:shd w:val="clear" w:color="auto" w:fill="auto"/>
          </w:tcPr>
          <w:p w14:paraId="3808048E" w14:textId="77777777" w:rsidR="00FE1160" w:rsidRPr="008A74FE" w:rsidRDefault="00FE1160" w:rsidP="00BE2D92">
            <w:pPr>
              <w:pStyle w:val="TableText"/>
              <w:widowControl w:val="0"/>
              <w:ind w:right="288"/>
              <w:jc w:val="right"/>
            </w:pPr>
          </w:p>
        </w:tc>
      </w:tr>
      <w:tr w:rsidR="00FE1160" w:rsidRPr="008A74FE" w14:paraId="7A58CD36" w14:textId="77777777" w:rsidTr="00BE2D92">
        <w:tc>
          <w:tcPr>
            <w:tcW w:w="5616" w:type="dxa"/>
            <w:shd w:val="clear" w:color="auto" w:fill="auto"/>
          </w:tcPr>
          <w:p w14:paraId="6991CBD5" w14:textId="77777777" w:rsidR="00FE1160" w:rsidRPr="008A74FE" w:rsidRDefault="00FE1160" w:rsidP="00BE2D92">
            <w:pPr>
              <w:pStyle w:val="TableText"/>
              <w:widowControl w:val="0"/>
            </w:pPr>
            <w:r w:rsidRPr="00BE2D92">
              <w:rPr>
                <w:rFonts w:cs="Arial"/>
                <w:color w:val="000000"/>
              </w:rPr>
              <w:t>Pending</w:t>
            </w:r>
          </w:p>
        </w:tc>
        <w:tc>
          <w:tcPr>
            <w:tcW w:w="1872" w:type="dxa"/>
            <w:shd w:val="clear" w:color="auto" w:fill="auto"/>
          </w:tcPr>
          <w:p w14:paraId="19459887" w14:textId="77777777" w:rsidR="00FE1160" w:rsidRPr="008A74FE" w:rsidRDefault="00FE1160" w:rsidP="00BE2D92">
            <w:pPr>
              <w:pStyle w:val="TableText"/>
              <w:widowControl w:val="0"/>
              <w:ind w:right="288"/>
              <w:jc w:val="right"/>
            </w:pPr>
          </w:p>
        </w:tc>
        <w:tc>
          <w:tcPr>
            <w:tcW w:w="1872" w:type="dxa"/>
            <w:shd w:val="clear" w:color="auto" w:fill="auto"/>
          </w:tcPr>
          <w:p w14:paraId="1DF926F8" w14:textId="77777777" w:rsidR="00FE1160" w:rsidRPr="008A74FE" w:rsidRDefault="00FE1160" w:rsidP="00BE2D92">
            <w:pPr>
              <w:pStyle w:val="TableText"/>
              <w:widowControl w:val="0"/>
              <w:ind w:right="288"/>
              <w:jc w:val="right"/>
            </w:pPr>
          </w:p>
        </w:tc>
      </w:tr>
      <w:tr w:rsidR="00FE1160" w:rsidRPr="008A74FE" w14:paraId="29604577" w14:textId="77777777" w:rsidTr="00BE2D92">
        <w:tc>
          <w:tcPr>
            <w:tcW w:w="5616" w:type="dxa"/>
            <w:shd w:val="clear" w:color="auto" w:fill="auto"/>
          </w:tcPr>
          <w:p w14:paraId="3BC577A5" w14:textId="77777777" w:rsidR="00FE1160" w:rsidRPr="008A74FE" w:rsidRDefault="00FE1160" w:rsidP="00BE2D92">
            <w:pPr>
              <w:pStyle w:val="TableText"/>
              <w:widowControl w:val="0"/>
            </w:pPr>
            <w:r w:rsidRPr="00BE2D92">
              <w:rPr>
                <w:rFonts w:cs="Arial"/>
                <w:color w:val="000000"/>
              </w:rPr>
              <w:t>Completion Rate</w:t>
            </w:r>
          </w:p>
        </w:tc>
        <w:tc>
          <w:tcPr>
            <w:tcW w:w="1872" w:type="dxa"/>
            <w:shd w:val="clear" w:color="auto" w:fill="auto"/>
          </w:tcPr>
          <w:p w14:paraId="218BC57E" w14:textId="77777777" w:rsidR="00FE1160" w:rsidRPr="008A74FE" w:rsidRDefault="00FE1160" w:rsidP="00BE2D92">
            <w:pPr>
              <w:pStyle w:val="TableText"/>
              <w:widowControl w:val="0"/>
              <w:ind w:right="288"/>
              <w:jc w:val="right"/>
            </w:pPr>
          </w:p>
        </w:tc>
        <w:tc>
          <w:tcPr>
            <w:tcW w:w="1872" w:type="dxa"/>
            <w:shd w:val="clear" w:color="auto" w:fill="auto"/>
          </w:tcPr>
          <w:p w14:paraId="0A24305E" w14:textId="77777777" w:rsidR="00FE1160" w:rsidRPr="008A74FE" w:rsidRDefault="00FE1160" w:rsidP="00BE2D92">
            <w:pPr>
              <w:pStyle w:val="TableText"/>
              <w:widowControl w:val="0"/>
              <w:ind w:right="288"/>
              <w:jc w:val="right"/>
            </w:pPr>
          </w:p>
        </w:tc>
      </w:tr>
      <w:tr w:rsidR="00FE1160" w:rsidRPr="008A74FE" w14:paraId="3A5A867F" w14:textId="77777777" w:rsidTr="00BE2D92">
        <w:tc>
          <w:tcPr>
            <w:tcW w:w="5616" w:type="dxa"/>
            <w:shd w:val="clear" w:color="auto" w:fill="auto"/>
          </w:tcPr>
          <w:p w14:paraId="6D55AC5C" w14:textId="77777777" w:rsidR="00FE1160" w:rsidRPr="008A74FE" w:rsidRDefault="00FE1160" w:rsidP="00BE2D92">
            <w:pPr>
              <w:pStyle w:val="TableText"/>
              <w:widowControl w:val="0"/>
            </w:pPr>
            <w:r w:rsidRPr="00BE2D92">
              <w:rPr>
                <w:rFonts w:cs="Arial"/>
                <w:color w:val="000000"/>
              </w:rPr>
              <w:t>Response Rate</w:t>
            </w:r>
          </w:p>
        </w:tc>
        <w:tc>
          <w:tcPr>
            <w:tcW w:w="1872" w:type="dxa"/>
            <w:shd w:val="clear" w:color="auto" w:fill="auto"/>
          </w:tcPr>
          <w:p w14:paraId="0AC2463A" w14:textId="77777777" w:rsidR="00FE1160" w:rsidRPr="008A74FE" w:rsidRDefault="00FE1160" w:rsidP="00BE2D92">
            <w:pPr>
              <w:pStyle w:val="TableText"/>
              <w:widowControl w:val="0"/>
              <w:ind w:right="288"/>
              <w:jc w:val="right"/>
            </w:pPr>
          </w:p>
        </w:tc>
        <w:tc>
          <w:tcPr>
            <w:tcW w:w="1872" w:type="dxa"/>
            <w:shd w:val="clear" w:color="auto" w:fill="auto"/>
          </w:tcPr>
          <w:p w14:paraId="5A0CDBD6" w14:textId="77777777" w:rsidR="00FE1160" w:rsidRPr="008A74FE" w:rsidRDefault="00FE1160" w:rsidP="00BE2D92">
            <w:pPr>
              <w:pStyle w:val="TableText"/>
              <w:widowControl w:val="0"/>
              <w:ind w:right="288"/>
              <w:jc w:val="right"/>
            </w:pPr>
          </w:p>
        </w:tc>
      </w:tr>
    </w:tbl>
    <w:p w14:paraId="3DE6833D" w14:textId="77777777" w:rsidR="008A716D" w:rsidRPr="008A74FE" w:rsidRDefault="008A716D" w:rsidP="00FE1160">
      <w:pPr>
        <w:pStyle w:val="exhibitsource"/>
      </w:pPr>
    </w:p>
    <w:p w14:paraId="4F45917A" w14:textId="77777777" w:rsidR="008A716D" w:rsidRPr="009816DB" w:rsidRDefault="008A716D" w:rsidP="0073513C">
      <w:pPr>
        <w:pStyle w:val="Heading1"/>
      </w:pPr>
      <w:bookmarkStart w:id="111" w:name="IDX1"/>
      <w:bookmarkStart w:id="112" w:name="_Toc222104771"/>
      <w:bookmarkStart w:id="113" w:name="_Toc222106738"/>
      <w:bookmarkStart w:id="114" w:name="_Toc222104772"/>
      <w:bookmarkStart w:id="115" w:name="_Toc222106739"/>
      <w:bookmarkStart w:id="116" w:name="_Toc222104773"/>
      <w:bookmarkStart w:id="117" w:name="_Toc222106740"/>
      <w:bookmarkStart w:id="118" w:name="_Toc222104774"/>
      <w:bookmarkStart w:id="119" w:name="_Toc222106741"/>
      <w:bookmarkStart w:id="120" w:name="_Toc222104775"/>
      <w:bookmarkStart w:id="121" w:name="_Toc222106742"/>
      <w:bookmarkStart w:id="122" w:name="_Toc222104776"/>
      <w:bookmarkStart w:id="123" w:name="_Toc222106743"/>
      <w:bookmarkStart w:id="124" w:name="_Toc222104777"/>
      <w:bookmarkStart w:id="125" w:name="_Toc222106744"/>
      <w:bookmarkStart w:id="126" w:name="_Toc222104778"/>
      <w:bookmarkStart w:id="127" w:name="_Toc222106745"/>
      <w:bookmarkStart w:id="128" w:name="_Toc326235197"/>
      <w:bookmarkStart w:id="129" w:name="_Toc188880722"/>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9816DB">
        <w:t>Response Rates</w:t>
      </w:r>
      <w:bookmarkEnd w:id="128"/>
      <w:bookmarkEnd w:id="129"/>
    </w:p>
    <w:p w14:paraId="3AEAD8C0" w14:textId="6CC3FE29" w:rsidR="008A716D" w:rsidRPr="009816DB" w:rsidRDefault="008A716D" w:rsidP="00714079">
      <w:pPr>
        <w:pStyle w:val="BodyText"/>
      </w:pPr>
      <w:r w:rsidRPr="009816DB">
        <w:t>In this chapter</w:t>
      </w:r>
      <w:r w:rsidR="00A26AA3">
        <w:rPr>
          <w:lang w:val="en-US"/>
        </w:rPr>
        <w:t>, a</w:t>
      </w:r>
      <w:r w:rsidRPr="009816DB">
        <w:t xml:space="preserve"> multi-faceted approach to maximizing </w:t>
      </w:r>
      <w:r w:rsidR="00714079">
        <w:rPr>
          <w:lang w:val="en-US"/>
        </w:rPr>
        <w:t xml:space="preserve">completion </w:t>
      </w:r>
      <w:r w:rsidRPr="009816DB">
        <w:t xml:space="preserve">rates for the </w:t>
      </w:r>
      <w:r w:rsidR="003A3FD0">
        <w:t>20</w:t>
      </w:r>
      <w:r w:rsidR="003A3FD0">
        <w:rPr>
          <w:lang w:val="en-US"/>
        </w:rPr>
        <w:t>23</w:t>
      </w:r>
      <w:r w:rsidR="003A3FD0" w:rsidRPr="009816DB">
        <w:t xml:space="preserve"> </w:t>
      </w:r>
      <w:r w:rsidR="00B820E5">
        <w:t>MEPS MPC</w:t>
      </w:r>
      <w:r w:rsidR="005A0065">
        <w:rPr>
          <w:lang w:val="en-US"/>
        </w:rPr>
        <w:t xml:space="preserve"> is described</w:t>
      </w:r>
      <w:r w:rsidRPr="009816DB">
        <w:rPr>
          <w:rFonts w:ascii="TimesNewRomanPSMT" w:hAnsi="TimesNewRomanPSMT" w:cs="TimesNewRomanPSMT"/>
          <w:szCs w:val="24"/>
        </w:rPr>
        <w:t>.</w:t>
      </w:r>
    </w:p>
    <w:p w14:paraId="3F8E695B" w14:textId="77777777" w:rsidR="008A716D" w:rsidRDefault="008A716D" w:rsidP="003C2B28">
      <w:pPr>
        <w:pStyle w:val="Heading2"/>
      </w:pPr>
      <w:bookmarkStart w:id="130" w:name="_Toc341087540"/>
      <w:bookmarkStart w:id="131" w:name="_Toc326235198"/>
      <w:bookmarkStart w:id="132" w:name="_Toc188880723"/>
      <w:r>
        <w:lastRenderedPageBreak/>
        <w:t>Careful Assignment/Reassignment of Work</w:t>
      </w:r>
      <w:bookmarkEnd w:id="130"/>
      <w:bookmarkEnd w:id="132"/>
    </w:p>
    <w:p w14:paraId="556C9D67" w14:textId="32606F81" w:rsidR="008A716D" w:rsidRPr="004E2398" w:rsidRDefault="006E4312" w:rsidP="00FE1160">
      <w:pPr>
        <w:pStyle w:val="BodyText"/>
      </w:pPr>
      <w:r>
        <w:rPr>
          <w:lang w:val="en-US"/>
        </w:rPr>
        <w:t xml:space="preserve">Workload </w:t>
      </w:r>
      <w:r w:rsidR="008A716D" w:rsidRPr="004E2398">
        <w:t xml:space="preserve">assignments are kept </w:t>
      </w:r>
      <w:r w:rsidR="00D5621B">
        <w:rPr>
          <w:lang w:val="en-US"/>
        </w:rPr>
        <w:t>at a moderate level.</w:t>
      </w:r>
      <w:r w:rsidR="00CC1195">
        <w:rPr>
          <w:lang w:val="en-US"/>
        </w:rPr>
        <w:t xml:space="preserve"> </w:t>
      </w:r>
      <w:r w:rsidR="008A716D" w:rsidRPr="004E2398">
        <w:t xml:space="preserve">DCSs are encouraged to thoroughly work their </w:t>
      </w:r>
      <w:r>
        <w:rPr>
          <w:lang w:val="en-US"/>
        </w:rPr>
        <w:t>assignments</w:t>
      </w:r>
      <w:r w:rsidR="00D5621B">
        <w:rPr>
          <w:lang w:val="en-US"/>
        </w:rPr>
        <w:t xml:space="preserve">, while maintaining enough </w:t>
      </w:r>
      <w:r w:rsidR="000F5564">
        <w:rPr>
          <w:lang w:val="en-US"/>
        </w:rPr>
        <w:t>node</w:t>
      </w:r>
      <w:r w:rsidR="00D5621B">
        <w:rPr>
          <w:lang w:val="en-US"/>
        </w:rPr>
        <w:t xml:space="preserve">s to continue meeting goals if some of their </w:t>
      </w:r>
      <w:r w:rsidR="000F5564">
        <w:rPr>
          <w:lang w:val="en-US"/>
        </w:rPr>
        <w:t>node</w:t>
      </w:r>
      <w:r w:rsidR="00D5621B">
        <w:rPr>
          <w:lang w:val="en-US"/>
        </w:rPr>
        <w:t>s get put on hold due to issues</w:t>
      </w:r>
      <w:r w:rsidR="008C093C">
        <w:rPr>
          <w:lang w:val="en-US"/>
        </w:rPr>
        <w:t>,</w:t>
      </w:r>
      <w:r w:rsidR="00D5621B">
        <w:rPr>
          <w:lang w:val="en-US"/>
        </w:rPr>
        <w:t xml:space="preserve"> such as review of overlaps</w:t>
      </w:r>
      <w:r w:rsidR="008A716D" w:rsidRPr="004E2398">
        <w:t xml:space="preserve">. Counts of providers, pairs, and </w:t>
      </w:r>
      <w:r w:rsidR="000F5564">
        <w:rPr>
          <w:lang w:val="en-US"/>
        </w:rPr>
        <w:t>node</w:t>
      </w:r>
      <w:r w:rsidR="008A716D" w:rsidRPr="004E2398">
        <w:t xml:space="preserve">s may vary among the assignments because of the varying amounts of work required at different stages of data collection. </w:t>
      </w:r>
    </w:p>
    <w:p w14:paraId="42DF4DFC" w14:textId="38A27FD4" w:rsidR="008A716D" w:rsidRPr="004E2398" w:rsidRDefault="008A716D" w:rsidP="00FE1160">
      <w:pPr>
        <w:pStyle w:val="BodyText"/>
      </w:pPr>
      <w:r w:rsidRPr="004E2398">
        <w:t xml:space="preserve">Assignments to DCSs are made thoughtfully so challenges presented by the provider type and data collection are matched with the skills and experience of the DCS. Factors considered in </w:t>
      </w:r>
      <w:r>
        <w:t xml:space="preserve">SBD </w:t>
      </w:r>
      <w:r w:rsidRPr="004E2398">
        <w:t>assignments include:</w:t>
      </w:r>
    </w:p>
    <w:p w14:paraId="0BBFA706" w14:textId="1C28AB1C" w:rsidR="008A716D" w:rsidRDefault="008A716D" w:rsidP="00FE1160">
      <w:pPr>
        <w:pStyle w:val="bullets"/>
      </w:pPr>
      <w:r>
        <w:t xml:space="preserve">size of the </w:t>
      </w:r>
      <w:r w:rsidR="006E4312">
        <w:t xml:space="preserve">contact </w:t>
      </w:r>
      <w:proofErr w:type="gramStart"/>
      <w:r>
        <w:t>group;</w:t>
      </w:r>
      <w:proofErr w:type="gramEnd"/>
    </w:p>
    <w:p w14:paraId="527748ED" w14:textId="77777777" w:rsidR="008A716D" w:rsidRPr="004E2398" w:rsidRDefault="008A716D" w:rsidP="00FE1160">
      <w:pPr>
        <w:pStyle w:val="bullets"/>
      </w:pPr>
      <w:r w:rsidRPr="004E2398">
        <w:t xml:space="preserve">priority of pairs associated with the provider contact </w:t>
      </w:r>
      <w:proofErr w:type="gramStart"/>
      <w:r w:rsidRPr="004E2398">
        <w:t>group;</w:t>
      </w:r>
      <w:proofErr w:type="gramEnd"/>
    </w:p>
    <w:p w14:paraId="45358B55" w14:textId="77777777" w:rsidR="008A716D" w:rsidRPr="004E2398" w:rsidRDefault="00714079" w:rsidP="00FE1160">
      <w:pPr>
        <w:pStyle w:val="bullets"/>
      </w:pPr>
      <w:r>
        <w:t xml:space="preserve">prior </w:t>
      </w:r>
      <w:r w:rsidR="008A716D" w:rsidRPr="004E2398">
        <w:t xml:space="preserve">provider resistance to participating in the </w:t>
      </w:r>
      <w:proofErr w:type="gramStart"/>
      <w:r w:rsidR="008A716D" w:rsidRPr="004E2398">
        <w:t>MPC;</w:t>
      </w:r>
      <w:proofErr w:type="gramEnd"/>
    </w:p>
    <w:p w14:paraId="322F108D" w14:textId="77777777" w:rsidR="008A716D" w:rsidRPr="004E2398" w:rsidRDefault="008A716D" w:rsidP="00FE1160">
      <w:pPr>
        <w:pStyle w:val="bullets"/>
      </w:pPr>
      <w:r w:rsidRPr="004E2398">
        <w:t>stage of data collection (e.g., initial contacts, prompting for records, records abstraction/data collection, data retrieval</w:t>
      </w:r>
      <w:proofErr w:type="gramStart"/>
      <w:r w:rsidRPr="004E2398">
        <w:t>);</w:t>
      </w:r>
      <w:proofErr w:type="gramEnd"/>
      <w:r w:rsidRPr="004E2398">
        <w:t xml:space="preserve"> </w:t>
      </w:r>
    </w:p>
    <w:p w14:paraId="529AAE70" w14:textId="5FF9853C" w:rsidR="008A716D" w:rsidRPr="004E2398" w:rsidRDefault="008A716D" w:rsidP="00FE1160">
      <w:pPr>
        <w:pStyle w:val="bullets"/>
      </w:pPr>
      <w:r w:rsidRPr="004E2398">
        <w:t>data collection mode (records abstraction or telephone</w:t>
      </w:r>
      <w:proofErr w:type="gramStart"/>
      <w:r w:rsidR="00E70BA6">
        <w:t>)</w:t>
      </w:r>
      <w:r w:rsidRPr="004E2398">
        <w:t>;</w:t>
      </w:r>
      <w:proofErr w:type="gramEnd"/>
    </w:p>
    <w:p w14:paraId="1322E7E4" w14:textId="77777777" w:rsidR="008A716D" w:rsidRPr="004E2398" w:rsidRDefault="008A716D" w:rsidP="00FE1160">
      <w:pPr>
        <w:pStyle w:val="bullets"/>
      </w:pPr>
      <w:r w:rsidRPr="004E2398">
        <w:t>experience, skills, and training of the DCS</w:t>
      </w:r>
    </w:p>
    <w:p w14:paraId="3D26CA34" w14:textId="2F099AC6" w:rsidR="008A716D" w:rsidRPr="004E2398" w:rsidRDefault="008A716D" w:rsidP="00FE1160">
      <w:pPr>
        <w:pStyle w:val="BodyText"/>
      </w:pPr>
      <w:r w:rsidRPr="004E2398">
        <w:t xml:space="preserve">While, in many cases, all of the </w:t>
      </w:r>
      <w:r w:rsidR="000F5564">
        <w:rPr>
          <w:lang w:val="en-US"/>
        </w:rPr>
        <w:t>node</w:t>
      </w:r>
      <w:r w:rsidRPr="004E2398">
        <w:t xml:space="preserve">s associated with a contact group may be completed by a single DCS, transferring </w:t>
      </w:r>
      <w:r w:rsidR="006E4312">
        <w:rPr>
          <w:lang w:val="en-US"/>
        </w:rPr>
        <w:t>work</w:t>
      </w:r>
      <w:r w:rsidRPr="004E2398">
        <w:t xml:space="preserve"> to a different DCS with different skills and experience </w:t>
      </w:r>
      <w:r>
        <w:t xml:space="preserve">or more availability </w:t>
      </w:r>
      <w:r w:rsidRPr="004E2398">
        <w:t xml:space="preserve">may </w:t>
      </w:r>
      <w:r w:rsidR="00714079">
        <w:rPr>
          <w:lang w:val="en-US"/>
        </w:rPr>
        <w:t xml:space="preserve">be </w:t>
      </w:r>
      <w:r w:rsidRPr="004E2398">
        <w:t xml:space="preserve">the most effective way to address a particular challenge that has been encountered. </w:t>
      </w:r>
      <w:r w:rsidR="006E4312">
        <w:rPr>
          <w:lang w:val="en-US"/>
        </w:rPr>
        <w:t>T</w:t>
      </w:r>
      <w:proofErr w:type="spellStart"/>
      <w:r w:rsidRPr="004E2398">
        <w:t>ransfer</w:t>
      </w:r>
      <w:r w:rsidR="006E4312">
        <w:rPr>
          <w:lang w:val="en-US"/>
        </w:rPr>
        <w:t>s</w:t>
      </w:r>
      <w:proofErr w:type="spellEnd"/>
      <w:r w:rsidRPr="004E2398">
        <w:t xml:space="preserve"> involve updating the case assignment system </w:t>
      </w:r>
      <w:proofErr w:type="gramStart"/>
      <w:r w:rsidRPr="004E2398">
        <w:t>in order to</w:t>
      </w:r>
      <w:proofErr w:type="gramEnd"/>
      <w:r w:rsidRPr="004E2398">
        <w:t xml:space="preserve"> keep track of </w:t>
      </w:r>
      <w:r w:rsidR="000F5564">
        <w:rPr>
          <w:lang w:val="en-US"/>
        </w:rPr>
        <w:t>node</w:t>
      </w:r>
      <w:r w:rsidRPr="004E2398">
        <w:t xml:space="preserve">s. Again, this is to assure that the current status and location of provider contact groups, pairs, </w:t>
      </w:r>
      <w:r w:rsidR="006E4312">
        <w:rPr>
          <w:lang w:val="en-US"/>
        </w:rPr>
        <w:t xml:space="preserve">and </w:t>
      </w:r>
      <w:r w:rsidR="000F5564">
        <w:rPr>
          <w:lang w:val="en-US"/>
        </w:rPr>
        <w:t>node</w:t>
      </w:r>
      <w:r w:rsidRPr="004E2398">
        <w:t xml:space="preserve">s is known, encouraging </w:t>
      </w:r>
      <w:r w:rsidR="006E4312">
        <w:rPr>
          <w:lang w:val="en-US"/>
        </w:rPr>
        <w:t>assigned work</w:t>
      </w:r>
      <w:r w:rsidRPr="004E2398">
        <w:t xml:space="preserve"> to be </w:t>
      </w:r>
      <w:proofErr w:type="spellStart"/>
      <w:r w:rsidR="006E4312">
        <w:rPr>
          <w:lang w:val="en-US"/>
        </w:rPr>
        <w:t>handl</w:t>
      </w:r>
      <w:proofErr w:type="spellEnd"/>
      <w:r w:rsidRPr="004E2398">
        <w:t>ed effectively.</w:t>
      </w:r>
    </w:p>
    <w:p w14:paraId="14280575" w14:textId="77777777" w:rsidR="008A716D" w:rsidRDefault="008A716D" w:rsidP="003C2B28">
      <w:pPr>
        <w:pStyle w:val="Heading2"/>
      </w:pPr>
      <w:bookmarkStart w:id="133" w:name="_Toc341087541"/>
      <w:bookmarkStart w:id="134" w:name="_Toc188880724"/>
      <w:r>
        <w:t>Setting Weekly Production and Intermediate Goals</w:t>
      </w:r>
      <w:bookmarkEnd w:id="133"/>
      <w:bookmarkEnd w:id="134"/>
    </w:p>
    <w:p w14:paraId="5E6627CD" w14:textId="4D0ECB4C" w:rsidR="008A716D" w:rsidRDefault="005A0065" w:rsidP="00714079">
      <w:pPr>
        <w:pStyle w:val="BodyText"/>
      </w:pPr>
      <w:r>
        <w:rPr>
          <w:lang w:val="en-US"/>
        </w:rPr>
        <w:t>The production team</w:t>
      </w:r>
      <w:r w:rsidR="008A716D">
        <w:t xml:space="preserve"> ha</w:t>
      </w:r>
      <w:r>
        <w:rPr>
          <w:lang w:val="en-US"/>
        </w:rPr>
        <w:t>s</w:t>
      </w:r>
      <w:r w:rsidR="008A716D">
        <w:t xml:space="preserve"> set up </w:t>
      </w:r>
      <w:r>
        <w:rPr>
          <w:lang w:val="en-US"/>
        </w:rPr>
        <w:t>the</w:t>
      </w:r>
      <w:r>
        <w:t xml:space="preserve"> </w:t>
      </w:r>
      <w:r w:rsidR="008A716D">
        <w:t xml:space="preserve">staffing and production projections to not only set goals and monitor weekly production, but to set goals and track interim measures of </w:t>
      </w:r>
      <w:r w:rsidR="000E6C0C">
        <w:t>workflow</w:t>
      </w:r>
      <w:r w:rsidR="008A716D">
        <w:t xml:space="preserve"> such as the number of </w:t>
      </w:r>
      <w:r w:rsidR="00D14866">
        <w:rPr>
          <w:lang w:val="en-US"/>
        </w:rPr>
        <w:t>AFs</w:t>
      </w:r>
      <w:r w:rsidR="008A716D">
        <w:t xml:space="preserve"> sent, </w:t>
      </w:r>
      <w:r w:rsidR="00D14866">
        <w:rPr>
          <w:lang w:val="en-US"/>
        </w:rPr>
        <w:t>AFs</w:t>
      </w:r>
      <w:r w:rsidR="008A716D">
        <w:t xml:space="preserve"> confirmed</w:t>
      </w:r>
      <w:r w:rsidR="00D5621B">
        <w:rPr>
          <w:lang w:val="en-US"/>
        </w:rPr>
        <w:t>,</w:t>
      </w:r>
      <w:r w:rsidR="008A716D">
        <w:t xml:space="preserve"> and records received during each week of data collection. These measures assist </w:t>
      </w:r>
      <w:r w:rsidR="00D5621B">
        <w:rPr>
          <w:lang w:val="en-US"/>
        </w:rPr>
        <w:t>with</w:t>
      </w:r>
      <w:r w:rsidR="008A716D">
        <w:t xml:space="preserve"> </w:t>
      </w:r>
      <w:r w:rsidR="006E4312">
        <w:rPr>
          <w:lang w:val="en-US"/>
        </w:rPr>
        <w:t>workload</w:t>
      </w:r>
      <w:r w:rsidR="008A716D">
        <w:t xml:space="preserve"> and staffing management throughout the field period. They will be especially </w:t>
      </w:r>
      <w:r w:rsidR="00714079">
        <w:rPr>
          <w:lang w:val="en-US"/>
        </w:rPr>
        <w:t>useful</w:t>
      </w:r>
      <w:r w:rsidR="008A716D">
        <w:t xml:space="preserve"> at the beginning of the </w:t>
      </w:r>
      <w:r w:rsidR="0055248D">
        <w:rPr>
          <w:lang w:val="en-US"/>
        </w:rPr>
        <w:t xml:space="preserve">SBD </w:t>
      </w:r>
      <w:r w:rsidR="008A716D">
        <w:t xml:space="preserve">field period when it is critical to start strong in order to gain cooperation early with large and difficult providers. </w:t>
      </w:r>
    </w:p>
    <w:p w14:paraId="1011DC8F" w14:textId="77777777" w:rsidR="008A716D" w:rsidRDefault="008A716D" w:rsidP="003C2B28">
      <w:pPr>
        <w:pStyle w:val="Heading2"/>
      </w:pPr>
      <w:bookmarkStart w:id="135" w:name="_Toc188880725"/>
      <w:r w:rsidRPr="000660AB">
        <w:t>Goal-Focused Messaging</w:t>
      </w:r>
      <w:bookmarkEnd w:id="135"/>
    </w:p>
    <w:p w14:paraId="184721CF" w14:textId="6B968F0B" w:rsidR="008A716D" w:rsidRPr="00194D8F" w:rsidRDefault="008A716D" w:rsidP="00FE1160">
      <w:pPr>
        <w:pStyle w:val="BodyText"/>
      </w:pPr>
      <w:r w:rsidRPr="00194D8F">
        <w:t>Messaging to DCS</w:t>
      </w:r>
      <w:r w:rsidR="0055248D">
        <w:rPr>
          <w:lang w:val="en-US"/>
        </w:rPr>
        <w:t>s</w:t>
      </w:r>
      <w:r w:rsidRPr="00194D8F">
        <w:t xml:space="preserve"> and </w:t>
      </w:r>
      <w:r w:rsidR="000E6C0C">
        <w:rPr>
          <w:lang w:val="en-US"/>
        </w:rPr>
        <w:t>ABSs</w:t>
      </w:r>
      <w:r w:rsidR="000E6C0C" w:rsidRPr="00194D8F">
        <w:t xml:space="preserve"> </w:t>
      </w:r>
      <w:r w:rsidRPr="00194D8F">
        <w:t xml:space="preserve">will continue to be upbeat and motivational, while conveying the urgency of staying on or ahead of production goals. </w:t>
      </w:r>
      <w:r w:rsidR="00D5621B">
        <w:rPr>
          <w:lang w:val="en-US"/>
        </w:rPr>
        <w:t>Weekly</w:t>
      </w:r>
      <w:r w:rsidR="00D5621B" w:rsidRPr="00194D8F">
        <w:t xml:space="preserve"> </w:t>
      </w:r>
      <w:r w:rsidR="002F6BE9">
        <w:rPr>
          <w:lang w:val="en-US"/>
        </w:rPr>
        <w:t xml:space="preserve">virtual or on-site </w:t>
      </w:r>
      <w:r w:rsidRPr="00194D8F">
        <w:t xml:space="preserve">floor meetings will be held to </w:t>
      </w:r>
      <w:r w:rsidR="00D5621B">
        <w:rPr>
          <w:lang w:val="en-US"/>
        </w:rPr>
        <w:t>share updates with</w:t>
      </w:r>
      <w:r w:rsidR="00D5621B" w:rsidRPr="00194D8F">
        <w:t xml:space="preserve"> </w:t>
      </w:r>
      <w:r w:rsidRPr="00194D8F">
        <w:t>the group on progress made</w:t>
      </w:r>
      <w:r w:rsidR="00D5621B">
        <w:rPr>
          <w:lang w:val="en-US"/>
        </w:rPr>
        <w:t>, recognize top performers,</w:t>
      </w:r>
      <w:r w:rsidRPr="00194D8F">
        <w:t xml:space="preserve"> and communicate expectations for the coming days or weeks.</w:t>
      </w:r>
      <w:r w:rsidR="0073513C">
        <w:t xml:space="preserve"> </w:t>
      </w:r>
      <w:r w:rsidRPr="00194D8F">
        <w:t xml:space="preserve">Progress towards cumulative and weekly goals will be posted on colorful boards </w:t>
      </w:r>
      <w:r>
        <w:t xml:space="preserve">around </w:t>
      </w:r>
      <w:r w:rsidRPr="00194D8F">
        <w:t>the production floor</w:t>
      </w:r>
      <w:r w:rsidR="002F6BE9">
        <w:rPr>
          <w:lang w:val="en-US"/>
        </w:rPr>
        <w:t>, or shared with staff electronically</w:t>
      </w:r>
      <w:r w:rsidRPr="00194D8F">
        <w:t>.</w:t>
      </w:r>
      <w:r w:rsidR="0073513C">
        <w:t xml:space="preserve"> </w:t>
      </w:r>
      <w:r>
        <w:t xml:space="preserve">When project goals are not met, </w:t>
      </w:r>
      <w:r w:rsidR="0055248D">
        <w:rPr>
          <w:lang w:val="en-US"/>
        </w:rPr>
        <w:t>Quality Circle meetings</w:t>
      </w:r>
      <w:r>
        <w:t xml:space="preserve"> </w:t>
      </w:r>
      <w:r w:rsidR="005A0065">
        <w:rPr>
          <w:lang w:val="en-US"/>
        </w:rPr>
        <w:t xml:space="preserve">will be held </w:t>
      </w:r>
      <w:r>
        <w:t xml:space="preserve">with staff to convey that </w:t>
      </w:r>
      <w:r w:rsidR="005A0065">
        <w:rPr>
          <w:lang w:val="en-US"/>
        </w:rPr>
        <w:t>the</w:t>
      </w:r>
      <w:r w:rsidR="005A0065">
        <w:t xml:space="preserve"> </w:t>
      </w:r>
      <w:r>
        <w:t xml:space="preserve">goal is to help them be successful, and ask for their insight in how </w:t>
      </w:r>
      <w:r w:rsidR="005A0065">
        <w:rPr>
          <w:lang w:val="en-US"/>
        </w:rPr>
        <w:t>the team</w:t>
      </w:r>
      <w:r>
        <w:t xml:space="preserve"> can help remove barriers or streamline processes; this communication approach conveys the urgency of the goal in a way that also helps the DCS feel heard and supported.</w:t>
      </w:r>
    </w:p>
    <w:p w14:paraId="7BE8BD17" w14:textId="77777777" w:rsidR="008A716D" w:rsidRPr="00A749B2" w:rsidRDefault="008A716D" w:rsidP="003C2B28">
      <w:pPr>
        <w:pStyle w:val="Heading2"/>
      </w:pPr>
      <w:bookmarkStart w:id="136" w:name="_Toc188880726"/>
      <w:r>
        <w:lastRenderedPageBreak/>
        <w:t>Case-</w:t>
      </w:r>
      <w:r w:rsidR="00FE1160">
        <w:t>Specific Strategy Development</w:t>
      </w:r>
      <w:bookmarkEnd w:id="136"/>
    </w:p>
    <w:p w14:paraId="4E698593" w14:textId="35FA657A" w:rsidR="00F51E69" w:rsidRDefault="008A716D" w:rsidP="00714079">
      <w:pPr>
        <w:pStyle w:val="BodyText"/>
        <w:rPr>
          <w:lang w:val="en-US"/>
        </w:rPr>
      </w:pPr>
      <w:r w:rsidRPr="00821F96">
        <w:t xml:space="preserve">Supervisors frequently review assignments with each DCS to assure that each assignment is receiving appropriate attention. </w:t>
      </w:r>
      <w:r w:rsidR="00F15BC3">
        <w:rPr>
          <w:lang w:val="en-US"/>
        </w:rPr>
        <w:t>Node</w:t>
      </w:r>
      <w:r w:rsidRPr="00821F96">
        <w:t>s that are not brought to an expected disposition (</w:t>
      </w:r>
      <w:r w:rsidR="000E6C0C">
        <w:rPr>
          <w:lang w:val="en-US"/>
        </w:rPr>
        <w:t>e.g.</w:t>
      </w:r>
      <w:r w:rsidRPr="00821F96">
        <w:t xml:space="preserve">, “ready for abstraction” or “data collection completed by telephone”) will be discussed to identify challenges and solutions. </w:t>
      </w:r>
      <w:r w:rsidR="00A26AA3">
        <w:rPr>
          <w:lang w:val="en-US"/>
        </w:rPr>
        <w:t>S</w:t>
      </w:r>
      <w:proofErr w:type="spellStart"/>
      <w:r w:rsidRPr="00821F96">
        <w:t>upervisors</w:t>
      </w:r>
      <w:proofErr w:type="spellEnd"/>
      <w:r w:rsidRPr="00821F96">
        <w:t xml:space="preserve"> </w:t>
      </w:r>
      <w:r w:rsidR="00A26AA3">
        <w:rPr>
          <w:lang w:val="en-US"/>
        </w:rPr>
        <w:t xml:space="preserve">will receive continuous mentoring </w:t>
      </w:r>
      <w:r w:rsidRPr="00821F96">
        <w:t xml:space="preserve">on effective case review, including not only techniques for efficiently identifying </w:t>
      </w:r>
      <w:r w:rsidR="00F15BC3">
        <w:rPr>
          <w:lang w:val="en-US"/>
        </w:rPr>
        <w:t>nod</w:t>
      </w:r>
      <w:r w:rsidRPr="00821F96">
        <w:t xml:space="preserve">es in need of in-depth review, but also ways of thinking about whether the </w:t>
      </w:r>
      <w:r w:rsidR="00F15BC3">
        <w:rPr>
          <w:lang w:val="en-US"/>
        </w:rPr>
        <w:t>nod</w:t>
      </w:r>
      <w:r w:rsidRPr="00821F96">
        <w:t>e is being appropriately handled or if the DCS is chasing the wrong lead or otherwise spinning their wheels.</w:t>
      </w:r>
      <w:r>
        <w:t xml:space="preserve"> (</w:t>
      </w:r>
      <w:r w:rsidR="00D20F25">
        <w:rPr>
          <w:lang w:val="en-US"/>
        </w:rPr>
        <w:t>F</w:t>
      </w:r>
      <w:proofErr w:type="spellStart"/>
      <w:r>
        <w:t>ilter</w:t>
      </w:r>
      <w:r w:rsidR="00D20F25">
        <w:rPr>
          <w:lang w:val="en-US"/>
        </w:rPr>
        <w:t>ing</w:t>
      </w:r>
      <w:proofErr w:type="spellEnd"/>
      <w:r>
        <w:t xml:space="preserve"> </w:t>
      </w:r>
      <w:r w:rsidR="00714079">
        <w:rPr>
          <w:lang w:val="en-US"/>
        </w:rPr>
        <w:t xml:space="preserve">the </w:t>
      </w:r>
      <w:r>
        <w:t xml:space="preserve">case-aging report by supervisor </w:t>
      </w:r>
      <w:proofErr w:type="spellStart"/>
      <w:r w:rsidR="00D20F25">
        <w:rPr>
          <w:lang w:val="en-US"/>
        </w:rPr>
        <w:t>i</w:t>
      </w:r>
      <w:proofErr w:type="spellEnd"/>
      <w:r>
        <w:t>s one way of identifying supervisors most in need of mentoring.)</w:t>
      </w:r>
      <w:r w:rsidR="00E70BA6">
        <w:rPr>
          <w:lang w:val="en-US"/>
        </w:rPr>
        <w:t xml:space="preserve"> </w:t>
      </w:r>
      <w:r w:rsidR="002F6BE9">
        <w:rPr>
          <w:lang w:val="en-US"/>
        </w:rPr>
        <w:t xml:space="preserve">An ongoing </w:t>
      </w:r>
      <w:r w:rsidR="00F51E69">
        <w:rPr>
          <w:lang w:val="en-US"/>
        </w:rPr>
        <w:t xml:space="preserve">focus will be given during the </w:t>
      </w:r>
      <w:r w:rsidR="003A3FD0">
        <w:rPr>
          <w:lang w:val="en-US"/>
        </w:rPr>
        <w:t xml:space="preserve">2023 </w:t>
      </w:r>
      <w:r w:rsidR="00F51E69">
        <w:rPr>
          <w:lang w:val="en-US"/>
        </w:rPr>
        <w:t>cycle to nodes disposition</w:t>
      </w:r>
      <w:r w:rsidR="002F6BE9">
        <w:rPr>
          <w:lang w:val="en-US"/>
        </w:rPr>
        <w:t>ed as</w:t>
      </w:r>
      <w:r w:rsidR="00F51E69">
        <w:rPr>
          <w:lang w:val="en-US"/>
        </w:rPr>
        <w:t xml:space="preserve"> a locating problem, a refusal, or a node that could potentially be finalized as an empty node. </w:t>
      </w:r>
      <w:r w:rsidR="002F6BE9">
        <w:rPr>
          <w:lang w:val="en-US"/>
        </w:rPr>
        <w:t xml:space="preserve">Continued </w:t>
      </w:r>
      <w:r w:rsidR="00F51E69">
        <w:rPr>
          <w:lang w:val="en-US"/>
        </w:rPr>
        <w:t>scrutiny of nodes in these buckets could help identify the need for a change in strategy when certain situations are encountered.</w:t>
      </w:r>
    </w:p>
    <w:p w14:paraId="2AAB12B8" w14:textId="2E8A12B4" w:rsidR="008A716D" w:rsidRPr="00E70BA6" w:rsidRDefault="006E4312" w:rsidP="00714079">
      <w:pPr>
        <w:pStyle w:val="BodyText"/>
        <w:rPr>
          <w:lang w:val="en-US"/>
        </w:rPr>
      </w:pPr>
      <w:r>
        <w:rPr>
          <w:lang w:val="en-US"/>
        </w:rPr>
        <w:t>A</w:t>
      </w:r>
      <w:r w:rsidR="00E70BA6">
        <w:rPr>
          <w:lang w:val="en-US"/>
        </w:rPr>
        <w:t xml:space="preserve">pplications </w:t>
      </w:r>
      <w:r>
        <w:rPr>
          <w:lang w:val="en-US"/>
        </w:rPr>
        <w:t>introduced in</w:t>
      </w:r>
      <w:r w:rsidR="00E70BA6">
        <w:rPr>
          <w:lang w:val="en-US"/>
        </w:rPr>
        <w:t xml:space="preserve"> </w:t>
      </w:r>
      <w:r w:rsidR="00DC63FA">
        <w:rPr>
          <w:lang w:val="en-US"/>
        </w:rPr>
        <w:t>previous</w:t>
      </w:r>
      <w:r w:rsidR="00E70BA6">
        <w:rPr>
          <w:lang w:val="en-US"/>
        </w:rPr>
        <w:t xml:space="preserve"> cycle</w:t>
      </w:r>
      <w:r w:rsidR="00DC63FA">
        <w:rPr>
          <w:lang w:val="en-US"/>
        </w:rPr>
        <w:t>s</w:t>
      </w:r>
      <w:r w:rsidR="00E70BA6">
        <w:rPr>
          <w:lang w:val="en-US"/>
        </w:rPr>
        <w:t xml:space="preserve"> will help supervisors more effectively identify contact groups and </w:t>
      </w:r>
      <w:r w:rsidR="00B80317">
        <w:rPr>
          <w:lang w:val="en-US"/>
        </w:rPr>
        <w:t>node</w:t>
      </w:r>
      <w:r w:rsidR="00E70BA6">
        <w:rPr>
          <w:lang w:val="en-US"/>
        </w:rPr>
        <w:t xml:space="preserve">s that need review and will provide supervisors with reports to help them more efficiently identify DCSs who need coaching or mentoring. </w:t>
      </w:r>
    </w:p>
    <w:p w14:paraId="7FF9DDF4" w14:textId="1124FC8F" w:rsidR="008A716D" w:rsidRDefault="008A716D" w:rsidP="00714079">
      <w:pPr>
        <w:pStyle w:val="BodyText"/>
      </w:pPr>
      <w:r>
        <w:t>Another part of developing effective case-level strategy includes encouraging DCS</w:t>
      </w:r>
      <w:r w:rsidR="00714079">
        <w:rPr>
          <w:lang w:val="en-US"/>
        </w:rPr>
        <w:t>s</w:t>
      </w:r>
      <w:r>
        <w:t xml:space="preserve"> to modify their general behaviors throughout the field period.</w:t>
      </w:r>
      <w:r w:rsidR="0073513C">
        <w:t xml:space="preserve"> </w:t>
      </w:r>
      <w:r>
        <w:t xml:space="preserve">For example, early in the field period, it is useful for staff to quickly churn through their caseload to gain cooperation from a large number of </w:t>
      </w:r>
      <w:r w:rsidR="00714079">
        <w:rPr>
          <w:lang w:val="en-US"/>
        </w:rPr>
        <w:t xml:space="preserve">providers </w:t>
      </w:r>
      <w:r>
        <w:t>per day.</w:t>
      </w:r>
      <w:r w:rsidR="0073513C">
        <w:t xml:space="preserve"> </w:t>
      </w:r>
      <w:r>
        <w:t>Later in the field period</w:t>
      </w:r>
      <w:r w:rsidR="00497C37">
        <w:rPr>
          <w:lang w:val="en-US"/>
        </w:rPr>
        <w:t>,</w:t>
      </w:r>
      <w:r>
        <w:t xml:space="preserve"> it will become more important for DCS</w:t>
      </w:r>
      <w:r w:rsidR="00714079">
        <w:rPr>
          <w:lang w:val="en-US"/>
        </w:rPr>
        <w:t>s</w:t>
      </w:r>
      <w:r>
        <w:t xml:space="preserve"> to invest the necessary time to break through to more difficult providers, which can include simple behavioral changes like waiting for longer periods of time “on hold” for a POC to answer.</w:t>
      </w:r>
    </w:p>
    <w:p w14:paraId="2FC4D3ED" w14:textId="77777777" w:rsidR="008A716D" w:rsidRPr="00EC2364" w:rsidRDefault="008A716D" w:rsidP="003C2B28">
      <w:pPr>
        <w:pStyle w:val="Heading2"/>
      </w:pPr>
      <w:bookmarkStart w:id="137" w:name="_Toc188880727"/>
      <w:r w:rsidRPr="00EC2364">
        <w:t>Focus on Large Providers</w:t>
      </w:r>
      <w:bookmarkEnd w:id="137"/>
    </w:p>
    <w:p w14:paraId="51DF3F94" w14:textId="026DAD54" w:rsidR="005E0DB9" w:rsidRDefault="005E0DB9" w:rsidP="005E0DB9">
      <w:pPr>
        <w:pStyle w:val="BodyText"/>
        <w:rPr>
          <w:lang w:val="en-US"/>
        </w:rPr>
      </w:pPr>
      <w:r w:rsidRPr="00F6253C">
        <w:rPr>
          <w:lang w:val="en-US"/>
        </w:rPr>
        <w:t xml:space="preserve">The MEPS </w:t>
      </w:r>
      <w:r w:rsidR="00A26AA3">
        <w:rPr>
          <w:lang w:val="en-US"/>
        </w:rPr>
        <w:t xml:space="preserve">MPC </w:t>
      </w:r>
      <w:r w:rsidRPr="00F6253C">
        <w:rPr>
          <w:lang w:val="en-US"/>
        </w:rPr>
        <w:t>sample includes several hundred large</w:t>
      </w:r>
      <w:r w:rsidR="0045370A">
        <w:rPr>
          <w:lang w:val="en-US"/>
        </w:rPr>
        <w:t xml:space="preserve"> SBD</w:t>
      </w:r>
      <w:r w:rsidRPr="00F6253C">
        <w:rPr>
          <w:lang w:val="en-US"/>
        </w:rPr>
        <w:t xml:space="preserve"> providers </w:t>
      </w:r>
      <w:r>
        <w:rPr>
          <w:lang w:val="en-US"/>
        </w:rPr>
        <w:t>and</w:t>
      </w:r>
      <w:r w:rsidRPr="00F6253C">
        <w:rPr>
          <w:lang w:val="en-US"/>
        </w:rPr>
        <w:t xml:space="preserve"> SBD billing services that account for a significant portion of the </w:t>
      </w:r>
      <w:r w:rsidR="00B80317">
        <w:rPr>
          <w:lang w:val="en-US"/>
        </w:rPr>
        <w:t>node</w:t>
      </w:r>
      <w:r w:rsidRPr="00F6253C">
        <w:rPr>
          <w:lang w:val="en-US"/>
        </w:rPr>
        <w:t xml:space="preserve">s in the overall sample. Success with </w:t>
      </w:r>
      <w:r w:rsidR="005D6681">
        <w:rPr>
          <w:lang w:val="en-US"/>
        </w:rPr>
        <w:t>L</w:t>
      </w:r>
      <w:r w:rsidRPr="00F6253C">
        <w:rPr>
          <w:lang w:val="en-US"/>
        </w:rPr>
        <w:t xml:space="preserve">arge </w:t>
      </w:r>
      <w:r w:rsidR="005D6681">
        <w:rPr>
          <w:lang w:val="en-US"/>
        </w:rPr>
        <w:t>P</w:t>
      </w:r>
      <w:r w:rsidRPr="00F6253C">
        <w:rPr>
          <w:lang w:val="en-US"/>
        </w:rPr>
        <w:t xml:space="preserve">roviders is an essential component of meeting overall response rate goals. </w:t>
      </w:r>
      <w:r>
        <w:rPr>
          <w:lang w:val="en-US"/>
        </w:rPr>
        <w:t xml:space="preserve">This section describes plans for handling </w:t>
      </w:r>
      <w:r w:rsidR="009E70A3">
        <w:rPr>
          <w:lang w:val="en-US"/>
        </w:rPr>
        <w:t>the</w:t>
      </w:r>
      <w:r>
        <w:rPr>
          <w:lang w:val="en-US"/>
        </w:rPr>
        <w:t xml:space="preserve"> largest and most complex </w:t>
      </w:r>
      <w:r w:rsidR="005D6681">
        <w:rPr>
          <w:lang w:val="en-US"/>
        </w:rPr>
        <w:t>L</w:t>
      </w:r>
      <w:r>
        <w:rPr>
          <w:lang w:val="en-US"/>
        </w:rPr>
        <w:t xml:space="preserve">arge </w:t>
      </w:r>
      <w:r w:rsidR="005D6681">
        <w:rPr>
          <w:lang w:val="en-US"/>
        </w:rPr>
        <w:t>P</w:t>
      </w:r>
      <w:r>
        <w:rPr>
          <w:lang w:val="en-US"/>
        </w:rPr>
        <w:t>roviders (</w:t>
      </w:r>
      <w:r w:rsidR="005D6681">
        <w:rPr>
          <w:lang w:val="en-US"/>
        </w:rPr>
        <w:t>C</w:t>
      </w:r>
      <w:r>
        <w:rPr>
          <w:lang w:val="en-US"/>
        </w:rPr>
        <w:t xml:space="preserve">ategory 1 and 2 </w:t>
      </w:r>
      <w:r w:rsidR="005D6681">
        <w:rPr>
          <w:lang w:val="en-US"/>
        </w:rPr>
        <w:t>L</w:t>
      </w:r>
      <w:r>
        <w:rPr>
          <w:lang w:val="en-US"/>
        </w:rPr>
        <w:t xml:space="preserve">arge </w:t>
      </w:r>
      <w:r w:rsidR="005D6681">
        <w:rPr>
          <w:lang w:val="en-US"/>
        </w:rPr>
        <w:t>P</w:t>
      </w:r>
      <w:r>
        <w:rPr>
          <w:lang w:val="en-US"/>
        </w:rPr>
        <w:t>roviders)</w:t>
      </w:r>
      <w:r w:rsidR="0045370A">
        <w:rPr>
          <w:lang w:val="en-US"/>
        </w:rPr>
        <w:t xml:space="preserve">. These plans are consistent with plans for handling </w:t>
      </w:r>
      <w:r w:rsidR="009E70A3">
        <w:rPr>
          <w:lang w:val="en-US"/>
        </w:rPr>
        <w:t>the</w:t>
      </w:r>
      <w:r w:rsidR="0045370A">
        <w:rPr>
          <w:lang w:val="en-US"/>
        </w:rPr>
        <w:t xml:space="preserve"> largest and most complex Hospital and OBD providers.</w:t>
      </w:r>
    </w:p>
    <w:p w14:paraId="7C96E3DC" w14:textId="77777777" w:rsidR="005E0DB9" w:rsidRPr="00A14361" w:rsidRDefault="005E0DB9" w:rsidP="005E0DB9">
      <w:pPr>
        <w:pStyle w:val="BodyText"/>
        <w:rPr>
          <w:i/>
          <w:lang w:val="en-US"/>
        </w:rPr>
      </w:pPr>
      <w:r w:rsidRPr="00A14361">
        <w:rPr>
          <w:i/>
          <w:lang w:val="en-US"/>
        </w:rPr>
        <w:t>Advance Preparation</w:t>
      </w:r>
    </w:p>
    <w:p w14:paraId="76D0D708" w14:textId="08CFE0BF" w:rsidR="00F41201" w:rsidRPr="00844CA3" w:rsidRDefault="0045370A" w:rsidP="005E0DB9">
      <w:pPr>
        <w:pStyle w:val="BodyText"/>
        <w:rPr>
          <w:lang w:val="en-US"/>
        </w:rPr>
      </w:pPr>
      <w:r w:rsidRPr="00844CA3">
        <w:rPr>
          <w:lang w:val="en-US"/>
        </w:rPr>
        <w:t xml:space="preserve">For the </w:t>
      </w:r>
      <w:r w:rsidR="003A3FD0" w:rsidRPr="00844CA3">
        <w:rPr>
          <w:lang w:val="en-US"/>
        </w:rPr>
        <w:t>202</w:t>
      </w:r>
      <w:r w:rsidR="003A3FD0">
        <w:rPr>
          <w:lang w:val="en-US"/>
        </w:rPr>
        <w:t>3</w:t>
      </w:r>
      <w:r w:rsidR="003A3FD0" w:rsidRPr="00844CA3">
        <w:rPr>
          <w:lang w:val="en-US"/>
        </w:rPr>
        <w:t xml:space="preserve"> </w:t>
      </w:r>
      <w:r w:rsidRPr="00844CA3">
        <w:rPr>
          <w:lang w:val="en-US"/>
        </w:rPr>
        <w:t xml:space="preserve">cycle, </w:t>
      </w:r>
      <w:r w:rsidR="00127F02" w:rsidRPr="00844CA3">
        <w:rPr>
          <w:lang w:val="en-US"/>
        </w:rPr>
        <w:t xml:space="preserve">designations for </w:t>
      </w:r>
      <w:r w:rsidR="00BF4C5E">
        <w:rPr>
          <w:lang w:val="en-US"/>
        </w:rPr>
        <w:t>C</w:t>
      </w:r>
      <w:r w:rsidR="00127F02" w:rsidRPr="00844CA3">
        <w:rPr>
          <w:lang w:val="en-US"/>
        </w:rPr>
        <w:t xml:space="preserve">ategory 1 and 2 SBD providers/billers </w:t>
      </w:r>
      <w:r w:rsidR="00A26AA3">
        <w:rPr>
          <w:lang w:val="en-US"/>
        </w:rPr>
        <w:t xml:space="preserve">will be </w:t>
      </w:r>
      <w:r w:rsidR="00BF4C5E">
        <w:rPr>
          <w:lang w:val="en-US"/>
        </w:rPr>
        <w:t>revisited</w:t>
      </w:r>
      <w:r w:rsidR="00A26AA3">
        <w:rPr>
          <w:lang w:val="en-US"/>
        </w:rPr>
        <w:t xml:space="preserve"> in </w:t>
      </w:r>
      <w:r w:rsidR="00BF4C5E">
        <w:rPr>
          <w:lang w:val="en-US"/>
        </w:rPr>
        <w:t xml:space="preserve">a </w:t>
      </w:r>
      <w:r w:rsidR="00A26AA3">
        <w:rPr>
          <w:lang w:val="en-US"/>
        </w:rPr>
        <w:t>similar fashion to</w:t>
      </w:r>
      <w:r w:rsidR="00127F02" w:rsidRPr="00844CA3">
        <w:rPr>
          <w:lang w:val="en-US"/>
        </w:rPr>
        <w:t xml:space="preserve"> the </w:t>
      </w:r>
      <w:r w:rsidR="003A3FD0" w:rsidRPr="00844CA3">
        <w:rPr>
          <w:lang w:val="en-US"/>
        </w:rPr>
        <w:t>202</w:t>
      </w:r>
      <w:r w:rsidR="003A3FD0">
        <w:rPr>
          <w:lang w:val="en-US"/>
        </w:rPr>
        <w:t>3</w:t>
      </w:r>
      <w:r w:rsidR="003A3FD0" w:rsidRPr="00844CA3">
        <w:rPr>
          <w:lang w:val="en-US"/>
        </w:rPr>
        <w:t xml:space="preserve"> </w:t>
      </w:r>
      <w:r w:rsidR="00127F02" w:rsidRPr="00844CA3">
        <w:rPr>
          <w:lang w:val="en-US"/>
        </w:rPr>
        <w:t>cycle non</w:t>
      </w:r>
      <w:r w:rsidR="00892102" w:rsidRPr="00844CA3">
        <w:rPr>
          <w:lang w:val="en-US"/>
        </w:rPr>
        <w:t>-</w:t>
      </w:r>
      <w:r w:rsidR="00127F02" w:rsidRPr="00844CA3">
        <w:rPr>
          <w:lang w:val="en-US"/>
        </w:rPr>
        <w:t xml:space="preserve">SBD providers. Providers/billers were originally designated as </w:t>
      </w:r>
      <w:r w:rsidR="00BF4C5E">
        <w:rPr>
          <w:lang w:val="en-US"/>
        </w:rPr>
        <w:t>C</w:t>
      </w:r>
      <w:r w:rsidR="00127F02" w:rsidRPr="00844CA3">
        <w:rPr>
          <w:lang w:val="en-US"/>
        </w:rPr>
        <w:t xml:space="preserve">ategory 1 and 2 based on the size of the bands, with the largest </w:t>
      </w:r>
      <w:r w:rsidR="00B80317" w:rsidRPr="00844CA3">
        <w:rPr>
          <w:lang w:val="en-US"/>
        </w:rPr>
        <w:t>3</w:t>
      </w:r>
      <w:r w:rsidR="00127F02" w:rsidRPr="00844CA3">
        <w:rPr>
          <w:lang w:val="en-US"/>
        </w:rPr>
        <w:t>0-</w:t>
      </w:r>
      <w:r w:rsidR="00B80317" w:rsidRPr="00844CA3">
        <w:rPr>
          <w:lang w:val="en-US"/>
        </w:rPr>
        <w:t>4</w:t>
      </w:r>
      <w:r w:rsidR="00127F02" w:rsidRPr="00844CA3">
        <w:rPr>
          <w:lang w:val="en-US"/>
        </w:rPr>
        <w:t>0 bands (from the previous cycle) being assigned a critical band value (</w:t>
      </w:r>
      <w:r w:rsidR="00BF4C5E">
        <w:rPr>
          <w:lang w:val="en-US"/>
        </w:rPr>
        <w:t>C</w:t>
      </w:r>
      <w:r w:rsidR="00127F02" w:rsidRPr="00844CA3">
        <w:rPr>
          <w:lang w:val="en-US"/>
        </w:rPr>
        <w:t xml:space="preserve">ategory 1 or 2). The designation of </w:t>
      </w:r>
      <w:r w:rsidR="00BF4C5E">
        <w:rPr>
          <w:lang w:val="en-US"/>
        </w:rPr>
        <w:t>C</w:t>
      </w:r>
      <w:r w:rsidR="00127F02" w:rsidRPr="00844CA3">
        <w:rPr>
          <w:lang w:val="en-US"/>
        </w:rPr>
        <w:t xml:space="preserve">ategory 1 or 2 was made based on (a) completion rate from previous cycles, (b) difficulty of working the band, and (c) complexity of working the band. Revisiting the designations based on the </w:t>
      </w:r>
      <w:r w:rsidR="00A26AA3" w:rsidRPr="00844CA3">
        <w:rPr>
          <w:lang w:val="en-US"/>
        </w:rPr>
        <w:t>202</w:t>
      </w:r>
      <w:r w:rsidR="00A26AA3">
        <w:rPr>
          <w:lang w:val="en-US"/>
        </w:rPr>
        <w:t>1</w:t>
      </w:r>
      <w:r w:rsidR="00A26AA3" w:rsidRPr="00844CA3">
        <w:rPr>
          <w:lang w:val="en-US"/>
        </w:rPr>
        <w:t xml:space="preserve"> </w:t>
      </w:r>
      <w:r w:rsidR="00127F02" w:rsidRPr="00844CA3">
        <w:rPr>
          <w:lang w:val="en-US"/>
        </w:rPr>
        <w:t xml:space="preserve">cycle results </w:t>
      </w:r>
      <w:r w:rsidR="00A26AA3">
        <w:rPr>
          <w:lang w:val="en-US"/>
        </w:rPr>
        <w:t>maintains</w:t>
      </w:r>
      <w:r w:rsidR="00D20F25" w:rsidRPr="00844CA3">
        <w:rPr>
          <w:lang w:val="en-US"/>
        </w:rPr>
        <w:t xml:space="preserve"> </w:t>
      </w:r>
      <w:r w:rsidR="00127F02" w:rsidRPr="00844CA3">
        <w:rPr>
          <w:lang w:val="en-US"/>
        </w:rPr>
        <w:t xml:space="preserve">focus on the largest and most difficult </w:t>
      </w:r>
      <w:r w:rsidR="00A26AA3" w:rsidRPr="00844CA3">
        <w:rPr>
          <w:lang w:val="en-US"/>
        </w:rPr>
        <w:t xml:space="preserve">providers/billers </w:t>
      </w:r>
      <w:r w:rsidR="00127F02" w:rsidRPr="00844CA3">
        <w:rPr>
          <w:lang w:val="en-US"/>
        </w:rPr>
        <w:t xml:space="preserve">in </w:t>
      </w:r>
      <w:r w:rsidR="00D20F25" w:rsidRPr="00844CA3">
        <w:rPr>
          <w:lang w:val="en-US"/>
        </w:rPr>
        <w:t xml:space="preserve">the </w:t>
      </w:r>
      <w:r w:rsidR="00127F02" w:rsidRPr="00844CA3">
        <w:rPr>
          <w:lang w:val="en-US"/>
        </w:rPr>
        <w:t xml:space="preserve">sample. </w:t>
      </w:r>
    </w:p>
    <w:p w14:paraId="43B0599F" w14:textId="11363D3A" w:rsidR="005E0DB9" w:rsidRDefault="00127F02" w:rsidP="005E0DB9">
      <w:pPr>
        <w:pStyle w:val="BodyText"/>
        <w:rPr>
          <w:lang w:val="en-US"/>
        </w:rPr>
      </w:pPr>
      <w:r w:rsidRPr="00844CA3">
        <w:rPr>
          <w:lang w:val="en-US"/>
        </w:rPr>
        <w:t>The largest p</w:t>
      </w:r>
      <w:r w:rsidR="005E0DB9" w:rsidRPr="00844CA3">
        <w:rPr>
          <w:lang w:val="en-US"/>
        </w:rPr>
        <w:t>roviders</w:t>
      </w:r>
      <w:r w:rsidRPr="00844CA3">
        <w:rPr>
          <w:lang w:val="en-US"/>
        </w:rPr>
        <w:t>/billers</w:t>
      </w:r>
      <w:r w:rsidR="005E0DB9" w:rsidRPr="00844CA3">
        <w:rPr>
          <w:lang w:val="en-US"/>
        </w:rPr>
        <w:t xml:space="preserve"> with a history of refusals or limited participation w</w:t>
      </w:r>
      <w:r w:rsidR="0045370A" w:rsidRPr="00844CA3">
        <w:rPr>
          <w:lang w:val="en-US"/>
        </w:rPr>
        <w:t>ill</w:t>
      </w:r>
      <w:r w:rsidR="00844CA3" w:rsidRPr="00844CA3">
        <w:rPr>
          <w:lang w:val="en-US"/>
        </w:rPr>
        <w:t xml:space="preserve"> generally</w:t>
      </w:r>
      <w:r w:rsidR="0045370A" w:rsidRPr="00844CA3">
        <w:rPr>
          <w:lang w:val="en-US"/>
        </w:rPr>
        <w:t xml:space="preserve"> be</w:t>
      </w:r>
      <w:r w:rsidR="005E0DB9" w:rsidRPr="00844CA3">
        <w:rPr>
          <w:lang w:val="en-US"/>
        </w:rPr>
        <w:t xml:space="preserve"> designated as </w:t>
      </w:r>
      <w:r w:rsidR="00BF4C5E">
        <w:rPr>
          <w:lang w:val="en-US"/>
        </w:rPr>
        <w:t>C</w:t>
      </w:r>
      <w:r w:rsidR="005E0DB9" w:rsidRPr="00844CA3">
        <w:rPr>
          <w:lang w:val="en-US"/>
        </w:rPr>
        <w:t xml:space="preserve">ategory </w:t>
      </w:r>
      <w:r w:rsidR="0045370A" w:rsidRPr="00844CA3">
        <w:rPr>
          <w:lang w:val="en-US"/>
        </w:rPr>
        <w:t>1, and th</w:t>
      </w:r>
      <w:r w:rsidRPr="00844CA3">
        <w:rPr>
          <w:lang w:val="en-US"/>
        </w:rPr>
        <w:t xml:space="preserve">ose with a history of success or greater participation will </w:t>
      </w:r>
      <w:r w:rsidR="00844CA3" w:rsidRPr="00844CA3">
        <w:rPr>
          <w:lang w:val="en-US"/>
        </w:rPr>
        <w:t xml:space="preserve">generally </w:t>
      </w:r>
      <w:r w:rsidR="0045370A" w:rsidRPr="00844CA3">
        <w:rPr>
          <w:lang w:val="en-US"/>
        </w:rPr>
        <w:t>be</w:t>
      </w:r>
      <w:r w:rsidR="005E0DB9" w:rsidRPr="00844CA3">
        <w:rPr>
          <w:lang w:val="en-US"/>
        </w:rPr>
        <w:t xml:space="preserve"> designated as </w:t>
      </w:r>
      <w:r w:rsidR="00BF4C5E">
        <w:rPr>
          <w:lang w:val="en-US"/>
        </w:rPr>
        <w:t>C</w:t>
      </w:r>
      <w:r w:rsidR="005E0DB9" w:rsidRPr="00844CA3">
        <w:rPr>
          <w:lang w:val="en-US"/>
        </w:rPr>
        <w:t>ategory 2. Prior to initiating contact, summaries of previous experienc</w:t>
      </w:r>
      <w:r w:rsidR="00B41A42" w:rsidRPr="00844CA3">
        <w:rPr>
          <w:lang w:val="en-US"/>
        </w:rPr>
        <w:t>e</w:t>
      </w:r>
      <w:r w:rsidR="005E0DB9" w:rsidRPr="00844CA3">
        <w:rPr>
          <w:lang w:val="en-US"/>
        </w:rPr>
        <w:t xml:space="preserve"> with each of these providers</w:t>
      </w:r>
      <w:r w:rsidR="00A26AA3">
        <w:rPr>
          <w:lang w:val="en-US"/>
        </w:rPr>
        <w:t xml:space="preserve"> will be written</w:t>
      </w:r>
      <w:r w:rsidR="00B41A42" w:rsidRPr="00844CA3">
        <w:rPr>
          <w:lang w:val="en-US"/>
        </w:rPr>
        <w:t>,</w:t>
      </w:r>
      <w:r w:rsidR="005E0DB9" w:rsidRPr="00844CA3">
        <w:rPr>
          <w:lang w:val="en-US"/>
        </w:rPr>
        <w:t xml:space="preserve"> </w:t>
      </w:r>
      <w:r w:rsidR="00A26AA3">
        <w:rPr>
          <w:lang w:val="en-US"/>
        </w:rPr>
        <w:t>detailing</w:t>
      </w:r>
      <w:r w:rsidR="00A26AA3" w:rsidRPr="00844CA3">
        <w:rPr>
          <w:lang w:val="en-US"/>
        </w:rPr>
        <w:t xml:space="preserve"> </w:t>
      </w:r>
      <w:r w:rsidR="005E0DB9" w:rsidRPr="00844CA3">
        <w:rPr>
          <w:lang w:val="en-US"/>
        </w:rPr>
        <w:t xml:space="preserve">the nature and success of contacts, what strategies were successful in gaining cooperation, </w:t>
      </w:r>
      <w:r w:rsidR="00B41A42" w:rsidRPr="00844CA3">
        <w:rPr>
          <w:lang w:val="en-US"/>
        </w:rPr>
        <w:t>what specific barriers we</w:t>
      </w:r>
      <w:r w:rsidR="00D20F25" w:rsidRPr="00844CA3">
        <w:rPr>
          <w:lang w:val="en-US"/>
        </w:rPr>
        <w:t>re</w:t>
      </w:r>
      <w:r w:rsidR="00B41A42" w:rsidRPr="00844CA3">
        <w:rPr>
          <w:lang w:val="en-US"/>
        </w:rPr>
        <w:t xml:space="preserve"> encountered </w:t>
      </w:r>
      <w:r w:rsidR="00D20F25" w:rsidRPr="00844CA3">
        <w:rPr>
          <w:lang w:val="en-US"/>
        </w:rPr>
        <w:t>during</w:t>
      </w:r>
      <w:r w:rsidR="00B41A42" w:rsidRPr="00844CA3">
        <w:rPr>
          <w:lang w:val="en-US"/>
        </w:rPr>
        <w:t xml:space="preserve"> outreach efforts, </w:t>
      </w:r>
      <w:r w:rsidR="005E0DB9" w:rsidRPr="00844CA3">
        <w:rPr>
          <w:lang w:val="en-US"/>
        </w:rPr>
        <w:t xml:space="preserve">and what types of behaviors </w:t>
      </w:r>
      <w:r w:rsidR="00B41A42" w:rsidRPr="00844CA3">
        <w:rPr>
          <w:lang w:val="en-US"/>
        </w:rPr>
        <w:t xml:space="preserve">may have </w:t>
      </w:r>
      <w:r w:rsidR="005E0DB9" w:rsidRPr="00844CA3">
        <w:rPr>
          <w:lang w:val="en-US"/>
        </w:rPr>
        <w:t>led to unfavorable outcomes. The</w:t>
      </w:r>
      <w:r w:rsidR="00A26AA3">
        <w:rPr>
          <w:lang w:val="en-US"/>
        </w:rPr>
        <w:t>se</w:t>
      </w:r>
      <w:r w:rsidR="005E0DB9" w:rsidRPr="00844CA3">
        <w:rPr>
          <w:lang w:val="en-US"/>
        </w:rPr>
        <w:t xml:space="preserve"> </w:t>
      </w:r>
      <w:r w:rsidR="00A26AA3" w:rsidRPr="00844CA3">
        <w:rPr>
          <w:lang w:val="en-US"/>
        </w:rPr>
        <w:t>summar</w:t>
      </w:r>
      <w:r w:rsidR="00A26AA3">
        <w:rPr>
          <w:lang w:val="en-US"/>
        </w:rPr>
        <w:t xml:space="preserve">y documents </w:t>
      </w:r>
      <w:r w:rsidR="0045370A" w:rsidRPr="00844CA3">
        <w:rPr>
          <w:lang w:val="en-US"/>
        </w:rPr>
        <w:t>will include</w:t>
      </w:r>
      <w:r w:rsidR="005E0DB9" w:rsidRPr="00844CA3">
        <w:rPr>
          <w:lang w:val="en-US"/>
        </w:rPr>
        <w:t xml:space="preserve"> names and contact information of previous POCs as well as information about how the provider is organized. A final section of the summaries outline</w:t>
      </w:r>
      <w:r w:rsidR="00B41A42" w:rsidRPr="00844CA3">
        <w:rPr>
          <w:lang w:val="en-US"/>
        </w:rPr>
        <w:t>s</w:t>
      </w:r>
      <w:r w:rsidR="005E0DB9" w:rsidRPr="00844CA3">
        <w:rPr>
          <w:lang w:val="en-US"/>
        </w:rPr>
        <w:t xml:space="preserve"> a strategy for approaching and gaining cooperation from the POC. </w:t>
      </w:r>
      <w:r w:rsidR="00A26AA3">
        <w:rPr>
          <w:lang w:val="en-US"/>
        </w:rPr>
        <w:t>P</w:t>
      </w:r>
      <w:r w:rsidRPr="00844CA3">
        <w:rPr>
          <w:lang w:val="en-US"/>
        </w:rPr>
        <w:t xml:space="preserve">lans </w:t>
      </w:r>
      <w:r w:rsidR="00A26AA3">
        <w:rPr>
          <w:lang w:val="en-US"/>
        </w:rPr>
        <w:t xml:space="preserve">will be drafted </w:t>
      </w:r>
      <w:r w:rsidRPr="00844CA3">
        <w:rPr>
          <w:lang w:val="en-US"/>
        </w:rPr>
        <w:t>and submit</w:t>
      </w:r>
      <w:r w:rsidR="00A26AA3">
        <w:rPr>
          <w:lang w:val="en-US"/>
        </w:rPr>
        <w:t>ted</w:t>
      </w:r>
      <w:r w:rsidRPr="00844CA3">
        <w:rPr>
          <w:lang w:val="en-US"/>
        </w:rPr>
        <w:t xml:space="preserve"> to AHRQ in time to have approval of </w:t>
      </w:r>
      <w:r w:rsidR="00BF4C5E">
        <w:rPr>
          <w:lang w:val="en-US"/>
        </w:rPr>
        <w:t>C</w:t>
      </w:r>
      <w:r w:rsidRPr="00844CA3">
        <w:rPr>
          <w:lang w:val="en-US"/>
        </w:rPr>
        <w:t>ategory 1 and 2 band plans in place for the beginning of SBD data collection.</w:t>
      </w:r>
      <w:r w:rsidR="005E0DB9">
        <w:rPr>
          <w:lang w:val="en-US"/>
        </w:rPr>
        <w:t xml:space="preserve"> </w:t>
      </w:r>
    </w:p>
    <w:p w14:paraId="64427D07" w14:textId="77777777" w:rsidR="005E0DB9" w:rsidRPr="00A14361" w:rsidRDefault="005E0DB9" w:rsidP="005E0DB9">
      <w:pPr>
        <w:pStyle w:val="BodyText"/>
        <w:rPr>
          <w:i/>
          <w:lang w:val="en-US"/>
        </w:rPr>
      </w:pPr>
      <w:r w:rsidRPr="00A14361">
        <w:rPr>
          <w:i/>
          <w:lang w:val="en-US"/>
        </w:rPr>
        <w:lastRenderedPageBreak/>
        <w:t>Assigning Work and Preparing Negotiators</w:t>
      </w:r>
    </w:p>
    <w:p w14:paraId="65C374EB" w14:textId="68D789B9" w:rsidR="005E0DB9" w:rsidRDefault="0045370A" w:rsidP="005E0DB9">
      <w:pPr>
        <w:pStyle w:val="BodyText"/>
        <w:rPr>
          <w:lang w:val="en-US"/>
        </w:rPr>
      </w:pPr>
      <w:r>
        <w:rPr>
          <w:lang w:val="en-US"/>
        </w:rPr>
        <w:t>T</w:t>
      </w:r>
      <w:r w:rsidR="005E0DB9">
        <w:rPr>
          <w:lang w:val="en-US"/>
        </w:rPr>
        <w:t xml:space="preserve">hese </w:t>
      </w:r>
      <w:r w:rsidR="00BF4C5E">
        <w:rPr>
          <w:lang w:val="en-US"/>
        </w:rPr>
        <w:t>C</w:t>
      </w:r>
      <w:r w:rsidR="005E0DB9">
        <w:rPr>
          <w:lang w:val="en-US"/>
        </w:rPr>
        <w:t xml:space="preserve">ategory 1 and 2 providers will then be divided amongst negotiators, based on each negotiator’s style, strengths and their previous experience with these and similar providers.  </w:t>
      </w:r>
    </w:p>
    <w:p w14:paraId="5DBA19C5" w14:textId="29FFF360" w:rsidR="005E0DB9" w:rsidRDefault="005E0DB9" w:rsidP="005E0DB9">
      <w:pPr>
        <w:pStyle w:val="BodyText"/>
        <w:rPr>
          <w:lang w:val="en-US"/>
        </w:rPr>
      </w:pPr>
      <w:r>
        <w:rPr>
          <w:lang w:val="en-US"/>
        </w:rPr>
        <w:t xml:space="preserve">In </w:t>
      </w:r>
      <w:r w:rsidR="003D12B0">
        <w:rPr>
          <w:lang w:val="en-US"/>
        </w:rPr>
        <w:t>August</w:t>
      </w:r>
      <w:r>
        <w:rPr>
          <w:lang w:val="en-US"/>
        </w:rPr>
        <w:t xml:space="preserve">, each negotiator and the </w:t>
      </w:r>
      <w:r w:rsidR="005D6681">
        <w:rPr>
          <w:lang w:val="en-US"/>
        </w:rPr>
        <w:t>L</w:t>
      </w:r>
      <w:r>
        <w:rPr>
          <w:lang w:val="en-US"/>
        </w:rPr>
        <w:t xml:space="preserve">arge </w:t>
      </w:r>
      <w:r w:rsidR="005D6681">
        <w:rPr>
          <w:lang w:val="en-US"/>
        </w:rPr>
        <w:t>P</w:t>
      </w:r>
      <w:r>
        <w:rPr>
          <w:lang w:val="en-US"/>
        </w:rPr>
        <w:t xml:space="preserve">rovider supervisor will meet with a </w:t>
      </w:r>
      <w:r w:rsidR="00D03F67">
        <w:rPr>
          <w:lang w:val="en-US"/>
        </w:rPr>
        <w:t xml:space="preserve">designated </w:t>
      </w:r>
      <w:r>
        <w:rPr>
          <w:lang w:val="en-US"/>
        </w:rPr>
        <w:t xml:space="preserve">manager to review </w:t>
      </w:r>
      <w:r w:rsidR="00B41A42">
        <w:rPr>
          <w:lang w:val="en-US"/>
        </w:rPr>
        <w:t xml:space="preserve">the AHRQ-approved plans, and to discuss </w:t>
      </w:r>
      <w:r>
        <w:rPr>
          <w:lang w:val="en-US"/>
        </w:rPr>
        <w:t xml:space="preserve">the history and strategy of each provider prior to making initial contact.  </w:t>
      </w:r>
    </w:p>
    <w:p w14:paraId="477B88B6" w14:textId="77777777" w:rsidR="005E0DB9" w:rsidRPr="00A14361" w:rsidRDefault="005E0DB9" w:rsidP="005E0DB9">
      <w:pPr>
        <w:pStyle w:val="BodyText"/>
        <w:rPr>
          <w:i/>
          <w:lang w:val="en-US"/>
        </w:rPr>
      </w:pPr>
      <w:r w:rsidRPr="00A14361">
        <w:rPr>
          <w:i/>
          <w:lang w:val="en-US"/>
        </w:rPr>
        <w:t>Overseeing the Large Provider Negotiations</w:t>
      </w:r>
    </w:p>
    <w:p w14:paraId="69388867" w14:textId="484D81F2" w:rsidR="005E0DB9" w:rsidRDefault="00D20F25" w:rsidP="005E0DB9">
      <w:pPr>
        <w:pStyle w:val="BodyText"/>
        <w:rPr>
          <w:lang w:val="en-US"/>
        </w:rPr>
      </w:pPr>
      <w:r>
        <w:rPr>
          <w:lang w:val="en-US"/>
        </w:rPr>
        <w:t>A</w:t>
      </w:r>
      <w:r w:rsidR="00D67CA9">
        <w:rPr>
          <w:lang w:val="en-US"/>
        </w:rPr>
        <w:t xml:space="preserve"> </w:t>
      </w:r>
      <w:r w:rsidR="005E0DB9">
        <w:rPr>
          <w:lang w:val="en-US"/>
        </w:rPr>
        <w:t>designate</w:t>
      </w:r>
      <w:r w:rsidR="00D67CA9">
        <w:rPr>
          <w:lang w:val="en-US"/>
        </w:rPr>
        <w:t>d</w:t>
      </w:r>
      <w:r w:rsidR="005E0DB9">
        <w:rPr>
          <w:lang w:val="en-US"/>
        </w:rPr>
        <w:t xml:space="preserve"> supervisor assist</w:t>
      </w:r>
      <w:r>
        <w:rPr>
          <w:lang w:val="en-US"/>
        </w:rPr>
        <w:t>s</w:t>
      </w:r>
      <w:r w:rsidR="005E0DB9">
        <w:rPr>
          <w:lang w:val="en-US"/>
        </w:rPr>
        <w:t xml:space="preserve"> data collection managers with overseeing the work for </w:t>
      </w:r>
      <w:r w:rsidR="00BF4C5E">
        <w:rPr>
          <w:lang w:val="en-US"/>
        </w:rPr>
        <w:t>C</w:t>
      </w:r>
      <w:r w:rsidR="005E0DB9">
        <w:rPr>
          <w:lang w:val="en-US"/>
        </w:rPr>
        <w:t xml:space="preserve">ategory 1 and 2 </w:t>
      </w:r>
      <w:r w:rsidR="005D6681">
        <w:rPr>
          <w:lang w:val="en-US"/>
        </w:rPr>
        <w:t>L</w:t>
      </w:r>
      <w:r w:rsidR="005E0DB9">
        <w:rPr>
          <w:lang w:val="en-US"/>
        </w:rPr>
        <w:t xml:space="preserve">arge </w:t>
      </w:r>
      <w:r w:rsidR="005D6681">
        <w:rPr>
          <w:lang w:val="en-US"/>
        </w:rPr>
        <w:t>P</w:t>
      </w:r>
      <w:r w:rsidR="005E0DB9">
        <w:rPr>
          <w:lang w:val="en-US"/>
        </w:rPr>
        <w:t xml:space="preserve">roviders. This </w:t>
      </w:r>
      <w:r w:rsidR="005D6681">
        <w:rPr>
          <w:lang w:val="en-US"/>
        </w:rPr>
        <w:t>L</w:t>
      </w:r>
      <w:r w:rsidR="005E0DB9">
        <w:rPr>
          <w:lang w:val="en-US"/>
        </w:rPr>
        <w:t>arge</w:t>
      </w:r>
      <w:r w:rsidR="005D6681">
        <w:rPr>
          <w:lang w:val="en-US"/>
        </w:rPr>
        <w:t xml:space="preserve"> P</w:t>
      </w:r>
      <w:r w:rsidR="005E0DB9">
        <w:rPr>
          <w:lang w:val="en-US"/>
        </w:rPr>
        <w:t xml:space="preserve">rovider supervisor </w:t>
      </w:r>
      <w:r w:rsidR="00D67CA9">
        <w:rPr>
          <w:lang w:val="en-US"/>
        </w:rPr>
        <w:t>is</w:t>
      </w:r>
      <w:r w:rsidR="005E0DB9">
        <w:rPr>
          <w:lang w:val="en-US"/>
        </w:rPr>
        <w:t xml:space="preserve"> responsible for reviewing the negotiators</w:t>
      </w:r>
      <w:r w:rsidR="00B41A42">
        <w:rPr>
          <w:lang w:val="en-US"/>
        </w:rPr>
        <w:t>’</w:t>
      </w:r>
      <w:r w:rsidR="005E0DB9">
        <w:rPr>
          <w:lang w:val="en-US"/>
        </w:rPr>
        <w:t xml:space="preserve"> call history notes, resolving problem reports for the </w:t>
      </w:r>
      <w:r w:rsidR="00BF4C5E">
        <w:rPr>
          <w:lang w:val="en-US"/>
        </w:rPr>
        <w:t>C</w:t>
      </w:r>
      <w:r w:rsidR="005E0DB9">
        <w:rPr>
          <w:lang w:val="en-US"/>
        </w:rPr>
        <w:t>ategory 1 and 2 cases (banding, merging, disavowal tracing, etc.), preparing spreadsheets for providers and ensuring customized authorization-form packets are sorted in the order requested by the point of contact, and helping the negotiator stay organized.</w:t>
      </w:r>
    </w:p>
    <w:p w14:paraId="38D5D2E7" w14:textId="58339FB3" w:rsidR="005E0DB9" w:rsidRDefault="005E0DB9" w:rsidP="005E0DB9">
      <w:pPr>
        <w:pStyle w:val="BodyText"/>
        <w:rPr>
          <w:lang w:val="en-US"/>
        </w:rPr>
      </w:pPr>
      <w:r>
        <w:rPr>
          <w:lang w:val="en-US"/>
        </w:rPr>
        <w:t xml:space="preserve">The negotiator, the </w:t>
      </w:r>
      <w:r w:rsidR="005D6681">
        <w:rPr>
          <w:lang w:val="en-US"/>
        </w:rPr>
        <w:t>L</w:t>
      </w:r>
      <w:r>
        <w:rPr>
          <w:lang w:val="en-US"/>
        </w:rPr>
        <w:t xml:space="preserve">arge </w:t>
      </w:r>
      <w:r w:rsidR="005D6681">
        <w:rPr>
          <w:lang w:val="en-US"/>
        </w:rPr>
        <w:t>P</w:t>
      </w:r>
      <w:r>
        <w:rPr>
          <w:lang w:val="en-US"/>
        </w:rPr>
        <w:t xml:space="preserve">rovider supervisor, and their designated manager then meet weekly throughout the rest of the field period to discuss and strategize about new developments and document progress and next steps for a weekly report to AHRQ. The negotiator </w:t>
      </w:r>
      <w:r w:rsidR="00D67CA9">
        <w:rPr>
          <w:lang w:val="en-US"/>
        </w:rPr>
        <w:t>is</w:t>
      </w:r>
      <w:r>
        <w:rPr>
          <w:lang w:val="en-US"/>
        </w:rPr>
        <w:t xml:space="preserve"> expected to come to these meetings with detailed notes of interactions from the previous week. The </w:t>
      </w:r>
      <w:r w:rsidR="005D6681">
        <w:rPr>
          <w:lang w:val="en-US"/>
        </w:rPr>
        <w:t>L</w:t>
      </w:r>
      <w:r>
        <w:rPr>
          <w:lang w:val="en-US"/>
        </w:rPr>
        <w:t xml:space="preserve">arge </w:t>
      </w:r>
      <w:r w:rsidR="005D6681">
        <w:rPr>
          <w:lang w:val="en-US"/>
        </w:rPr>
        <w:t>P</w:t>
      </w:r>
      <w:r>
        <w:rPr>
          <w:lang w:val="en-US"/>
        </w:rPr>
        <w:t xml:space="preserve">rovider supervisor </w:t>
      </w:r>
      <w:r w:rsidR="00D67CA9">
        <w:rPr>
          <w:lang w:val="en-US"/>
        </w:rPr>
        <w:t>is</w:t>
      </w:r>
      <w:r>
        <w:rPr>
          <w:lang w:val="en-US"/>
        </w:rPr>
        <w:t xml:space="preserve"> expected to have verified this information through their independent case review.</w:t>
      </w:r>
    </w:p>
    <w:p w14:paraId="57F73337" w14:textId="010A5E58" w:rsidR="005E0DB9" w:rsidRPr="00B854FD" w:rsidRDefault="005E0DB9" w:rsidP="005E0DB9">
      <w:pPr>
        <w:pStyle w:val="BodyText"/>
        <w:rPr>
          <w:i/>
          <w:lang w:val="en-US"/>
        </w:rPr>
      </w:pPr>
      <w:r>
        <w:rPr>
          <w:i/>
          <w:lang w:val="en-US"/>
        </w:rPr>
        <w:t>Reporting Progress on Category 1 and 2 Providers</w:t>
      </w:r>
    </w:p>
    <w:p w14:paraId="4174AFFA" w14:textId="1F23E838" w:rsidR="005E0DB9" w:rsidRDefault="005E0DB9" w:rsidP="005E0DB9">
      <w:pPr>
        <w:pStyle w:val="BodyText"/>
        <w:rPr>
          <w:lang w:val="en-US"/>
        </w:rPr>
      </w:pPr>
      <w:r>
        <w:rPr>
          <w:lang w:val="en-US"/>
        </w:rPr>
        <w:t>On a weekly basis</w:t>
      </w:r>
      <w:r w:rsidR="00183508">
        <w:rPr>
          <w:lang w:val="en-US"/>
        </w:rPr>
        <w:t>,</w:t>
      </w:r>
      <w:r>
        <w:rPr>
          <w:lang w:val="en-US"/>
        </w:rPr>
        <w:t xml:space="preserve"> AHRQ </w:t>
      </w:r>
      <w:r w:rsidR="00A26AA3">
        <w:rPr>
          <w:lang w:val="en-US"/>
        </w:rPr>
        <w:t xml:space="preserve">will receive an update on </w:t>
      </w:r>
      <w:r w:rsidR="000D5039">
        <w:rPr>
          <w:lang w:val="en-US"/>
        </w:rPr>
        <w:t>L</w:t>
      </w:r>
      <w:r w:rsidR="00B80317">
        <w:rPr>
          <w:lang w:val="en-US"/>
        </w:rPr>
        <w:t xml:space="preserve">arge </w:t>
      </w:r>
      <w:r w:rsidR="000D5039">
        <w:rPr>
          <w:lang w:val="en-US"/>
        </w:rPr>
        <w:t>P</w:t>
      </w:r>
      <w:r w:rsidR="00B80317">
        <w:rPr>
          <w:lang w:val="en-US"/>
        </w:rPr>
        <w:t xml:space="preserve">rovider (broad definition) completion rates. </w:t>
      </w:r>
      <w:r w:rsidR="00D20F25">
        <w:rPr>
          <w:lang w:val="en-US"/>
        </w:rPr>
        <w:t>A</w:t>
      </w:r>
      <w:r>
        <w:rPr>
          <w:lang w:val="en-US"/>
        </w:rPr>
        <w:t xml:space="preserve"> </w:t>
      </w:r>
      <w:r w:rsidR="00B80317">
        <w:rPr>
          <w:lang w:val="en-US"/>
        </w:rPr>
        <w:t xml:space="preserve">separate </w:t>
      </w:r>
      <w:r>
        <w:rPr>
          <w:lang w:val="en-US"/>
        </w:rPr>
        <w:t xml:space="preserve">weekly summary of recent progress on each </w:t>
      </w:r>
      <w:r w:rsidR="00BF4C5E">
        <w:rPr>
          <w:lang w:val="en-US"/>
        </w:rPr>
        <w:t>C</w:t>
      </w:r>
      <w:r>
        <w:rPr>
          <w:lang w:val="en-US"/>
        </w:rPr>
        <w:t>ategory 1 and 2 provider</w:t>
      </w:r>
      <w:r w:rsidR="00D20F25">
        <w:rPr>
          <w:lang w:val="en-US"/>
        </w:rPr>
        <w:t xml:space="preserve"> is also provided</w:t>
      </w:r>
      <w:r>
        <w:rPr>
          <w:lang w:val="en-US"/>
        </w:rPr>
        <w:t>, noting obstacles encountered and suggested approaches.</w:t>
      </w:r>
    </w:p>
    <w:p w14:paraId="37B17CCD" w14:textId="3EEB0A78" w:rsidR="008A716D" w:rsidRPr="001D41DF" w:rsidRDefault="00FE1160" w:rsidP="003C2B28">
      <w:pPr>
        <w:pStyle w:val="Heading2"/>
      </w:pPr>
      <w:bookmarkStart w:id="138" w:name="_Toc188880728"/>
      <w:r w:rsidRPr="001D41DF">
        <w:t xml:space="preserve">Costs </w:t>
      </w:r>
      <w:r w:rsidR="008A716D" w:rsidRPr="001D41DF">
        <w:t xml:space="preserve">of </w:t>
      </w:r>
      <w:r w:rsidRPr="001D41DF">
        <w:t>Providing Records</w:t>
      </w:r>
      <w:bookmarkEnd w:id="138"/>
    </w:p>
    <w:p w14:paraId="2F0D99E4" w14:textId="20B125EA" w:rsidR="008A716D" w:rsidRDefault="00A26AA3" w:rsidP="00FE1160">
      <w:pPr>
        <w:pStyle w:val="BodyText"/>
      </w:pPr>
      <w:r>
        <w:rPr>
          <w:lang w:val="en-US"/>
        </w:rPr>
        <w:t>Providers who participate in MPC data collection are offered reimbursement</w:t>
      </w:r>
      <w:r w:rsidR="008A716D">
        <w:t xml:space="preserve"> for reasonable charges for time spent, the copying of documents, or a standard charge for these services. </w:t>
      </w:r>
      <w:r>
        <w:rPr>
          <w:lang w:val="en-US"/>
        </w:rPr>
        <w:t>Such p</w:t>
      </w:r>
      <w:proofErr w:type="spellStart"/>
      <w:r w:rsidR="008A716D">
        <w:t>rotocol</w:t>
      </w:r>
      <w:r w:rsidR="00411516">
        <w:rPr>
          <w:lang w:val="en-US"/>
        </w:rPr>
        <w:t>s</w:t>
      </w:r>
      <w:proofErr w:type="spellEnd"/>
      <w:r w:rsidR="00411516">
        <w:rPr>
          <w:lang w:val="en-US"/>
        </w:rPr>
        <w:t xml:space="preserve"> exist for</w:t>
      </w:r>
      <w:r w:rsidR="008A716D">
        <w:t xml:space="preserve"> specific situations </w:t>
      </w:r>
      <w:r w:rsidR="00411516">
        <w:rPr>
          <w:lang w:val="en-US"/>
        </w:rPr>
        <w:t>that</w:t>
      </w:r>
      <w:r w:rsidR="00411516">
        <w:t xml:space="preserve"> </w:t>
      </w:r>
      <w:r w:rsidR="008A716D">
        <w:t xml:space="preserve">instruct DCS staff to </w:t>
      </w:r>
      <w:r w:rsidR="00411516">
        <w:rPr>
          <w:lang w:val="en-US"/>
        </w:rPr>
        <w:t>determine</w:t>
      </w:r>
      <w:r w:rsidR="008A716D">
        <w:t xml:space="preserve"> if there is a set fee the provider charges for </w:t>
      </w:r>
      <w:r w:rsidR="00411516">
        <w:rPr>
          <w:lang w:val="en-US"/>
        </w:rPr>
        <w:t>providing</w:t>
      </w:r>
      <w:r w:rsidR="00411516">
        <w:t xml:space="preserve"> </w:t>
      </w:r>
      <w:r w:rsidR="008A716D">
        <w:t xml:space="preserve">or patient information. This </w:t>
      </w:r>
      <w:r w:rsidR="00411516">
        <w:rPr>
          <w:lang w:val="en-US"/>
        </w:rPr>
        <w:t>should</w:t>
      </w:r>
      <w:r w:rsidR="00411516">
        <w:t xml:space="preserve"> </w:t>
      </w:r>
      <w:r w:rsidR="008A716D">
        <w:t xml:space="preserve">facilitate cooperation and minimize break offs due to anticipated burden. </w:t>
      </w:r>
      <w:r>
        <w:rPr>
          <w:lang w:val="en-US"/>
        </w:rPr>
        <w:t>H</w:t>
      </w:r>
      <w:proofErr w:type="spellStart"/>
      <w:r w:rsidR="008A716D">
        <w:t>istorical</w:t>
      </w:r>
      <w:proofErr w:type="spellEnd"/>
      <w:r w:rsidR="008A716D">
        <w:t xml:space="preserve"> information</w:t>
      </w:r>
      <w:r w:rsidR="00411516" w:rsidRPr="00411516">
        <w:t xml:space="preserve"> </w:t>
      </w:r>
      <w:r w:rsidR="00411516">
        <w:t xml:space="preserve">from the </w:t>
      </w:r>
      <w:r w:rsidR="003A3FD0">
        <w:rPr>
          <w:lang w:val="en-US"/>
        </w:rPr>
        <w:t>2022</w:t>
      </w:r>
      <w:r w:rsidR="003A3FD0">
        <w:t xml:space="preserve"> </w:t>
      </w:r>
      <w:r w:rsidR="00411516">
        <w:t>MPC</w:t>
      </w:r>
      <w:r w:rsidR="008A716D">
        <w:t xml:space="preserve"> </w:t>
      </w:r>
      <w:r>
        <w:rPr>
          <w:lang w:val="en-US"/>
        </w:rPr>
        <w:t>allows for anticipation of</w:t>
      </w:r>
      <w:r w:rsidR="008A716D">
        <w:t xml:space="preserve"> requests for remuneration from specific providers. </w:t>
      </w:r>
    </w:p>
    <w:p w14:paraId="154EDF61" w14:textId="6DA6F7C7" w:rsidR="008A716D" w:rsidRPr="005A5290" w:rsidRDefault="008A716D" w:rsidP="00FE1160">
      <w:pPr>
        <w:pStyle w:val="BodyText"/>
      </w:pPr>
      <w:r w:rsidRPr="00C8765A">
        <w:t xml:space="preserve">All provider payment requests </w:t>
      </w:r>
      <w:r w:rsidR="00785498">
        <w:rPr>
          <w:lang w:val="en-US"/>
        </w:rPr>
        <w:t>are</w:t>
      </w:r>
      <w:r w:rsidRPr="00C8765A">
        <w:t xml:space="preserve"> maintained using </w:t>
      </w:r>
      <w:r w:rsidR="007321E1">
        <w:rPr>
          <w:lang w:val="en-US"/>
        </w:rPr>
        <w:t>a Windows application database</w:t>
      </w:r>
      <w:r w:rsidRPr="00C8765A">
        <w:t>.</w:t>
      </w:r>
      <w:r>
        <w:t xml:space="preserve"> </w:t>
      </w:r>
      <w:r w:rsidRPr="00C8765A">
        <w:t xml:space="preserve">The </w:t>
      </w:r>
      <w:r w:rsidR="007321E1">
        <w:rPr>
          <w:lang w:val="en-US"/>
        </w:rPr>
        <w:t xml:space="preserve">database will </w:t>
      </w:r>
      <w:r w:rsidRPr="00C8765A">
        <w:t xml:space="preserve">document the provider status and approval process for each </w:t>
      </w:r>
      <w:r w:rsidR="00D03F67">
        <w:rPr>
          <w:lang w:val="en-US"/>
        </w:rPr>
        <w:t>c</w:t>
      </w:r>
      <w:proofErr w:type="spellStart"/>
      <w:r w:rsidRPr="00C8765A">
        <w:t>ontact</w:t>
      </w:r>
      <w:proofErr w:type="spellEnd"/>
      <w:r w:rsidR="008C093C">
        <w:rPr>
          <w:lang w:val="en-US"/>
        </w:rPr>
        <w:t xml:space="preserve"> g</w:t>
      </w:r>
      <w:proofErr w:type="spellStart"/>
      <w:r w:rsidRPr="00C8765A">
        <w:t>roup</w:t>
      </w:r>
      <w:proofErr w:type="spellEnd"/>
      <w:r w:rsidRPr="00C8765A">
        <w:t xml:space="preserve"> requiring payment.</w:t>
      </w:r>
      <w:r>
        <w:t xml:space="preserve"> </w:t>
      </w:r>
      <w:r w:rsidR="007321E1">
        <w:rPr>
          <w:lang w:val="en-US"/>
        </w:rPr>
        <w:t>Data is available</w:t>
      </w:r>
      <w:r w:rsidRPr="00C8765A">
        <w:t xml:space="preserve"> to AHRQ upon request.</w:t>
      </w:r>
    </w:p>
    <w:p w14:paraId="56DE11A2" w14:textId="20C770E2" w:rsidR="007D32C5" w:rsidRDefault="00A26AA3" w:rsidP="00785498">
      <w:pPr>
        <w:pStyle w:val="BodyText"/>
      </w:pPr>
      <w:r>
        <w:rPr>
          <w:lang w:val="en-US"/>
        </w:rPr>
        <w:t>DCSs offer</w:t>
      </w:r>
      <w:r w:rsidR="008A716D" w:rsidRPr="0055248D">
        <w:t xml:space="preserve"> to arrange and pay for FedEx pick-up and delivery of records, as needed.</w:t>
      </w:r>
      <w:bookmarkEnd w:id="131"/>
    </w:p>
    <w:p w14:paraId="414DCD1C" w14:textId="60C29425" w:rsidR="00C729FA" w:rsidRDefault="00C729FA" w:rsidP="00785498">
      <w:pPr>
        <w:pStyle w:val="BodyText"/>
      </w:pPr>
    </w:p>
    <w:p w14:paraId="23BA3BA4" w14:textId="227F2DF6" w:rsidR="00C729FA" w:rsidRDefault="00C729FA" w:rsidP="00785498">
      <w:pPr>
        <w:pStyle w:val="BodyText"/>
      </w:pPr>
    </w:p>
    <w:p w14:paraId="0412F3BD" w14:textId="039672BB" w:rsidR="007E72B7" w:rsidRDefault="007E72B7" w:rsidP="00785498">
      <w:pPr>
        <w:pStyle w:val="BodyText"/>
      </w:pPr>
    </w:p>
    <w:p w14:paraId="3DBC2DFA" w14:textId="77777777" w:rsidR="007E72B7" w:rsidRDefault="007E72B7" w:rsidP="00785498">
      <w:pPr>
        <w:pStyle w:val="BodyText"/>
      </w:pPr>
    </w:p>
    <w:p w14:paraId="1194759F" w14:textId="07710BB0" w:rsidR="00C729FA" w:rsidRDefault="00C729FA" w:rsidP="00785498">
      <w:pPr>
        <w:pStyle w:val="BodyText"/>
      </w:pPr>
    </w:p>
    <w:p w14:paraId="16DA17E3" w14:textId="47D314BD" w:rsidR="00C729FA" w:rsidRDefault="00C729FA" w:rsidP="00785498">
      <w:pPr>
        <w:pStyle w:val="BodyText"/>
      </w:pPr>
    </w:p>
    <w:p w14:paraId="07CF761F" w14:textId="3CF34679" w:rsidR="00C729FA" w:rsidRDefault="00C729FA" w:rsidP="00785498">
      <w:pPr>
        <w:pStyle w:val="BodyText"/>
      </w:pPr>
    </w:p>
    <w:p w14:paraId="5BE3672C" w14:textId="3DF9ED4F" w:rsidR="00C729FA" w:rsidRDefault="00C729FA" w:rsidP="00785498">
      <w:pPr>
        <w:pStyle w:val="BodyText"/>
      </w:pPr>
    </w:p>
    <w:p w14:paraId="3811BFE0" w14:textId="3DC5420A" w:rsidR="00C729FA" w:rsidRPr="00C729FA" w:rsidRDefault="00C729FA" w:rsidP="00785498">
      <w:pPr>
        <w:pStyle w:val="BodyText"/>
        <w:rPr>
          <w:lang w:val="en-US"/>
        </w:rPr>
      </w:pPr>
    </w:p>
    <w:p w14:paraId="3F439124" w14:textId="538351BF" w:rsidR="00C729FA" w:rsidRPr="00670103" w:rsidRDefault="00C729FA" w:rsidP="00C729FA">
      <w:pPr>
        <w:jc w:val="center"/>
        <w:rPr>
          <w:b/>
          <w:bCs/>
        </w:rPr>
      </w:pPr>
      <w:bookmarkStart w:id="139" w:name="_Toc72422862"/>
      <w:r w:rsidRPr="00670103">
        <w:rPr>
          <w:b/>
          <w:bCs/>
        </w:rPr>
        <w:t>Appendix A: MEPS</w:t>
      </w:r>
      <w:r w:rsidR="00CD1C9A">
        <w:rPr>
          <w:b/>
          <w:bCs/>
        </w:rPr>
        <w:t xml:space="preserve"> </w:t>
      </w:r>
      <w:r w:rsidRPr="00670103">
        <w:rPr>
          <w:b/>
          <w:bCs/>
        </w:rPr>
        <w:t>MPC Acronyms</w:t>
      </w:r>
      <w:bookmarkEnd w:id="139"/>
    </w:p>
    <w:p w14:paraId="1E23D7D7" w14:textId="77777777" w:rsidR="00C729FA" w:rsidRPr="00C729FA" w:rsidRDefault="00C729FA" w:rsidP="00C729FA"/>
    <w:tbl>
      <w:tblPr>
        <w:tblW w:w="8856" w:type="dxa"/>
        <w:tblLook w:val="01E0" w:firstRow="1" w:lastRow="1" w:firstColumn="1" w:lastColumn="1" w:noHBand="0" w:noVBand="0"/>
      </w:tblPr>
      <w:tblGrid>
        <w:gridCol w:w="2268"/>
        <w:gridCol w:w="6588"/>
      </w:tblGrid>
      <w:tr w:rsidR="00C729FA" w:rsidRPr="00C729FA" w14:paraId="7FFD78D8" w14:textId="77777777" w:rsidTr="004017C1">
        <w:tc>
          <w:tcPr>
            <w:tcW w:w="2268" w:type="dxa"/>
          </w:tcPr>
          <w:p w14:paraId="601C0AB3" w14:textId="77777777" w:rsidR="00C729FA" w:rsidRPr="00C729FA" w:rsidRDefault="00C729FA" w:rsidP="004017C1">
            <w:r w:rsidRPr="00C729FA">
              <w:t>AF</w:t>
            </w:r>
          </w:p>
        </w:tc>
        <w:tc>
          <w:tcPr>
            <w:tcW w:w="6588" w:type="dxa"/>
          </w:tcPr>
          <w:p w14:paraId="2ED36CB0" w14:textId="77777777" w:rsidR="00C729FA" w:rsidRPr="00C729FA" w:rsidRDefault="00C729FA" w:rsidP="004017C1">
            <w:r w:rsidRPr="00C729FA">
              <w:t>Authorization Form</w:t>
            </w:r>
          </w:p>
        </w:tc>
      </w:tr>
      <w:tr w:rsidR="00C729FA" w:rsidRPr="00C729FA" w14:paraId="4864B8AC" w14:textId="77777777" w:rsidTr="004017C1">
        <w:tc>
          <w:tcPr>
            <w:tcW w:w="2268" w:type="dxa"/>
          </w:tcPr>
          <w:p w14:paraId="3A11FFAA" w14:textId="77777777" w:rsidR="00C729FA" w:rsidRPr="00C729FA" w:rsidRDefault="00C729FA" w:rsidP="004017C1">
            <w:r w:rsidRPr="00C729FA">
              <w:t>AO</w:t>
            </w:r>
          </w:p>
        </w:tc>
        <w:tc>
          <w:tcPr>
            <w:tcW w:w="6588" w:type="dxa"/>
          </w:tcPr>
          <w:p w14:paraId="5F89E6B6" w14:textId="77777777" w:rsidR="00C729FA" w:rsidRPr="00C729FA" w:rsidRDefault="00C729FA" w:rsidP="004017C1">
            <w:r w:rsidRPr="00C729FA">
              <w:t>Administrative Office</w:t>
            </w:r>
          </w:p>
        </w:tc>
      </w:tr>
      <w:tr w:rsidR="00C729FA" w:rsidRPr="00C729FA" w14:paraId="1C9BD662" w14:textId="77777777" w:rsidTr="004017C1">
        <w:tc>
          <w:tcPr>
            <w:tcW w:w="2268" w:type="dxa"/>
          </w:tcPr>
          <w:p w14:paraId="5B0D6F2E" w14:textId="77777777" w:rsidR="00C729FA" w:rsidRPr="00C729FA" w:rsidRDefault="00C729FA" w:rsidP="004017C1">
            <w:r w:rsidRPr="00C729FA">
              <w:t>AHRQ</w:t>
            </w:r>
          </w:p>
        </w:tc>
        <w:tc>
          <w:tcPr>
            <w:tcW w:w="6588" w:type="dxa"/>
          </w:tcPr>
          <w:p w14:paraId="2D6F299A" w14:textId="77777777" w:rsidR="00C729FA" w:rsidRPr="00C729FA" w:rsidRDefault="00C729FA" w:rsidP="004017C1">
            <w:r w:rsidRPr="00C729FA">
              <w:t>Agency for Healthcare Research and Quality</w:t>
            </w:r>
          </w:p>
        </w:tc>
      </w:tr>
      <w:tr w:rsidR="00C729FA" w:rsidRPr="00C729FA" w14:paraId="67DF6B42" w14:textId="77777777" w:rsidTr="004017C1">
        <w:tc>
          <w:tcPr>
            <w:tcW w:w="2268" w:type="dxa"/>
          </w:tcPr>
          <w:p w14:paraId="217C347C" w14:textId="77777777" w:rsidR="00C729FA" w:rsidRPr="00C729FA" w:rsidRDefault="00C729FA" w:rsidP="004017C1">
            <w:r w:rsidRPr="00C729FA">
              <w:t>ABS</w:t>
            </w:r>
          </w:p>
        </w:tc>
        <w:tc>
          <w:tcPr>
            <w:tcW w:w="6588" w:type="dxa"/>
          </w:tcPr>
          <w:p w14:paraId="34F64C71" w14:textId="77777777" w:rsidR="00C729FA" w:rsidRPr="00C729FA" w:rsidRDefault="00C729FA" w:rsidP="004017C1">
            <w:r w:rsidRPr="00C729FA">
              <w:t>Abstractor</w:t>
            </w:r>
          </w:p>
        </w:tc>
      </w:tr>
      <w:tr w:rsidR="00C729FA" w:rsidRPr="00C729FA" w14:paraId="549EF54A" w14:textId="77777777" w:rsidTr="004017C1">
        <w:tc>
          <w:tcPr>
            <w:tcW w:w="2268" w:type="dxa"/>
          </w:tcPr>
          <w:p w14:paraId="0122A583" w14:textId="77777777" w:rsidR="00C729FA" w:rsidRPr="00C729FA" w:rsidRDefault="00C729FA" w:rsidP="004017C1">
            <w:r w:rsidRPr="00C729FA">
              <w:t>ATS</w:t>
            </w:r>
          </w:p>
        </w:tc>
        <w:tc>
          <w:tcPr>
            <w:tcW w:w="6588" w:type="dxa"/>
          </w:tcPr>
          <w:p w14:paraId="29344099" w14:textId="77777777" w:rsidR="00C729FA" w:rsidRPr="00C729FA" w:rsidRDefault="00C729FA" w:rsidP="004017C1">
            <w:r w:rsidRPr="00C729FA">
              <w:t>Assignment Transfer System</w:t>
            </w:r>
          </w:p>
        </w:tc>
      </w:tr>
      <w:tr w:rsidR="00C729FA" w:rsidRPr="00C729FA" w14:paraId="6A2BFE12" w14:textId="77777777" w:rsidTr="004017C1">
        <w:tc>
          <w:tcPr>
            <w:tcW w:w="2268" w:type="dxa"/>
          </w:tcPr>
          <w:p w14:paraId="7134F6B4" w14:textId="77777777" w:rsidR="00C729FA" w:rsidRPr="00C729FA" w:rsidRDefault="00C729FA" w:rsidP="004017C1">
            <w:r w:rsidRPr="00C729FA">
              <w:t>BETOS</w:t>
            </w:r>
          </w:p>
        </w:tc>
        <w:tc>
          <w:tcPr>
            <w:tcW w:w="6588" w:type="dxa"/>
          </w:tcPr>
          <w:p w14:paraId="17E93F3E" w14:textId="77777777" w:rsidR="00C729FA" w:rsidRPr="00C729FA" w:rsidRDefault="00C729FA" w:rsidP="004017C1">
            <w:r w:rsidRPr="00C729FA">
              <w:t>Berenson-Eggers Type of Service Codes (medical procedure and supply codes)</w:t>
            </w:r>
          </w:p>
        </w:tc>
      </w:tr>
      <w:tr w:rsidR="00C729FA" w:rsidRPr="00C729FA" w14:paraId="237A2F47" w14:textId="77777777" w:rsidTr="004017C1">
        <w:tc>
          <w:tcPr>
            <w:tcW w:w="2268" w:type="dxa"/>
          </w:tcPr>
          <w:p w14:paraId="34BEDC7F" w14:textId="77777777" w:rsidR="00C729FA" w:rsidRPr="00C729FA" w:rsidRDefault="00C729FA" w:rsidP="004017C1">
            <w:r w:rsidRPr="00C729FA">
              <w:t>CCB</w:t>
            </w:r>
          </w:p>
        </w:tc>
        <w:tc>
          <w:tcPr>
            <w:tcW w:w="6588" w:type="dxa"/>
          </w:tcPr>
          <w:p w14:paraId="191DB374" w14:textId="77777777" w:rsidR="00C729FA" w:rsidRPr="00C729FA" w:rsidRDefault="00C729FA" w:rsidP="004017C1">
            <w:pPr>
              <w:rPr>
                <w:rFonts w:cs="Verdana"/>
                <w:spacing w:val="-1"/>
                <w:szCs w:val="22"/>
              </w:rPr>
            </w:pPr>
            <w:r w:rsidRPr="00C729FA">
              <w:rPr>
                <w:rFonts w:cs="Verdana"/>
                <w:spacing w:val="-1"/>
                <w:szCs w:val="22"/>
              </w:rPr>
              <w:t>Change Control Board</w:t>
            </w:r>
          </w:p>
        </w:tc>
      </w:tr>
      <w:tr w:rsidR="00C729FA" w:rsidRPr="00C729FA" w14:paraId="215F3D2D" w14:textId="77777777" w:rsidTr="004017C1">
        <w:tc>
          <w:tcPr>
            <w:tcW w:w="2268" w:type="dxa"/>
          </w:tcPr>
          <w:p w14:paraId="21746ADF" w14:textId="77777777" w:rsidR="00C729FA" w:rsidRPr="00C729FA" w:rsidRDefault="00C729FA" w:rsidP="004017C1">
            <w:r w:rsidRPr="00C729FA">
              <w:t>CCSR</w:t>
            </w:r>
          </w:p>
        </w:tc>
        <w:tc>
          <w:tcPr>
            <w:tcW w:w="6588" w:type="dxa"/>
          </w:tcPr>
          <w:p w14:paraId="0A34A9B5" w14:textId="77777777" w:rsidR="00C729FA" w:rsidRPr="00C729FA" w:rsidRDefault="00C729FA" w:rsidP="004017C1">
            <w:pPr>
              <w:rPr>
                <w:rFonts w:cs="Verdana"/>
                <w:spacing w:val="-1"/>
                <w:szCs w:val="22"/>
              </w:rPr>
            </w:pPr>
            <w:r w:rsidRPr="00C729FA">
              <w:rPr>
                <w:rFonts w:cs="Verdana"/>
                <w:spacing w:val="-1"/>
                <w:szCs w:val="22"/>
              </w:rPr>
              <w:t>Clinical Classification Software Refined (coding scheme developed by AHRQ that converts ICD-10 codes into other codes used for matching, imputation, and analysis)</w:t>
            </w:r>
          </w:p>
        </w:tc>
      </w:tr>
      <w:tr w:rsidR="00C729FA" w:rsidRPr="00C729FA" w14:paraId="57451A22" w14:textId="77777777" w:rsidTr="004017C1">
        <w:tc>
          <w:tcPr>
            <w:tcW w:w="2268" w:type="dxa"/>
          </w:tcPr>
          <w:p w14:paraId="5DBAB892" w14:textId="77777777" w:rsidR="00C729FA" w:rsidRPr="00C729FA" w:rsidRDefault="00C729FA" w:rsidP="004017C1">
            <w:r w:rsidRPr="00C729FA">
              <w:t>CHAMPVA</w:t>
            </w:r>
          </w:p>
        </w:tc>
        <w:tc>
          <w:tcPr>
            <w:tcW w:w="6588" w:type="dxa"/>
          </w:tcPr>
          <w:p w14:paraId="5F478EFB" w14:textId="77777777" w:rsidR="00C729FA" w:rsidRPr="00C729FA" w:rsidRDefault="00C729FA" w:rsidP="004017C1">
            <w:r w:rsidRPr="00C729FA">
              <w:rPr>
                <w:rFonts w:cs="Verdana"/>
                <w:spacing w:val="-1"/>
                <w:szCs w:val="22"/>
              </w:rPr>
              <w:t>Civilian</w:t>
            </w:r>
            <w:r w:rsidRPr="00C729FA">
              <w:rPr>
                <w:rFonts w:cs="Verdana"/>
                <w:szCs w:val="22"/>
              </w:rPr>
              <w:t xml:space="preserve"> </w:t>
            </w:r>
            <w:r w:rsidRPr="00C729FA">
              <w:rPr>
                <w:rFonts w:cs="Verdana"/>
                <w:spacing w:val="-1"/>
                <w:szCs w:val="22"/>
              </w:rPr>
              <w:t>Health</w:t>
            </w:r>
            <w:r w:rsidRPr="00C729FA">
              <w:rPr>
                <w:rFonts w:cs="Verdana"/>
                <w:spacing w:val="2"/>
                <w:szCs w:val="22"/>
              </w:rPr>
              <w:t xml:space="preserve"> </w:t>
            </w:r>
            <w:r w:rsidRPr="00C729FA">
              <w:rPr>
                <w:rFonts w:cs="Verdana"/>
                <w:szCs w:val="22"/>
              </w:rPr>
              <w:t xml:space="preserve">and </w:t>
            </w:r>
            <w:r w:rsidRPr="00C729FA">
              <w:rPr>
                <w:rFonts w:cs="Verdana"/>
                <w:spacing w:val="-1"/>
                <w:szCs w:val="22"/>
              </w:rPr>
              <w:t>Medical Program</w:t>
            </w:r>
            <w:r w:rsidRPr="00C729FA">
              <w:rPr>
                <w:rFonts w:cs="Verdana"/>
                <w:szCs w:val="22"/>
              </w:rPr>
              <w:t xml:space="preserve"> of the</w:t>
            </w:r>
            <w:r w:rsidRPr="00C729FA">
              <w:rPr>
                <w:rFonts w:cs="Verdana"/>
                <w:spacing w:val="-4"/>
                <w:szCs w:val="22"/>
              </w:rPr>
              <w:t xml:space="preserve"> </w:t>
            </w:r>
            <w:r w:rsidRPr="00C729FA">
              <w:rPr>
                <w:rFonts w:cs="Verdana"/>
                <w:spacing w:val="-1"/>
                <w:szCs w:val="22"/>
              </w:rPr>
              <w:t>Department</w:t>
            </w:r>
            <w:r w:rsidRPr="00C729FA">
              <w:rPr>
                <w:rFonts w:cs="Verdana"/>
                <w:szCs w:val="22"/>
              </w:rPr>
              <w:t xml:space="preserve"> of </w:t>
            </w:r>
            <w:r w:rsidRPr="00C729FA">
              <w:rPr>
                <w:rFonts w:cs="Verdana"/>
                <w:spacing w:val="-1"/>
                <w:szCs w:val="22"/>
              </w:rPr>
              <w:t>Veteran’s</w:t>
            </w:r>
            <w:r w:rsidRPr="00C729FA">
              <w:rPr>
                <w:rFonts w:cs="Verdana"/>
                <w:szCs w:val="22"/>
              </w:rPr>
              <w:t xml:space="preserve"> </w:t>
            </w:r>
            <w:r w:rsidRPr="00C729FA">
              <w:rPr>
                <w:rFonts w:cs="Verdana"/>
                <w:spacing w:val="-1"/>
                <w:szCs w:val="22"/>
              </w:rPr>
              <w:t>Affairs</w:t>
            </w:r>
          </w:p>
        </w:tc>
      </w:tr>
      <w:tr w:rsidR="00C729FA" w:rsidRPr="00C729FA" w14:paraId="41D00034" w14:textId="77777777" w:rsidTr="004017C1">
        <w:tc>
          <w:tcPr>
            <w:tcW w:w="2268" w:type="dxa"/>
          </w:tcPr>
          <w:p w14:paraId="11087A39" w14:textId="77777777" w:rsidR="00C729FA" w:rsidRPr="00C729FA" w:rsidRDefault="00C729FA" w:rsidP="004017C1">
            <w:r w:rsidRPr="00C729FA">
              <w:t>CMS</w:t>
            </w:r>
          </w:p>
        </w:tc>
        <w:tc>
          <w:tcPr>
            <w:tcW w:w="6588" w:type="dxa"/>
          </w:tcPr>
          <w:p w14:paraId="0D459774" w14:textId="77777777" w:rsidR="00C729FA" w:rsidRPr="00C729FA" w:rsidRDefault="00C729FA" w:rsidP="004017C1">
            <w:r w:rsidRPr="00C729FA">
              <w:t>Case Management System</w:t>
            </w:r>
          </w:p>
        </w:tc>
      </w:tr>
      <w:tr w:rsidR="00C729FA" w:rsidRPr="00C729FA" w14:paraId="7B7388DC" w14:textId="77777777" w:rsidTr="004017C1">
        <w:tc>
          <w:tcPr>
            <w:tcW w:w="2268" w:type="dxa"/>
          </w:tcPr>
          <w:p w14:paraId="63A4942B" w14:textId="77777777" w:rsidR="00C729FA" w:rsidRPr="00C729FA" w:rsidRDefault="00C729FA" w:rsidP="004017C1">
            <w:r w:rsidRPr="00C729FA">
              <w:t>CPT-4</w:t>
            </w:r>
          </w:p>
        </w:tc>
        <w:tc>
          <w:tcPr>
            <w:tcW w:w="6588" w:type="dxa"/>
          </w:tcPr>
          <w:p w14:paraId="3BD52830" w14:textId="77777777" w:rsidR="00C729FA" w:rsidRPr="00C729FA" w:rsidRDefault="00C729FA" w:rsidP="004017C1">
            <w:r w:rsidRPr="00C729FA">
              <w:t xml:space="preserve">Current Procedural Terminology 4th Edition (medical procedure and service codes) </w:t>
            </w:r>
          </w:p>
        </w:tc>
      </w:tr>
      <w:tr w:rsidR="00C729FA" w:rsidRPr="00C729FA" w14:paraId="7796E7AC" w14:textId="77777777" w:rsidTr="004017C1">
        <w:tc>
          <w:tcPr>
            <w:tcW w:w="2268" w:type="dxa"/>
          </w:tcPr>
          <w:p w14:paraId="1A564E72" w14:textId="77777777" w:rsidR="00C729FA" w:rsidRPr="00C729FA" w:rsidRDefault="00C729FA" w:rsidP="004017C1">
            <w:r w:rsidRPr="00C729FA">
              <w:t>CS</w:t>
            </w:r>
          </w:p>
        </w:tc>
        <w:tc>
          <w:tcPr>
            <w:tcW w:w="6588" w:type="dxa"/>
          </w:tcPr>
          <w:p w14:paraId="7C0C1BE4" w14:textId="77777777" w:rsidR="00C729FA" w:rsidRPr="00C729FA" w:rsidRDefault="00C729FA" w:rsidP="004017C1">
            <w:r w:rsidRPr="00C729FA">
              <w:t>Control System</w:t>
            </w:r>
          </w:p>
        </w:tc>
      </w:tr>
      <w:tr w:rsidR="00C729FA" w:rsidRPr="00C729FA" w14:paraId="48954FCE" w14:textId="77777777" w:rsidTr="004017C1">
        <w:tc>
          <w:tcPr>
            <w:tcW w:w="2268" w:type="dxa"/>
          </w:tcPr>
          <w:p w14:paraId="73429669" w14:textId="77777777" w:rsidR="00C729FA" w:rsidRPr="00C729FA" w:rsidRDefault="00C729FA" w:rsidP="004017C1">
            <w:r w:rsidRPr="00C729FA">
              <w:t>DCS</w:t>
            </w:r>
          </w:p>
        </w:tc>
        <w:tc>
          <w:tcPr>
            <w:tcW w:w="6588" w:type="dxa"/>
          </w:tcPr>
          <w:p w14:paraId="5C912DC2" w14:textId="77777777" w:rsidR="00C729FA" w:rsidRPr="00C729FA" w:rsidRDefault="00C729FA" w:rsidP="004017C1">
            <w:r w:rsidRPr="00C729FA">
              <w:t>Data Collection Specialist</w:t>
            </w:r>
          </w:p>
        </w:tc>
      </w:tr>
      <w:tr w:rsidR="00C729FA" w:rsidRPr="00C729FA" w14:paraId="1ABDBA92" w14:textId="77777777" w:rsidTr="004017C1">
        <w:tc>
          <w:tcPr>
            <w:tcW w:w="2268" w:type="dxa"/>
          </w:tcPr>
          <w:p w14:paraId="232373FE" w14:textId="77777777" w:rsidR="00C729FA" w:rsidRPr="00C729FA" w:rsidRDefault="00C729FA" w:rsidP="004017C1">
            <w:r w:rsidRPr="00C729FA">
              <w:t>DPM</w:t>
            </w:r>
          </w:p>
        </w:tc>
        <w:tc>
          <w:tcPr>
            <w:tcW w:w="6588" w:type="dxa"/>
          </w:tcPr>
          <w:p w14:paraId="2225AF2B" w14:textId="77777777" w:rsidR="00C729FA" w:rsidRPr="00C729FA" w:rsidRDefault="00C729FA" w:rsidP="004017C1">
            <w:r w:rsidRPr="00C729FA">
              <w:t>Document Processing Module</w:t>
            </w:r>
          </w:p>
        </w:tc>
      </w:tr>
      <w:tr w:rsidR="00C729FA" w:rsidRPr="00C729FA" w14:paraId="6926B2ED" w14:textId="77777777" w:rsidTr="004017C1">
        <w:tc>
          <w:tcPr>
            <w:tcW w:w="2268" w:type="dxa"/>
          </w:tcPr>
          <w:p w14:paraId="7BAB447C" w14:textId="77777777" w:rsidR="00C729FA" w:rsidRPr="00C729FA" w:rsidRDefault="00C729FA" w:rsidP="004017C1">
            <w:pPr>
              <w:rPr>
                <w:szCs w:val="22"/>
              </w:rPr>
            </w:pPr>
            <w:r w:rsidRPr="00C729FA">
              <w:rPr>
                <w:szCs w:val="22"/>
              </w:rPr>
              <w:t>DQ</w:t>
            </w:r>
          </w:p>
        </w:tc>
        <w:tc>
          <w:tcPr>
            <w:tcW w:w="6588" w:type="dxa"/>
          </w:tcPr>
          <w:p w14:paraId="746F33E4" w14:textId="77777777" w:rsidR="00C729FA" w:rsidRPr="00C729FA" w:rsidRDefault="00C729FA" w:rsidP="004017C1">
            <w:r w:rsidRPr="00C729FA">
              <w:t>Data Quality</w:t>
            </w:r>
          </w:p>
        </w:tc>
      </w:tr>
      <w:tr w:rsidR="00C729FA" w:rsidRPr="00C729FA" w14:paraId="51772214" w14:textId="77777777" w:rsidTr="004017C1">
        <w:tc>
          <w:tcPr>
            <w:tcW w:w="2268" w:type="dxa"/>
          </w:tcPr>
          <w:p w14:paraId="0CAB2D1B" w14:textId="77777777" w:rsidR="00C729FA" w:rsidRPr="00C729FA" w:rsidRDefault="00C729FA" w:rsidP="004017C1">
            <w:pPr>
              <w:rPr>
                <w:szCs w:val="22"/>
              </w:rPr>
            </w:pPr>
            <w:r w:rsidRPr="00C729FA">
              <w:rPr>
                <w:szCs w:val="22"/>
              </w:rPr>
              <w:t>DR</w:t>
            </w:r>
          </w:p>
        </w:tc>
        <w:tc>
          <w:tcPr>
            <w:tcW w:w="6588" w:type="dxa"/>
          </w:tcPr>
          <w:p w14:paraId="1DEE13B7" w14:textId="77777777" w:rsidR="00C729FA" w:rsidRPr="00C729FA" w:rsidRDefault="00C729FA" w:rsidP="004017C1">
            <w:r w:rsidRPr="00C729FA">
              <w:t>Data Retrieval</w:t>
            </w:r>
          </w:p>
        </w:tc>
      </w:tr>
      <w:tr w:rsidR="00C729FA" w:rsidRPr="00C729FA" w14:paraId="4CC82FC9" w14:textId="77777777" w:rsidTr="004017C1">
        <w:tc>
          <w:tcPr>
            <w:tcW w:w="2268" w:type="dxa"/>
          </w:tcPr>
          <w:p w14:paraId="626347DC" w14:textId="77777777" w:rsidR="00C729FA" w:rsidRPr="00C729FA" w:rsidRDefault="00C729FA" w:rsidP="004017C1">
            <w:proofErr w:type="spellStart"/>
            <w:r w:rsidRPr="00C729FA">
              <w:rPr>
                <w:szCs w:val="22"/>
              </w:rPr>
              <w:t>eANF</w:t>
            </w:r>
            <w:proofErr w:type="spellEnd"/>
          </w:p>
        </w:tc>
        <w:tc>
          <w:tcPr>
            <w:tcW w:w="6588" w:type="dxa"/>
          </w:tcPr>
          <w:p w14:paraId="15C8A0A9" w14:textId="77777777" w:rsidR="00C729FA" w:rsidRPr="00C729FA" w:rsidRDefault="00C729FA" w:rsidP="004017C1">
            <w:r w:rsidRPr="00C729FA">
              <w:t>Electronic Abstraction Notes Form</w:t>
            </w:r>
          </w:p>
        </w:tc>
      </w:tr>
      <w:tr w:rsidR="00C729FA" w:rsidRPr="00C729FA" w14:paraId="6AE6CEB3" w14:textId="77777777" w:rsidTr="004017C1">
        <w:tc>
          <w:tcPr>
            <w:tcW w:w="2268" w:type="dxa"/>
          </w:tcPr>
          <w:p w14:paraId="1F83E0AC" w14:textId="77777777" w:rsidR="00C729FA" w:rsidRPr="00C729FA" w:rsidRDefault="00C729FA" w:rsidP="004017C1">
            <w:r w:rsidRPr="00C729FA">
              <w:t>GPI</w:t>
            </w:r>
          </w:p>
        </w:tc>
        <w:tc>
          <w:tcPr>
            <w:tcW w:w="6588" w:type="dxa"/>
          </w:tcPr>
          <w:p w14:paraId="214EE653" w14:textId="77777777" w:rsidR="00C729FA" w:rsidRPr="00C729FA" w:rsidRDefault="00C729FA" w:rsidP="004017C1">
            <w:r w:rsidRPr="00C729FA">
              <w:t>General Product Identifier (prescribed medication codes)</w:t>
            </w:r>
          </w:p>
        </w:tc>
      </w:tr>
      <w:tr w:rsidR="00C729FA" w:rsidRPr="00C729FA" w14:paraId="3A071BA3" w14:textId="77777777" w:rsidTr="004017C1">
        <w:tc>
          <w:tcPr>
            <w:tcW w:w="2268" w:type="dxa"/>
          </w:tcPr>
          <w:p w14:paraId="3D165917" w14:textId="77777777" w:rsidR="00C729FA" w:rsidRPr="00C729FA" w:rsidRDefault="00C729FA" w:rsidP="004017C1">
            <w:r w:rsidRPr="00C729FA">
              <w:t>HCUP</w:t>
            </w:r>
          </w:p>
        </w:tc>
        <w:tc>
          <w:tcPr>
            <w:tcW w:w="6588" w:type="dxa"/>
          </w:tcPr>
          <w:p w14:paraId="1D64AB2A" w14:textId="77777777" w:rsidR="00C729FA" w:rsidRPr="00C729FA" w:rsidRDefault="00C729FA" w:rsidP="004017C1">
            <w:r w:rsidRPr="00C729FA">
              <w:t>Healthcare Cost and Utilization Project (AHRQ website checked for updated CCSR codes)</w:t>
            </w:r>
          </w:p>
        </w:tc>
      </w:tr>
      <w:tr w:rsidR="00C729FA" w:rsidRPr="00C729FA" w14:paraId="7D26EA97" w14:textId="77777777" w:rsidTr="004017C1">
        <w:tc>
          <w:tcPr>
            <w:tcW w:w="2268" w:type="dxa"/>
          </w:tcPr>
          <w:p w14:paraId="3DBC0A97" w14:textId="77777777" w:rsidR="00C729FA" w:rsidRPr="00C729FA" w:rsidRDefault="00C729FA" w:rsidP="004017C1">
            <w:r w:rsidRPr="00C729FA">
              <w:t>HIPAA</w:t>
            </w:r>
          </w:p>
        </w:tc>
        <w:tc>
          <w:tcPr>
            <w:tcW w:w="6588" w:type="dxa"/>
          </w:tcPr>
          <w:p w14:paraId="71EF1C8B" w14:textId="77777777" w:rsidR="00C729FA" w:rsidRPr="00C729FA" w:rsidRDefault="00C729FA" w:rsidP="004017C1">
            <w:r w:rsidRPr="00C729FA">
              <w:t xml:space="preserve">Health Insurance Portability and Accountability Act </w:t>
            </w:r>
          </w:p>
        </w:tc>
      </w:tr>
      <w:tr w:rsidR="00C729FA" w:rsidRPr="00C729FA" w14:paraId="6B178B26" w14:textId="77777777" w:rsidTr="004017C1">
        <w:tc>
          <w:tcPr>
            <w:tcW w:w="2268" w:type="dxa"/>
          </w:tcPr>
          <w:p w14:paraId="5902AAD9" w14:textId="77777777" w:rsidR="00C729FA" w:rsidRPr="00C729FA" w:rsidRDefault="00C729FA" w:rsidP="004017C1">
            <w:r w:rsidRPr="00C729FA">
              <w:t>HPC</w:t>
            </w:r>
          </w:p>
        </w:tc>
        <w:tc>
          <w:tcPr>
            <w:tcW w:w="6588" w:type="dxa"/>
          </w:tcPr>
          <w:p w14:paraId="56613ABF" w14:textId="2E077400" w:rsidR="00C729FA" w:rsidRPr="00C729FA" w:rsidRDefault="00C729FA" w:rsidP="004017C1">
            <w:r w:rsidRPr="00C729FA">
              <w:t>Hours Per Case</w:t>
            </w:r>
          </w:p>
        </w:tc>
      </w:tr>
      <w:tr w:rsidR="00C729FA" w:rsidRPr="00C729FA" w14:paraId="43022165" w14:textId="77777777" w:rsidTr="004017C1">
        <w:tc>
          <w:tcPr>
            <w:tcW w:w="2268" w:type="dxa"/>
          </w:tcPr>
          <w:p w14:paraId="6376ED09" w14:textId="77777777" w:rsidR="00C729FA" w:rsidRPr="00C729FA" w:rsidRDefault="00C729FA" w:rsidP="004017C1">
            <w:r w:rsidRPr="00C729FA">
              <w:t>ICD-10</w:t>
            </w:r>
          </w:p>
        </w:tc>
        <w:tc>
          <w:tcPr>
            <w:tcW w:w="6588" w:type="dxa"/>
          </w:tcPr>
          <w:p w14:paraId="64704B35" w14:textId="77777777" w:rsidR="00C729FA" w:rsidRPr="00C729FA" w:rsidRDefault="00C729FA" w:rsidP="004017C1">
            <w:r w:rsidRPr="00C729FA">
              <w:t>International Classification of Diseases 10</w:t>
            </w:r>
            <w:r w:rsidRPr="00C729FA">
              <w:rPr>
                <w:vertAlign w:val="superscript"/>
              </w:rPr>
              <w:t>th</w:t>
            </w:r>
            <w:r w:rsidRPr="00C729FA">
              <w:t xml:space="preserve"> Revision (medical condition codes) </w:t>
            </w:r>
          </w:p>
        </w:tc>
      </w:tr>
      <w:tr w:rsidR="00C729FA" w:rsidRPr="00C729FA" w14:paraId="30979D21" w14:textId="77777777" w:rsidTr="004017C1">
        <w:tc>
          <w:tcPr>
            <w:tcW w:w="2268" w:type="dxa"/>
          </w:tcPr>
          <w:p w14:paraId="43C8042C" w14:textId="77777777" w:rsidR="00C729FA" w:rsidRPr="00C729FA" w:rsidRDefault="00C729FA" w:rsidP="004017C1">
            <w:r w:rsidRPr="00C729FA">
              <w:t>IDCS</w:t>
            </w:r>
          </w:p>
        </w:tc>
        <w:tc>
          <w:tcPr>
            <w:tcW w:w="6588" w:type="dxa"/>
          </w:tcPr>
          <w:p w14:paraId="6B54D5B6" w14:textId="77777777" w:rsidR="00C729FA" w:rsidRPr="00C729FA" w:rsidRDefault="00C729FA" w:rsidP="004017C1">
            <w:r w:rsidRPr="00C729FA">
              <w:t>Integrated Data Collection System</w:t>
            </w:r>
          </w:p>
        </w:tc>
      </w:tr>
      <w:tr w:rsidR="00C729FA" w:rsidRPr="00C729FA" w14:paraId="322D5E84" w14:textId="77777777" w:rsidTr="004017C1">
        <w:tc>
          <w:tcPr>
            <w:tcW w:w="2268" w:type="dxa"/>
          </w:tcPr>
          <w:p w14:paraId="4373D820" w14:textId="77777777" w:rsidR="00C729FA" w:rsidRPr="00C729FA" w:rsidRDefault="00C729FA" w:rsidP="004017C1">
            <w:r w:rsidRPr="00C729FA">
              <w:t>LOS</w:t>
            </w:r>
          </w:p>
        </w:tc>
        <w:tc>
          <w:tcPr>
            <w:tcW w:w="6588" w:type="dxa"/>
          </w:tcPr>
          <w:p w14:paraId="4E3714FF" w14:textId="77777777" w:rsidR="00C729FA" w:rsidRPr="00C729FA" w:rsidRDefault="00C729FA" w:rsidP="004017C1">
            <w:r w:rsidRPr="00C729FA">
              <w:t>Location of Service</w:t>
            </w:r>
          </w:p>
        </w:tc>
      </w:tr>
      <w:tr w:rsidR="00C729FA" w:rsidRPr="00C729FA" w14:paraId="4D8F2D27" w14:textId="77777777" w:rsidTr="004017C1">
        <w:tc>
          <w:tcPr>
            <w:tcW w:w="2268" w:type="dxa"/>
          </w:tcPr>
          <w:p w14:paraId="118FCCAA" w14:textId="77777777" w:rsidR="00C729FA" w:rsidRPr="00C729FA" w:rsidRDefault="00C729FA" w:rsidP="004017C1">
            <w:r w:rsidRPr="00C729FA">
              <w:t>MEPS</w:t>
            </w:r>
          </w:p>
        </w:tc>
        <w:tc>
          <w:tcPr>
            <w:tcW w:w="6588" w:type="dxa"/>
          </w:tcPr>
          <w:p w14:paraId="54AB6003" w14:textId="77777777" w:rsidR="00C729FA" w:rsidRPr="00C729FA" w:rsidRDefault="00C729FA" w:rsidP="004017C1">
            <w:r w:rsidRPr="00C729FA">
              <w:t>Medical Expenditure Panel Survey</w:t>
            </w:r>
          </w:p>
        </w:tc>
      </w:tr>
      <w:tr w:rsidR="00C729FA" w:rsidRPr="00C729FA" w14:paraId="6F21FCDB" w14:textId="77777777" w:rsidTr="004017C1">
        <w:tc>
          <w:tcPr>
            <w:tcW w:w="2268" w:type="dxa"/>
          </w:tcPr>
          <w:p w14:paraId="08C417C0" w14:textId="4910DBEA" w:rsidR="00C729FA" w:rsidRPr="00C729FA" w:rsidRDefault="00C729FA" w:rsidP="004017C1">
            <w:r w:rsidRPr="00C729FA">
              <w:t>MEPS</w:t>
            </w:r>
            <w:r w:rsidR="00CD1C9A">
              <w:t xml:space="preserve"> </w:t>
            </w:r>
            <w:r w:rsidRPr="00C729FA">
              <w:t>HC (HC)</w:t>
            </w:r>
          </w:p>
        </w:tc>
        <w:tc>
          <w:tcPr>
            <w:tcW w:w="6588" w:type="dxa"/>
          </w:tcPr>
          <w:p w14:paraId="65CFC769" w14:textId="77777777" w:rsidR="00C729FA" w:rsidRPr="00C729FA" w:rsidRDefault="00C729FA" w:rsidP="004017C1">
            <w:r w:rsidRPr="00C729FA">
              <w:t>Household Component of the MEPS</w:t>
            </w:r>
          </w:p>
        </w:tc>
      </w:tr>
      <w:tr w:rsidR="00C729FA" w:rsidRPr="00C729FA" w14:paraId="0439CBB2" w14:textId="77777777" w:rsidTr="004017C1">
        <w:tc>
          <w:tcPr>
            <w:tcW w:w="2268" w:type="dxa"/>
          </w:tcPr>
          <w:p w14:paraId="05EE451D" w14:textId="26D182D7" w:rsidR="00C729FA" w:rsidRPr="00C729FA" w:rsidRDefault="00C729FA" w:rsidP="004017C1">
            <w:r w:rsidRPr="00C729FA">
              <w:t>MEPS</w:t>
            </w:r>
            <w:r w:rsidR="00CD1C9A">
              <w:t xml:space="preserve"> </w:t>
            </w:r>
            <w:r w:rsidRPr="00C729FA">
              <w:t>MPC (MPC)</w:t>
            </w:r>
          </w:p>
        </w:tc>
        <w:tc>
          <w:tcPr>
            <w:tcW w:w="6588" w:type="dxa"/>
          </w:tcPr>
          <w:p w14:paraId="20DE1E36" w14:textId="77777777" w:rsidR="00C729FA" w:rsidRPr="00C729FA" w:rsidRDefault="00C729FA" w:rsidP="004017C1">
            <w:r w:rsidRPr="00C729FA">
              <w:t>Medical Provider Component of the MEPS</w:t>
            </w:r>
          </w:p>
        </w:tc>
      </w:tr>
      <w:tr w:rsidR="00C729FA" w:rsidRPr="00C729FA" w14:paraId="2743A90E" w14:textId="77777777" w:rsidTr="004017C1">
        <w:tc>
          <w:tcPr>
            <w:tcW w:w="2268" w:type="dxa"/>
          </w:tcPr>
          <w:p w14:paraId="3848297B" w14:textId="77777777" w:rsidR="00C729FA" w:rsidRPr="00C729FA" w:rsidRDefault="00C729FA" w:rsidP="004017C1">
            <w:r w:rsidRPr="00C729FA">
              <w:t>MR</w:t>
            </w:r>
          </w:p>
        </w:tc>
        <w:tc>
          <w:tcPr>
            <w:tcW w:w="6588" w:type="dxa"/>
          </w:tcPr>
          <w:p w14:paraId="436C27E7" w14:textId="77777777" w:rsidR="00C729FA" w:rsidRPr="00C729FA" w:rsidRDefault="00C729FA" w:rsidP="004017C1">
            <w:r w:rsidRPr="00C729FA">
              <w:t>Medical Records</w:t>
            </w:r>
          </w:p>
        </w:tc>
      </w:tr>
      <w:tr w:rsidR="00C729FA" w:rsidRPr="00C729FA" w14:paraId="44974A6C" w14:textId="77777777" w:rsidTr="004017C1">
        <w:tc>
          <w:tcPr>
            <w:tcW w:w="2268" w:type="dxa"/>
          </w:tcPr>
          <w:p w14:paraId="69B93348" w14:textId="77777777" w:rsidR="00C729FA" w:rsidRPr="00C729FA" w:rsidRDefault="00C729FA" w:rsidP="004017C1">
            <w:r w:rsidRPr="00C729FA">
              <w:t>NDC</w:t>
            </w:r>
          </w:p>
        </w:tc>
        <w:tc>
          <w:tcPr>
            <w:tcW w:w="6588" w:type="dxa"/>
          </w:tcPr>
          <w:p w14:paraId="00F15004" w14:textId="77777777" w:rsidR="00C729FA" w:rsidRPr="00C729FA" w:rsidRDefault="00C729FA" w:rsidP="004017C1">
            <w:r w:rsidRPr="00C729FA">
              <w:t>National Drug Code</w:t>
            </w:r>
          </w:p>
        </w:tc>
      </w:tr>
      <w:tr w:rsidR="00C729FA" w:rsidRPr="00C729FA" w14:paraId="00FC6675" w14:textId="77777777" w:rsidTr="004017C1">
        <w:tc>
          <w:tcPr>
            <w:tcW w:w="2268" w:type="dxa"/>
          </w:tcPr>
          <w:p w14:paraId="7B0EE813" w14:textId="77777777" w:rsidR="00C729FA" w:rsidRPr="00C729FA" w:rsidRDefault="00C729FA" w:rsidP="004017C1">
            <w:r w:rsidRPr="00C729FA">
              <w:t>NPI</w:t>
            </w:r>
          </w:p>
        </w:tc>
        <w:tc>
          <w:tcPr>
            <w:tcW w:w="6588" w:type="dxa"/>
          </w:tcPr>
          <w:p w14:paraId="05EA1A37" w14:textId="77777777" w:rsidR="00C729FA" w:rsidRPr="00C729FA" w:rsidRDefault="00C729FA" w:rsidP="004017C1">
            <w:r w:rsidRPr="00C729FA">
              <w:t>National Provider Identifier</w:t>
            </w:r>
          </w:p>
        </w:tc>
      </w:tr>
      <w:tr w:rsidR="00C729FA" w:rsidRPr="00C729FA" w14:paraId="022A289D" w14:textId="77777777" w:rsidTr="004017C1">
        <w:tc>
          <w:tcPr>
            <w:tcW w:w="2268" w:type="dxa"/>
          </w:tcPr>
          <w:p w14:paraId="6DF34C00" w14:textId="77777777" w:rsidR="00C729FA" w:rsidRPr="00C729FA" w:rsidRDefault="00C729FA" w:rsidP="004017C1">
            <w:r w:rsidRPr="00C729FA">
              <w:t>NTP</w:t>
            </w:r>
          </w:p>
        </w:tc>
        <w:tc>
          <w:tcPr>
            <w:tcW w:w="6588" w:type="dxa"/>
          </w:tcPr>
          <w:p w14:paraId="29B7905E" w14:textId="77777777" w:rsidR="00C729FA" w:rsidRPr="00C729FA" w:rsidRDefault="00C729FA" w:rsidP="004017C1">
            <w:r w:rsidRPr="00C729FA">
              <w:t>New to Project</w:t>
            </w:r>
          </w:p>
        </w:tc>
      </w:tr>
      <w:tr w:rsidR="00C729FA" w:rsidRPr="00C729FA" w14:paraId="77837B47" w14:textId="77777777" w:rsidTr="004017C1">
        <w:tc>
          <w:tcPr>
            <w:tcW w:w="2268" w:type="dxa"/>
          </w:tcPr>
          <w:p w14:paraId="2664C6EF" w14:textId="77777777" w:rsidR="00C729FA" w:rsidRPr="00C729FA" w:rsidRDefault="00C729FA" w:rsidP="004017C1">
            <w:r w:rsidRPr="00C729FA">
              <w:t>OBD</w:t>
            </w:r>
          </w:p>
        </w:tc>
        <w:tc>
          <w:tcPr>
            <w:tcW w:w="6588" w:type="dxa"/>
          </w:tcPr>
          <w:p w14:paraId="033085A3" w14:textId="77777777" w:rsidR="00C729FA" w:rsidRPr="00C729FA" w:rsidRDefault="00C729FA" w:rsidP="004017C1">
            <w:r w:rsidRPr="00C729FA">
              <w:t>Office-Based Doctor</w:t>
            </w:r>
          </w:p>
        </w:tc>
      </w:tr>
      <w:tr w:rsidR="00C729FA" w:rsidRPr="00C729FA" w14:paraId="07112E2F" w14:textId="77777777" w:rsidTr="004017C1">
        <w:tc>
          <w:tcPr>
            <w:tcW w:w="2268" w:type="dxa"/>
          </w:tcPr>
          <w:p w14:paraId="0A1D546D" w14:textId="77777777" w:rsidR="00C729FA" w:rsidRPr="00C729FA" w:rsidRDefault="00C729FA" w:rsidP="004017C1">
            <w:r w:rsidRPr="00C729FA">
              <w:t>PA</w:t>
            </w:r>
          </w:p>
        </w:tc>
        <w:tc>
          <w:tcPr>
            <w:tcW w:w="6588" w:type="dxa"/>
          </w:tcPr>
          <w:p w14:paraId="223C86EE" w14:textId="77777777" w:rsidR="00C729FA" w:rsidRPr="00C729FA" w:rsidRDefault="00C729FA" w:rsidP="004017C1">
            <w:r w:rsidRPr="00C729FA">
              <w:t>Patient Accounts</w:t>
            </w:r>
          </w:p>
        </w:tc>
      </w:tr>
      <w:tr w:rsidR="00C729FA" w:rsidRPr="00C729FA" w14:paraId="5031A329" w14:textId="77777777" w:rsidTr="004017C1">
        <w:tc>
          <w:tcPr>
            <w:tcW w:w="2268" w:type="dxa"/>
          </w:tcPr>
          <w:p w14:paraId="0C2D1558" w14:textId="77777777" w:rsidR="00C729FA" w:rsidRPr="00C729FA" w:rsidRDefault="00C729FA" w:rsidP="004017C1">
            <w:r w:rsidRPr="00C729FA">
              <w:t>PHI</w:t>
            </w:r>
          </w:p>
        </w:tc>
        <w:tc>
          <w:tcPr>
            <w:tcW w:w="6588" w:type="dxa"/>
          </w:tcPr>
          <w:p w14:paraId="3898924F" w14:textId="77777777" w:rsidR="00C729FA" w:rsidRPr="00C729FA" w:rsidRDefault="00C729FA" w:rsidP="004017C1">
            <w:r w:rsidRPr="00C729FA">
              <w:t>Protected Health Information</w:t>
            </w:r>
          </w:p>
        </w:tc>
      </w:tr>
      <w:tr w:rsidR="00C729FA" w:rsidRPr="00C729FA" w14:paraId="739DF108" w14:textId="77777777" w:rsidTr="004017C1">
        <w:tc>
          <w:tcPr>
            <w:tcW w:w="2268" w:type="dxa"/>
          </w:tcPr>
          <w:p w14:paraId="1B4D3A28" w14:textId="77777777" w:rsidR="00C729FA" w:rsidRPr="00C729FA" w:rsidRDefault="00C729FA" w:rsidP="004017C1">
            <w:r w:rsidRPr="00C729FA">
              <w:t>PII</w:t>
            </w:r>
          </w:p>
        </w:tc>
        <w:tc>
          <w:tcPr>
            <w:tcW w:w="6588" w:type="dxa"/>
          </w:tcPr>
          <w:p w14:paraId="7CBCD756" w14:textId="77777777" w:rsidR="00C729FA" w:rsidRPr="00C729FA" w:rsidRDefault="00C729FA" w:rsidP="004017C1">
            <w:r w:rsidRPr="00C729FA">
              <w:t>Personally Identifiable Information</w:t>
            </w:r>
          </w:p>
        </w:tc>
      </w:tr>
      <w:tr w:rsidR="00C729FA" w:rsidRPr="00C729FA" w14:paraId="48A90F67" w14:textId="77777777" w:rsidTr="004017C1">
        <w:tc>
          <w:tcPr>
            <w:tcW w:w="2268" w:type="dxa"/>
          </w:tcPr>
          <w:p w14:paraId="0D34A43D" w14:textId="77777777" w:rsidR="00C729FA" w:rsidRPr="00C729FA" w:rsidRDefault="00C729FA" w:rsidP="004017C1">
            <w:r w:rsidRPr="00C729FA">
              <w:lastRenderedPageBreak/>
              <w:t>POC</w:t>
            </w:r>
          </w:p>
        </w:tc>
        <w:tc>
          <w:tcPr>
            <w:tcW w:w="6588" w:type="dxa"/>
          </w:tcPr>
          <w:p w14:paraId="378D7407" w14:textId="77777777" w:rsidR="00C729FA" w:rsidRPr="00C729FA" w:rsidRDefault="00C729FA" w:rsidP="004017C1">
            <w:r w:rsidRPr="00C729FA">
              <w:t xml:space="preserve">Point of Contact </w:t>
            </w:r>
          </w:p>
        </w:tc>
      </w:tr>
      <w:tr w:rsidR="00C729FA" w:rsidRPr="00C729FA" w14:paraId="5555FD19" w14:textId="77777777" w:rsidTr="004017C1">
        <w:tc>
          <w:tcPr>
            <w:tcW w:w="2268" w:type="dxa"/>
          </w:tcPr>
          <w:p w14:paraId="18C0BA9C" w14:textId="77777777" w:rsidR="00C729FA" w:rsidRPr="00C729FA" w:rsidRDefault="00C729FA" w:rsidP="004017C1">
            <w:r w:rsidRPr="00C729FA">
              <w:rPr>
                <w:szCs w:val="22"/>
              </w:rPr>
              <w:t>PSS</w:t>
            </w:r>
          </w:p>
        </w:tc>
        <w:tc>
          <w:tcPr>
            <w:tcW w:w="6588" w:type="dxa"/>
          </w:tcPr>
          <w:p w14:paraId="34C3C47F" w14:textId="77777777" w:rsidR="00C729FA" w:rsidRPr="00C729FA" w:rsidRDefault="00C729FA" w:rsidP="004017C1">
            <w:r w:rsidRPr="00C729FA">
              <w:t>Production Shift Supervisor</w:t>
            </w:r>
          </w:p>
        </w:tc>
      </w:tr>
      <w:tr w:rsidR="00C729FA" w:rsidRPr="00C729FA" w14:paraId="501CF62A" w14:textId="77777777" w:rsidTr="004017C1">
        <w:tc>
          <w:tcPr>
            <w:tcW w:w="2268" w:type="dxa"/>
          </w:tcPr>
          <w:p w14:paraId="5EDB946D" w14:textId="77777777" w:rsidR="00C729FA" w:rsidRPr="00C729FA" w:rsidRDefault="00C729FA" w:rsidP="004017C1">
            <w:r w:rsidRPr="00C729FA">
              <w:t>PSU</w:t>
            </w:r>
          </w:p>
        </w:tc>
        <w:tc>
          <w:tcPr>
            <w:tcW w:w="6588" w:type="dxa"/>
          </w:tcPr>
          <w:p w14:paraId="28DA0C77" w14:textId="77777777" w:rsidR="00C729FA" w:rsidRPr="00C729FA" w:rsidRDefault="00C729FA" w:rsidP="004017C1">
            <w:r w:rsidRPr="00C729FA">
              <w:t>Primary Sampling Unit</w:t>
            </w:r>
          </w:p>
        </w:tc>
      </w:tr>
      <w:tr w:rsidR="00C729FA" w:rsidRPr="00C729FA" w14:paraId="770F1A61" w14:textId="77777777" w:rsidTr="004017C1">
        <w:tc>
          <w:tcPr>
            <w:tcW w:w="2268" w:type="dxa"/>
          </w:tcPr>
          <w:p w14:paraId="021C874C" w14:textId="77777777" w:rsidR="00C729FA" w:rsidRPr="00C729FA" w:rsidRDefault="00C729FA" w:rsidP="004017C1">
            <w:r w:rsidRPr="00C729FA">
              <w:t>QE</w:t>
            </w:r>
          </w:p>
        </w:tc>
        <w:tc>
          <w:tcPr>
            <w:tcW w:w="6588" w:type="dxa"/>
          </w:tcPr>
          <w:p w14:paraId="1B7F2084" w14:textId="77777777" w:rsidR="00C729FA" w:rsidRPr="00C729FA" w:rsidRDefault="00C729FA" w:rsidP="004017C1">
            <w:r w:rsidRPr="00C729FA">
              <w:t>Quality Expert</w:t>
            </w:r>
          </w:p>
        </w:tc>
      </w:tr>
      <w:tr w:rsidR="00327764" w:rsidRPr="00C729FA" w14:paraId="7A4A5505" w14:textId="77777777" w:rsidTr="004017C1">
        <w:tc>
          <w:tcPr>
            <w:tcW w:w="2268" w:type="dxa"/>
          </w:tcPr>
          <w:p w14:paraId="6026927A" w14:textId="2479AE0D" w:rsidR="00327764" w:rsidRPr="00C729FA" w:rsidRDefault="00327764" w:rsidP="00327764">
            <w:r>
              <w:rPr>
                <w:szCs w:val="22"/>
              </w:rPr>
              <w:t>RBCS</w:t>
            </w:r>
          </w:p>
        </w:tc>
        <w:tc>
          <w:tcPr>
            <w:tcW w:w="6588" w:type="dxa"/>
          </w:tcPr>
          <w:p w14:paraId="42CE2ABC" w14:textId="6B16E171" w:rsidR="00327764" w:rsidRPr="00C729FA" w:rsidRDefault="00327764" w:rsidP="00327764">
            <w:r>
              <w:rPr>
                <w:szCs w:val="22"/>
              </w:rPr>
              <w:t>Restructured BETOS Classification System</w:t>
            </w:r>
          </w:p>
        </w:tc>
      </w:tr>
      <w:tr w:rsidR="00327764" w:rsidRPr="00C729FA" w14:paraId="4AD82E37" w14:textId="77777777" w:rsidTr="004017C1">
        <w:tc>
          <w:tcPr>
            <w:tcW w:w="2268" w:type="dxa"/>
          </w:tcPr>
          <w:p w14:paraId="1973F573" w14:textId="77777777" w:rsidR="00327764" w:rsidRPr="00C729FA" w:rsidRDefault="00327764" w:rsidP="00327764">
            <w:r w:rsidRPr="00C729FA">
              <w:t>ROC</w:t>
            </w:r>
          </w:p>
        </w:tc>
        <w:tc>
          <w:tcPr>
            <w:tcW w:w="6588" w:type="dxa"/>
          </w:tcPr>
          <w:p w14:paraId="109BFA26" w14:textId="77777777" w:rsidR="00327764" w:rsidRPr="00C729FA" w:rsidRDefault="00327764" w:rsidP="00327764">
            <w:r w:rsidRPr="00C729FA">
              <w:t>Research Operations Center (RTI)</w:t>
            </w:r>
          </w:p>
        </w:tc>
      </w:tr>
      <w:tr w:rsidR="00327764" w:rsidRPr="00C729FA" w14:paraId="18DCA779" w14:textId="77777777" w:rsidTr="004017C1">
        <w:tc>
          <w:tcPr>
            <w:tcW w:w="2268" w:type="dxa"/>
          </w:tcPr>
          <w:p w14:paraId="6271C67A" w14:textId="77777777" w:rsidR="00327764" w:rsidRPr="00C729FA" w:rsidRDefault="00327764" w:rsidP="00327764">
            <w:r w:rsidRPr="00C729FA">
              <w:t>RU</w:t>
            </w:r>
          </w:p>
        </w:tc>
        <w:tc>
          <w:tcPr>
            <w:tcW w:w="6588" w:type="dxa"/>
          </w:tcPr>
          <w:p w14:paraId="41D80FA3" w14:textId="77777777" w:rsidR="00327764" w:rsidRPr="00C729FA" w:rsidRDefault="00327764" w:rsidP="00327764">
            <w:r w:rsidRPr="00C729FA">
              <w:t>Reporting Unit</w:t>
            </w:r>
          </w:p>
        </w:tc>
      </w:tr>
      <w:tr w:rsidR="00327764" w:rsidRPr="00C729FA" w14:paraId="5AC9AB2B" w14:textId="77777777" w:rsidTr="004017C1">
        <w:trPr>
          <w:trHeight w:val="567"/>
        </w:trPr>
        <w:tc>
          <w:tcPr>
            <w:tcW w:w="2268" w:type="dxa"/>
          </w:tcPr>
          <w:p w14:paraId="64119CD4" w14:textId="77777777" w:rsidR="00327764" w:rsidRPr="00C729FA" w:rsidRDefault="00327764" w:rsidP="00327764">
            <w:r w:rsidRPr="00C729FA">
              <w:t>SOP</w:t>
            </w:r>
          </w:p>
          <w:p w14:paraId="12BA62FC" w14:textId="77777777" w:rsidR="00327764" w:rsidRPr="00C729FA" w:rsidRDefault="00327764" w:rsidP="00327764">
            <w:r w:rsidRPr="00C729FA">
              <w:t>SBD</w:t>
            </w:r>
          </w:p>
        </w:tc>
        <w:tc>
          <w:tcPr>
            <w:tcW w:w="6588" w:type="dxa"/>
          </w:tcPr>
          <w:p w14:paraId="13741B97" w14:textId="77777777" w:rsidR="00327764" w:rsidRPr="00C729FA" w:rsidRDefault="00327764" w:rsidP="00327764">
            <w:r w:rsidRPr="00C729FA">
              <w:t xml:space="preserve">Source of Payment </w:t>
            </w:r>
          </w:p>
          <w:p w14:paraId="6853329D" w14:textId="77777777" w:rsidR="00327764" w:rsidRPr="00C729FA" w:rsidRDefault="00327764" w:rsidP="00327764">
            <w:r w:rsidRPr="00C729FA">
              <w:t>Separately Billing Doctor</w:t>
            </w:r>
          </w:p>
        </w:tc>
      </w:tr>
      <w:tr w:rsidR="00327764" w:rsidRPr="00724C39" w14:paraId="28A71AB1" w14:textId="77777777" w:rsidTr="004017C1">
        <w:trPr>
          <w:trHeight w:val="315"/>
        </w:trPr>
        <w:tc>
          <w:tcPr>
            <w:tcW w:w="2268" w:type="dxa"/>
          </w:tcPr>
          <w:p w14:paraId="4A89679C" w14:textId="77777777" w:rsidR="00327764" w:rsidRPr="00C729FA" w:rsidRDefault="00327764" w:rsidP="00327764">
            <w:r w:rsidRPr="00C729FA">
              <w:t>TRC</w:t>
            </w:r>
          </w:p>
        </w:tc>
        <w:tc>
          <w:tcPr>
            <w:tcW w:w="6588" w:type="dxa"/>
          </w:tcPr>
          <w:p w14:paraId="1458AB0F" w14:textId="4AD4D57E" w:rsidR="00327764" w:rsidRDefault="00327764" w:rsidP="00327764">
            <w:r w:rsidRPr="00C729FA">
              <w:t xml:space="preserve">Telephone Research Center </w:t>
            </w:r>
          </w:p>
        </w:tc>
      </w:tr>
    </w:tbl>
    <w:p w14:paraId="2DB7D3A4" w14:textId="77777777" w:rsidR="00C729FA" w:rsidRDefault="00C729FA" w:rsidP="00C729FA"/>
    <w:p w14:paraId="003EFE2B" w14:textId="77777777" w:rsidR="00C729FA" w:rsidRDefault="00C729FA" w:rsidP="00C729FA">
      <w:pPr>
        <w:rPr>
          <w:b/>
          <w:bCs/>
          <w:szCs w:val="24"/>
        </w:rPr>
      </w:pPr>
    </w:p>
    <w:p w14:paraId="0BA964F5" w14:textId="77777777" w:rsidR="00C729FA" w:rsidRPr="00F6253C" w:rsidRDefault="00C729FA" w:rsidP="00C729FA">
      <w:pPr>
        <w:pStyle w:val="BodyText2"/>
        <w:ind w:left="720"/>
        <w:rPr>
          <w:b/>
          <w:bCs/>
          <w:szCs w:val="24"/>
        </w:rPr>
      </w:pPr>
    </w:p>
    <w:p w14:paraId="7C115054" w14:textId="77777777" w:rsidR="00C729FA" w:rsidRPr="008A716D" w:rsidRDefault="00C729FA" w:rsidP="00785498">
      <w:pPr>
        <w:pStyle w:val="BodyText"/>
      </w:pPr>
    </w:p>
    <w:sectPr w:rsidR="00C729FA" w:rsidRPr="008A716D" w:rsidSect="00BC59CF">
      <w:footerReference w:type="default" r:id="rId16"/>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D1F0" w14:textId="77777777" w:rsidR="00B76D23" w:rsidRDefault="00B76D23" w:rsidP="00BC7C45">
      <w:r>
        <w:separator/>
      </w:r>
    </w:p>
  </w:endnote>
  <w:endnote w:type="continuationSeparator" w:id="0">
    <w:p w14:paraId="523BB6C4" w14:textId="77777777" w:rsidR="00B76D23" w:rsidRDefault="00B76D23" w:rsidP="00BC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8AF7" w14:textId="77777777" w:rsidR="00B242C1" w:rsidRDefault="00B242C1" w:rsidP="007351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xxvii</w:t>
    </w:r>
    <w:r>
      <w:rPr>
        <w:rStyle w:val="PageNumber"/>
      </w:rPr>
      <w:fldChar w:fldCharType="end"/>
    </w:r>
  </w:p>
  <w:p w14:paraId="519D2542" w14:textId="77777777" w:rsidR="00B242C1" w:rsidRDefault="00B242C1" w:rsidP="007351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CF41" w14:textId="77777777" w:rsidR="00B242C1" w:rsidRDefault="00B242C1" w:rsidP="007351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D66" w14:textId="756A2C93" w:rsidR="00B242C1" w:rsidRPr="00831FBE" w:rsidRDefault="00B242C1" w:rsidP="00686EB4">
    <w:pPr>
      <w:pStyle w:val="Footer"/>
      <w:rPr>
        <w:szCs w:val="22"/>
        <w:lang w:val="en-US"/>
      </w:rPr>
    </w:pPr>
    <w:r w:rsidRPr="00831FBE">
      <w:rPr>
        <w:szCs w:val="22"/>
      </w:rPr>
      <w:fldChar w:fldCharType="begin"/>
    </w:r>
    <w:r w:rsidRPr="00831FBE">
      <w:rPr>
        <w:szCs w:val="22"/>
      </w:rPr>
      <w:instrText xml:space="preserve"> PAGE   \* MERGEFORMAT </w:instrText>
    </w:r>
    <w:r w:rsidRPr="00831FBE">
      <w:rPr>
        <w:szCs w:val="22"/>
      </w:rPr>
      <w:fldChar w:fldCharType="separate"/>
    </w:r>
    <w:r>
      <w:rPr>
        <w:noProof/>
        <w:szCs w:val="22"/>
      </w:rPr>
      <w:t>6</w:t>
    </w:r>
    <w:r w:rsidRPr="00831FBE">
      <w:rPr>
        <w:noProof/>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4818" w14:textId="77777777" w:rsidR="00B76D23" w:rsidRDefault="00B76D23" w:rsidP="00BC7C45">
      <w:r>
        <w:separator/>
      </w:r>
    </w:p>
  </w:footnote>
  <w:footnote w:type="continuationSeparator" w:id="0">
    <w:p w14:paraId="587072CD" w14:textId="77777777" w:rsidR="00B76D23" w:rsidRDefault="00B76D23" w:rsidP="00BC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BEDC" w14:textId="03148483" w:rsidR="00B242C1" w:rsidRDefault="00B24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BDB"/>
    <w:multiLevelType w:val="hybridMultilevel"/>
    <w:tmpl w:val="497A3D6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421CD6"/>
    <w:multiLevelType w:val="multilevel"/>
    <w:tmpl w:val="689A6EF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none"/>
      <w:lvlText w:val=""/>
      <w:lvlJc w:val="left"/>
      <w:pPr>
        <w:tabs>
          <w:tab w:val="num" w:pos="1980"/>
        </w:tabs>
        <w:ind w:left="1980" w:hanging="720"/>
      </w:pPr>
      <w:rPr>
        <w:rFonts w:ascii="Arial" w:hAnsi="Arial" w:cs="Arial"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15:restartNumberingAfterBreak="0">
    <w:nsid w:val="043508DD"/>
    <w:multiLevelType w:val="hybridMultilevel"/>
    <w:tmpl w:val="E2509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13294"/>
    <w:multiLevelType w:val="hybridMultilevel"/>
    <w:tmpl w:val="9EAE0B9A"/>
    <w:lvl w:ilvl="0" w:tplc="52A0310E">
      <w:start w:val="1"/>
      <w:numFmt w:val="bullet"/>
      <w:pStyle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0EC9604E"/>
    <w:multiLevelType w:val="hybridMultilevel"/>
    <w:tmpl w:val="C390D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91E"/>
    <w:multiLevelType w:val="hybridMultilevel"/>
    <w:tmpl w:val="D24C6EFC"/>
    <w:lvl w:ilvl="0" w:tplc="504E2600">
      <w:numFmt w:val="bullet"/>
      <w:pStyle w:val="abox"/>
      <w:lvlText w:val=""/>
      <w:lvlJc w:val="left"/>
      <w:pPr>
        <w:tabs>
          <w:tab w:val="num" w:pos="720"/>
        </w:tabs>
        <w:ind w:left="720" w:hanging="360"/>
      </w:pPr>
      <w:rPr>
        <w:rFonts w:ascii="Webdings" w:eastAsia="Times New Roman" w:hAnsi="Webdings" w:cs="Arial" w:hint="default"/>
        <w:color w:val="808080"/>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61408"/>
    <w:multiLevelType w:val="hybridMultilevel"/>
    <w:tmpl w:val="6486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0773"/>
    <w:multiLevelType w:val="multilevel"/>
    <w:tmpl w:val="D8AE39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3168"/>
        </w:tabs>
        <w:ind w:left="316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9E05E3F"/>
    <w:multiLevelType w:val="hybridMultilevel"/>
    <w:tmpl w:val="C10699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A434554"/>
    <w:multiLevelType w:val="hybridMultilevel"/>
    <w:tmpl w:val="6D3AB68E"/>
    <w:lvl w:ilvl="0" w:tplc="1CDEEDF8">
      <w:start w:val="1"/>
      <w:numFmt w:val="bullet"/>
      <w:pStyle w:val="bullets"/>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1A5F80"/>
    <w:multiLevelType w:val="multilevel"/>
    <w:tmpl w:val="F7E8119E"/>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B665E1C"/>
    <w:multiLevelType w:val="multilevel"/>
    <w:tmpl w:val="A952244C"/>
    <w:styleLink w:val="NormalNumbered"/>
    <w:lvl w:ilvl="0">
      <w:start w:val="1"/>
      <w:numFmt w:val="decimal"/>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D9F1599"/>
    <w:multiLevelType w:val="hybridMultilevel"/>
    <w:tmpl w:val="3A1CD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3C008A"/>
    <w:multiLevelType w:val="hybridMultilevel"/>
    <w:tmpl w:val="7E2E2E0C"/>
    <w:lvl w:ilvl="0" w:tplc="1FFA1208">
      <w:start w:val="1"/>
      <w:numFmt w:val="none"/>
      <w:lvlText w:val=""/>
      <w:lvlJc w:val="left"/>
      <w:pPr>
        <w:tabs>
          <w:tab w:val="num" w:pos="3600"/>
        </w:tabs>
        <w:ind w:left="3600" w:hanging="720"/>
      </w:pPr>
      <w:rPr>
        <w:rFonts w:ascii="Symbol" w:hAnsi="Symbol" w:hint="default"/>
        <w:color w:val="auto"/>
        <w:sz w:val="30"/>
      </w:rPr>
    </w:lvl>
    <w:lvl w:ilvl="1" w:tplc="15C8E3B4">
      <w:start w:val="1"/>
      <w:numFmt w:val="bullet"/>
      <w:lvlText w:val=""/>
      <w:lvlJc w:val="left"/>
      <w:pPr>
        <w:tabs>
          <w:tab w:val="num" w:pos="2520"/>
        </w:tabs>
        <w:ind w:left="2520" w:hanging="720"/>
      </w:pPr>
      <w:rPr>
        <w:rFonts w:ascii="Symbol" w:hAnsi="Symbol" w:hint="default"/>
        <w:color w:val="auto"/>
        <w:sz w:val="24"/>
      </w:rPr>
    </w:lvl>
    <w:lvl w:ilvl="2" w:tplc="F3E40A2C">
      <w:start w:val="1"/>
      <w:numFmt w:val="bullet"/>
      <w:pStyle w:val="bullets-2nd"/>
      <w:lvlText w:val="−"/>
      <w:lvlJc w:val="left"/>
      <w:pPr>
        <w:tabs>
          <w:tab w:val="num" w:pos="1620"/>
        </w:tabs>
        <w:ind w:left="1620" w:hanging="180"/>
      </w:pPr>
      <w:rPr>
        <w:rFonts w:ascii="Times New Roman" w:hAnsi="Times New Roman" w:cs="Times New Roman" w:hint="default"/>
        <w:sz w:val="22"/>
        <w:szCs w:val="22"/>
      </w:rPr>
    </w:lvl>
    <w:lvl w:ilvl="3" w:tplc="BA4EC92C" w:tentative="1">
      <w:start w:val="1"/>
      <w:numFmt w:val="decimal"/>
      <w:lvlText w:val="%4."/>
      <w:lvlJc w:val="left"/>
      <w:pPr>
        <w:tabs>
          <w:tab w:val="num" w:pos="3600"/>
        </w:tabs>
        <w:ind w:left="3600" w:hanging="360"/>
      </w:pPr>
    </w:lvl>
    <w:lvl w:ilvl="4" w:tplc="139EE564" w:tentative="1">
      <w:start w:val="1"/>
      <w:numFmt w:val="lowerLetter"/>
      <w:lvlText w:val="%5."/>
      <w:lvlJc w:val="left"/>
      <w:pPr>
        <w:tabs>
          <w:tab w:val="num" w:pos="4320"/>
        </w:tabs>
        <w:ind w:left="4320" w:hanging="360"/>
      </w:pPr>
    </w:lvl>
    <w:lvl w:ilvl="5" w:tplc="B2F28986" w:tentative="1">
      <w:start w:val="1"/>
      <w:numFmt w:val="lowerRoman"/>
      <w:lvlText w:val="%6."/>
      <w:lvlJc w:val="right"/>
      <w:pPr>
        <w:tabs>
          <w:tab w:val="num" w:pos="5040"/>
        </w:tabs>
        <w:ind w:left="5040" w:hanging="180"/>
      </w:pPr>
    </w:lvl>
    <w:lvl w:ilvl="6" w:tplc="4198CB0A" w:tentative="1">
      <w:start w:val="1"/>
      <w:numFmt w:val="decimal"/>
      <w:lvlText w:val="%7."/>
      <w:lvlJc w:val="left"/>
      <w:pPr>
        <w:tabs>
          <w:tab w:val="num" w:pos="5760"/>
        </w:tabs>
        <w:ind w:left="5760" w:hanging="360"/>
      </w:pPr>
    </w:lvl>
    <w:lvl w:ilvl="7" w:tplc="D076C11C" w:tentative="1">
      <w:start w:val="1"/>
      <w:numFmt w:val="lowerLetter"/>
      <w:lvlText w:val="%8."/>
      <w:lvlJc w:val="left"/>
      <w:pPr>
        <w:tabs>
          <w:tab w:val="num" w:pos="6480"/>
        </w:tabs>
        <w:ind w:left="6480" w:hanging="360"/>
      </w:pPr>
    </w:lvl>
    <w:lvl w:ilvl="8" w:tplc="EDE8701A" w:tentative="1">
      <w:start w:val="1"/>
      <w:numFmt w:val="lowerRoman"/>
      <w:lvlText w:val="%9."/>
      <w:lvlJc w:val="right"/>
      <w:pPr>
        <w:tabs>
          <w:tab w:val="num" w:pos="7200"/>
        </w:tabs>
        <w:ind w:left="7200" w:hanging="180"/>
      </w:pPr>
    </w:lvl>
  </w:abstractNum>
  <w:abstractNum w:abstractNumId="14" w15:restartNumberingAfterBreak="0">
    <w:nsid w:val="271B742D"/>
    <w:multiLevelType w:val="hybridMultilevel"/>
    <w:tmpl w:val="7C80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F0DDE"/>
    <w:multiLevelType w:val="hybridMultilevel"/>
    <w:tmpl w:val="6CA8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44EB5"/>
    <w:multiLevelType w:val="hybridMultilevel"/>
    <w:tmpl w:val="54886316"/>
    <w:lvl w:ilvl="0" w:tplc="2FEE4400">
      <w:start w:val="1"/>
      <w:numFmt w:val="decimal"/>
      <w:pStyle w:val="NormalNumberedList"/>
      <w:lvlText w:val="%1."/>
      <w:lvlJc w:val="left"/>
      <w:pPr>
        <w:tabs>
          <w:tab w:val="num" w:pos="720"/>
        </w:tabs>
        <w:ind w:left="720" w:hanging="360"/>
      </w:pPr>
    </w:lvl>
    <w:lvl w:ilvl="1" w:tplc="3124882A" w:tentative="1">
      <w:start w:val="1"/>
      <w:numFmt w:val="lowerLetter"/>
      <w:lvlText w:val="%2."/>
      <w:lvlJc w:val="left"/>
      <w:pPr>
        <w:tabs>
          <w:tab w:val="num" w:pos="1440"/>
        </w:tabs>
        <w:ind w:left="1440" w:hanging="360"/>
      </w:pPr>
    </w:lvl>
    <w:lvl w:ilvl="2" w:tplc="4C8AD8FA" w:tentative="1">
      <w:start w:val="1"/>
      <w:numFmt w:val="lowerRoman"/>
      <w:lvlText w:val="%3."/>
      <w:lvlJc w:val="right"/>
      <w:pPr>
        <w:tabs>
          <w:tab w:val="num" w:pos="2160"/>
        </w:tabs>
        <w:ind w:left="2160" w:hanging="180"/>
      </w:pPr>
    </w:lvl>
    <w:lvl w:ilvl="3" w:tplc="A9B61E32" w:tentative="1">
      <w:start w:val="1"/>
      <w:numFmt w:val="decimal"/>
      <w:lvlText w:val="%4."/>
      <w:lvlJc w:val="left"/>
      <w:pPr>
        <w:tabs>
          <w:tab w:val="num" w:pos="2880"/>
        </w:tabs>
        <w:ind w:left="2880" w:hanging="360"/>
      </w:pPr>
    </w:lvl>
    <w:lvl w:ilvl="4" w:tplc="DD4AF2EE" w:tentative="1">
      <w:start w:val="1"/>
      <w:numFmt w:val="lowerLetter"/>
      <w:lvlText w:val="%5."/>
      <w:lvlJc w:val="left"/>
      <w:pPr>
        <w:tabs>
          <w:tab w:val="num" w:pos="3600"/>
        </w:tabs>
        <w:ind w:left="3600" w:hanging="360"/>
      </w:pPr>
    </w:lvl>
    <w:lvl w:ilvl="5" w:tplc="30D6D63A" w:tentative="1">
      <w:start w:val="1"/>
      <w:numFmt w:val="lowerRoman"/>
      <w:lvlText w:val="%6."/>
      <w:lvlJc w:val="right"/>
      <w:pPr>
        <w:tabs>
          <w:tab w:val="num" w:pos="4320"/>
        </w:tabs>
        <w:ind w:left="4320" w:hanging="180"/>
      </w:pPr>
    </w:lvl>
    <w:lvl w:ilvl="6" w:tplc="25AA4D16" w:tentative="1">
      <w:start w:val="1"/>
      <w:numFmt w:val="decimal"/>
      <w:lvlText w:val="%7."/>
      <w:lvlJc w:val="left"/>
      <w:pPr>
        <w:tabs>
          <w:tab w:val="num" w:pos="5040"/>
        </w:tabs>
        <w:ind w:left="5040" w:hanging="360"/>
      </w:pPr>
    </w:lvl>
    <w:lvl w:ilvl="7" w:tplc="CB7CD2A2" w:tentative="1">
      <w:start w:val="1"/>
      <w:numFmt w:val="lowerLetter"/>
      <w:lvlText w:val="%8."/>
      <w:lvlJc w:val="left"/>
      <w:pPr>
        <w:tabs>
          <w:tab w:val="num" w:pos="5760"/>
        </w:tabs>
        <w:ind w:left="5760" w:hanging="360"/>
      </w:pPr>
    </w:lvl>
    <w:lvl w:ilvl="8" w:tplc="1C86A8E6" w:tentative="1">
      <w:start w:val="1"/>
      <w:numFmt w:val="lowerRoman"/>
      <w:lvlText w:val="%9."/>
      <w:lvlJc w:val="right"/>
      <w:pPr>
        <w:tabs>
          <w:tab w:val="num" w:pos="6480"/>
        </w:tabs>
        <w:ind w:left="6480" w:hanging="180"/>
      </w:pPr>
    </w:lvl>
  </w:abstractNum>
  <w:abstractNum w:abstractNumId="17" w15:restartNumberingAfterBreak="0">
    <w:nsid w:val="2BC90060"/>
    <w:multiLevelType w:val="multilevel"/>
    <w:tmpl w:val="AE30EE6E"/>
    <w:styleLink w:val="NormalBulleted"/>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9B379C"/>
    <w:multiLevelType w:val="multilevel"/>
    <w:tmpl w:val="F7E8119E"/>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16F1D26"/>
    <w:multiLevelType w:val="hybridMultilevel"/>
    <w:tmpl w:val="E1146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59E28A6"/>
    <w:multiLevelType w:val="hybridMultilevel"/>
    <w:tmpl w:val="A0A2DBE8"/>
    <w:lvl w:ilvl="0" w:tplc="039244B0">
      <w:start w:val="1"/>
      <w:numFmt w:val="lowerLetter"/>
      <w:lvlText w:val="%1."/>
      <w:lvlJc w:val="left"/>
      <w:pPr>
        <w:ind w:left="1080" w:hanging="360"/>
      </w:pPr>
      <w:rPr>
        <w:rFonts w:asciiTheme="minorHAnsi" w:eastAsia="Times New Roman" w:hAnsiTheme="minorHAnsi" w:cs="Arial"/>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1075AF"/>
    <w:multiLevelType w:val="hybridMultilevel"/>
    <w:tmpl w:val="2B304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37A16"/>
    <w:multiLevelType w:val="multilevel"/>
    <w:tmpl w:val="FEBAD528"/>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162701"/>
    <w:multiLevelType w:val="hybridMultilevel"/>
    <w:tmpl w:val="ABB86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EC81684"/>
    <w:multiLevelType w:val="hybridMultilevel"/>
    <w:tmpl w:val="062A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42673"/>
    <w:multiLevelType w:val="hybridMultilevel"/>
    <w:tmpl w:val="7616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B213E"/>
    <w:multiLevelType w:val="hybridMultilevel"/>
    <w:tmpl w:val="6F14A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6ED7B10"/>
    <w:multiLevelType w:val="hybridMultilevel"/>
    <w:tmpl w:val="DABE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7937400"/>
    <w:multiLevelType w:val="hybridMultilevel"/>
    <w:tmpl w:val="37B0CCC4"/>
    <w:lvl w:ilvl="0" w:tplc="7764D698">
      <w:start w:val="1"/>
      <w:numFmt w:val="bullet"/>
      <w:pStyle w:val="NormalBoldBullets"/>
      <w:lvlText w:val=""/>
      <w:lvlJc w:val="left"/>
      <w:pPr>
        <w:tabs>
          <w:tab w:val="num" w:pos="720"/>
        </w:tabs>
        <w:ind w:left="720" w:hanging="360"/>
      </w:pPr>
      <w:rPr>
        <w:rFonts w:ascii="Symbol" w:hAnsi="Symbol" w:hint="default"/>
      </w:rPr>
    </w:lvl>
    <w:lvl w:ilvl="1" w:tplc="1E748896" w:tentative="1">
      <w:start w:val="1"/>
      <w:numFmt w:val="bullet"/>
      <w:lvlText w:val="o"/>
      <w:lvlJc w:val="left"/>
      <w:pPr>
        <w:tabs>
          <w:tab w:val="num" w:pos="1440"/>
        </w:tabs>
        <w:ind w:left="1440" w:hanging="360"/>
      </w:pPr>
      <w:rPr>
        <w:rFonts w:ascii="Courier New" w:hAnsi="Courier New" w:cs="Courier New" w:hint="default"/>
      </w:rPr>
    </w:lvl>
    <w:lvl w:ilvl="2" w:tplc="50461B2C" w:tentative="1">
      <w:start w:val="1"/>
      <w:numFmt w:val="bullet"/>
      <w:lvlText w:val=""/>
      <w:lvlJc w:val="left"/>
      <w:pPr>
        <w:tabs>
          <w:tab w:val="num" w:pos="2160"/>
        </w:tabs>
        <w:ind w:left="2160" w:hanging="360"/>
      </w:pPr>
      <w:rPr>
        <w:rFonts w:ascii="Wingdings" w:hAnsi="Wingdings" w:hint="default"/>
      </w:rPr>
    </w:lvl>
    <w:lvl w:ilvl="3" w:tplc="F14A3A1E" w:tentative="1">
      <w:start w:val="1"/>
      <w:numFmt w:val="bullet"/>
      <w:lvlText w:val=""/>
      <w:lvlJc w:val="left"/>
      <w:pPr>
        <w:tabs>
          <w:tab w:val="num" w:pos="2880"/>
        </w:tabs>
        <w:ind w:left="2880" w:hanging="360"/>
      </w:pPr>
      <w:rPr>
        <w:rFonts w:ascii="Symbol" w:hAnsi="Symbol" w:hint="default"/>
      </w:rPr>
    </w:lvl>
    <w:lvl w:ilvl="4" w:tplc="17603B86" w:tentative="1">
      <w:start w:val="1"/>
      <w:numFmt w:val="bullet"/>
      <w:lvlText w:val="o"/>
      <w:lvlJc w:val="left"/>
      <w:pPr>
        <w:tabs>
          <w:tab w:val="num" w:pos="3600"/>
        </w:tabs>
        <w:ind w:left="3600" w:hanging="360"/>
      </w:pPr>
      <w:rPr>
        <w:rFonts w:ascii="Courier New" w:hAnsi="Courier New" w:cs="Courier New" w:hint="default"/>
      </w:rPr>
    </w:lvl>
    <w:lvl w:ilvl="5" w:tplc="03B23F92" w:tentative="1">
      <w:start w:val="1"/>
      <w:numFmt w:val="bullet"/>
      <w:lvlText w:val=""/>
      <w:lvlJc w:val="left"/>
      <w:pPr>
        <w:tabs>
          <w:tab w:val="num" w:pos="4320"/>
        </w:tabs>
        <w:ind w:left="4320" w:hanging="360"/>
      </w:pPr>
      <w:rPr>
        <w:rFonts w:ascii="Wingdings" w:hAnsi="Wingdings" w:hint="default"/>
      </w:rPr>
    </w:lvl>
    <w:lvl w:ilvl="6" w:tplc="526C8DFA" w:tentative="1">
      <w:start w:val="1"/>
      <w:numFmt w:val="bullet"/>
      <w:lvlText w:val=""/>
      <w:lvlJc w:val="left"/>
      <w:pPr>
        <w:tabs>
          <w:tab w:val="num" w:pos="5040"/>
        </w:tabs>
        <w:ind w:left="5040" w:hanging="360"/>
      </w:pPr>
      <w:rPr>
        <w:rFonts w:ascii="Symbol" w:hAnsi="Symbol" w:hint="default"/>
      </w:rPr>
    </w:lvl>
    <w:lvl w:ilvl="7" w:tplc="4BB23DDA" w:tentative="1">
      <w:start w:val="1"/>
      <w:numFmt w:val="bullet"/>
      <w:lvlText w:val="o"/>
      <w:lvlJc w:val="left"/>
      <w:pPr>
        <w:tabs>
          <w:tab w:val="num" w:pos="5760"/>
        </w:tabs>
        <w:ind w:left="5760" w:hanging="360"/>
      </w:pPr>
      <w:rPr>
        <w:rFonts w:ascii="Courier New" w:hAnsi="Courier New" w:cs="Courier New" w:hint="default"/>
      </w:rPr>
    </w:lvl>
    <w:lvl w:ilvl="8" w:tplc="48D2102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8E6880"/>
    <w:multiLevelType w:val="hybridMultilevel"/>
    <w:tmpl w:val="6D34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F524E"/>
    <w:multiLevelType w:val="hybridMultilevel"/>
    <w:tmpl w:val="95F4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A4C38"/>
    <w:multiLevelType w:val="multilevel"/>
    <w:tmpl w:val="F7E8119E"/>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B84DCD"/>
    <w:multiLevelType w:val="hybridMultilevel"/>
    <w:tmpl w:val="05BEB0FE"/>
    <w:lvl w:ilvl="0" w:tplc="B28AFEEC">
      <w:start w:val="1"/>
      <w:numFmt w:val="bullet"/>
      <w:pStyle w:val="Tablecheck"/>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6BD2230"/>
    <w:multiLevelType w:val="hybridMultilevel"/>
    <w:tmpl w:val="0A32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F4AED"/>
    <w:multiLevelType w:val="multilevel"/>
    <w:tmpl w:val="E85EE1EC"/>
    <w:styleLink w:val="NumberedList"/>
    <w:lvl w:ilvl="0">
      <w:start w:val="1"/>
      <w:numFmt w:val="decimal"/>
      <w:lvlText w:val="%1."/>
      <w:lvlJc w:val="left"/>
      <w:pPr>
        <w:tabs>
          <w:tab w:val="num" w:pos="720"/>
        </w:tabs>
        <w:ind w:left="720" w:hanging="360"/>
      </w:pPr>
      <w:rPr>
        <w:rFonts w:ascii="Times New Roman" w:hAnsi="Times New Roman"/>
        <w:bCs/>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6091110"/>
    <w:multiLevelType w:val="multilevel"/>
    <w:tmpl w:val="83A603CA"/>
    <w:styleLink w:val="Heading3BulletText"/>
    <w:lvl w:ilvl="0">
      <w:start w:val="1"/>
      <w:numFmt w:val="bullet"/>
      <w:lvlText w:val=""/>
      <w:lvlJc w:val="left"/>
      <w:pPr>
        <w:tabs>
          <w:tab w:val="num" w:pos="720"/>
        </w:tabs>
        <w:ind w:left="1800" w:hanging="360"/>
      </w:pPr>
      <w:rPr>
        <w:rFonts w:ascii="Symbol" w:hAnsi="Symbol"/>
        <w:sz w:val="22"/>
      </w:rPr>
    </w:lvl>
    <w:lvl w:ilvl="1">
      <w:start w:val="1"/>
      <w:numFmt w:val="bullet"/>
      <w:lvlText w:val="o"/>
      <w:lvlJc w:val="left"/>
      <w:pPr>
        <w:tabs>
          <w:tab w:val="num" w:pos="1440"/>
        </w:tabs>
        <w:ind w:left="2520" w:hanging="360"/>
      </w:pPr>
      <w:rPr>
        <w:rFonts w:ascii="Courier New" w:hAnsi="Courier New" w:cs="Courier New" w:hint="default"/>
      </w:rPr>
    </w:lvl>
    <w:lvl w:ilvl="2">
      <w:start w:val="1"/>
      <w:numFmt w:val="bullet"/>
      <w:lvlText w:val=""/>
      <w:lvlJc w:val="left"/>
      <w:pPr>
        <w:tabs>
          <w:tab w:val="num" w:pos="2160"/>
        </w:tabs>
        <w:ind w:left="3240" w:hanging="360"/>
      </w:pPr>
      <w:rPr>
        <w:rFonts w:ascii="Wingdings" w:hAnsi="Wingdings" w:hint="default"/>
      </w:rPr>
    </w:lvl>
    <w:lvl w:ilvl="3">
      <w:start w:val="1"/>
      <w:numFmt w:val="bullet"/>
      <w:lvlText w:val=""/>
      <w:lvlJc w:val="left"/>
      <w:pPr>
        <w:tabs>
          <w:tab w:val="num" w:pos="2880"/>
        </w:tabs>
        <w:ind w:left="396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DF752C"/>
    <w:multiLevelType w:val="hybridMultilevel"/>
    <w:tmpl w:val="35D80978"/>
    <w:lvl w:ilvl="0" w:tplc="80CA3FB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E10FF8"/>
    <w:multiLevelType w:val="hybridMultilevel"/>
    <w:tmpl w:val="9EA4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D0A80"/>
    <w:multiLevelType w:val="hybridMultilevel"/>
    <w:tmpl w:val="24F4F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F884BA4"/>
    <w:multiLevelType w:val="hybridMultilevel"/>
    <w:tmpl w:val="9F16A4BC"/>
    <w:lvl w:ilvl="0" w:tplc="CCB4BB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21784277">
    <w:abstractNumId w:val="13"/>
  </w:num>
  <w:num w:numId="2" w16cid:durableId="844050050">
    <w:abstractNumId w:val="1"/>
  </w:num>
  <w:num w:numId="3" w16cid:durableId="1006329578">
    <w:abstractNumId w:val="9"/>
  </w:num>
  <w:num w:numId="4" w16cid:durableId="752705984">
    <w:abstractNumId w:val="35"/>
  </w:num>
  <w:num w:numId="5" w16cid:durableId="687802543">
    <w:abstractNumId w:val="7"/>
  </w:num>
  <w:num w:numId="6" w16cid:durableId="192616682">
    <w:abstractNumId w:val="28"/>
  </w:num>
  <w:num w:numId="7" w16cid:durableId="664015668">
    <w:abstractNumId w:val="17"/>
  </w:num>
  <w:num w:numId="8" w16cid:durableId="707292198">
    <w:abstractNumId w:val="11"/>
  </w:num>
  <w:num w:numId="9" w16cid:durableId="1139886231">
    <w:abstractNumId w:val="16"/>
  </w:num>
  <w:num w:numId="10" w16cid:durableId="615134451">
    <w:abstractNumId w:val="34"/>
  </w:num>
  <w:num w:numId="11" w16cid:durableId="1560048375">
    <w:abstractNumId w:val="5"/>
  </w:num>
  <w:num w:numId="12" w16cid:durableId="170670821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003743">
    <w:abstractNumId w:val="14"/>
  </w:num>
  <w:num w:numId="14" w16cid:durableId="1737972323">
    <w:abstractNumId w:val="6"/>
  </w:num>
  <w:num w:numId="15" w16cid:durableId="655837063">
    <w:abstractNumId w:val="19"/>
  </w:num>
  <w:num w:numId="16" w16cid:durableId="394620942">
    <w:abstractNumId w:val="27"/>
  </w:num>
  <w:num w:numId="17" w16cid:durableId="1314722046">
    <w:abstractNumId w:val="23"/>
  </w:num>
  <w:num w:numId="18" w16cid:durableId="1829856081">
    <w:abstractNumId w:val="9"/>
  </w:num>
  <w:num w:numId="19" w16cid:durableId="5392425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6946112">
    <w:abstractNumId w:val="26"/>
  </w:num>
  <w:num w:numId="21" w16cid:durableId="14037476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4298720">
    <w:abstractNumId w:val="8"/>
  </w:num>
  <w:num w:numId="23" w16cid:durableId="17563179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1608103">
    <w:abstractNumId w:val="3"/>
  </w:num>
  <w:num w:numId="25" w16cid:durableId="1391881030">
    <w:abstractNumId w:val="39"/>
  </w:num>
  <w:num w:numId="26" w16cid:durableId="1379470384">
    <w:abstractNumId w:val="37"/>
  </w:num>
  <w:num w:numId="27" w16cid:durableId="1357341277">
    <w:abstractNumId w:val="12"/>
  </w:num>
  <w:num w:numId="28" w16cid:durableId="1558323561">
    <w:abstractNumId w:val="2"/>
  </w:num>
  <w:num w:numId="29" w16cid:durableId="1370226861">
    <w:abstractNumId w:val="33"/>
  </w:num>
  <w:num w:numId="30" w16cid:durableId="1442337026">
    <w:abstractNumId w:val="20"/>
  </w:num>
  <w:num w:numId="31" w16cid:durableId="614404299">
    <w:abstractNumId w:val="22"/>
  </w:num>
  <w:num w:numId="32" w16cid:durableId="1641885388">
    <w:abstractNumId w:val="10"/>
  </w:num>
  <w:num w:numId="33" w16cid:durableId="1678269650">
    <w:abstractNumId w:val="31"/>
  </w:num>
  <w:num w:numId="34" w16cid:durableId="1703901263">
    <w:abstractNumId w:val="18"/>
  </w:num>
  <w:num w:numId="35" w16cid:durableId="496120754">
    <w:abstractNumId w:val="25"/>
  </w:num>
  <w:num w:numId="36" w16cid:durableId="272785721">
    <w:abstractNumId w:val="30"/>
  </w:num>
  <w:num w:numId="37" w16cid:durableId="2006853756">
    <w:abstractNumId w:val="21"/>
  </w:num>
  <w:num w:numId="38" w16cid:durableId="862209584">
    <w:abstractNumId w:val="4"/>
  </w:num>
  <w:num w:numId="39" w16cid:durableId="698972705">
    <w:abstractNumId w:val="0"/>
  </w:num>
  <w:num w:numId="40" w16cid:durableId="879391824">
    <w:abstractNumId w:val="29"/>
  </w:num>
  <w:num w:numId="41" w16cid:durableId="1544053341">
    <w:abstractNumId w:val="15"/>
  </w:num>
  <w:num w:numId="42" w16cid:durableId="1878152220">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CF"/>
    <w:rsid w:val="000006AF"/>
    <w:rsid w:val="000021C0"/>
    <w:rsid w:val="0000718C"/>
    <w:rsid w:val="00010EB9"/>
    <w:rsid w:val="00013292"/>
    <w:rsid w:val="00013453"/>
    <w:rsid w:val="00013B8B"/>
    <w:rsid w:val="000162D7"/>
    <w:rsid w:val="00017104"/>
    <w:rsid w:val="00017C9F"/>
    <w:rsid w:val="0002047A"/>
    <w:rsid w:val="000221C8"/>
    <w:rsid w:val="00023F1C"/>
    <w:rsid w:val="00024798"/>
    <w:rsid w:val="00025971"/>
    <w:rsid w:val="00026464"/>
    <w:rsid w:val="00026896"/>
    <w:rsid w:val="000274DA"/>
    <w:rsid w:val="00027759"/>
    <w:rsid w:val="00035617"/>
    <w:rsid w:val="00036861"/>
    <w:rsid w:val="00036CE9"/>
    <w:rsid w:val="0004171D"/>
    <w:rsid w:val="00042A56"/>
    <w:rsid w:val="0004358A"/>
    <w:rsid w:val="00043CEA"/>
    <w:rsid w:val="00043F17"/>
    <w:rsid w:val="0004448A"/>
    <w:rsid w:val="0004532B"/>
    <w:rsid w:val="00045CEE"/>
    <w:rsid w:val="00046849"/>
    <w:rsid w:val="00047BAB"/>
    <w:rsid w:val="0005005B"/>
    <w:rsid w:val="000530FB"/>
    <w:rsid w:val="000539C2"/>
    <w:rsid w:val="0005584F"/>
    <w:rsid w:val="000566BD"/>
    <w:rsid w:val="000605D3"/>
    <w:rsid w:val="00060B51"/>
    <w:rsid w:val="00061187"/>
    <w:rsid w:val="00061D04"/>
    <w:rsid w:val="0006378C"/>
    <w:rsid w:val="00063A10"/>
    <w:rsid w:val="00063C9E"/>
    <w:rsid w:val="00064DC2"/>
    <w:rsid w:val="00072995"/>
    <w:rsid w:val="00074124"/>
    <w:rsid w:val="000764CF"/>
    <w:rsid w:val="00082936"/>
    <w:rsid w:val="00086094"/>
    <w:rsid w:val="00091781"/>
    <w:rsid w:val="000935DC"/>
    <w:rsid w:val="00096A66"/>
    <w:rsid w:val="000A05D9"/>
    <w:rsid w:val="000A06A1"/>
    <w:rsid w:val="000A0F96"/>
    <w:rsid w:val="000A145D"/>
    <w:rsid w:val="000A1E9F"/>
    <w:rsid w:val="000A459B"/>
    <w:rsid w:val="000A4DFA"/>
    <w:rsid w:val="000B14FF"/>
    <w:rsid w:val="000B27E7"/>
    <w:rsid w:val="000B41B9"/>
    <w:rsid w:val="000B47ED"/>
    <w:rsid w:val="000B4E17"/>
    <w:rsid w:val="000B5D5C"/>
    <w:rsid w:val="000C08B1"/>
    <w:rsid w:val="000C0AFD"/>
    <w:rsid w:val="000C10D8"/>
    <w:rsid w:val="000C365C"/>
    <w:rsid w:val="000C628C"/>
    <w:rsid w:val="000C710C"/>
    <w:rsid w:val="000D0588"/>
    <w:rsid w:val="000D1E21"/>
    <w:rsid w:val="000D22D4"/>
    <w:rsid w:val="000D25CF"/>
    <w:rsid w:val="000D35ED"/>
    <w:rsid w:val="000D45F2"/>
    <w:rsid w:val="000D5039"/>
    <w:rsid w:val="000D72DF"/>
    <w:rsid w:val="000D7845"/>
    <w:rsid w:val="000D794E"/>
    <w:rsid w:val="000E1CCF"/>
    <w:rsid w:val="000E212B"/>
    <w:rsid w:val="000E2988"/>
    <w:rsid w:val="000E5685"/>
    <w:rsid w:val="000E6C0C"/>
    <w:rsid w:val="000F2646"/>
    <w:rsid w:val="000F3DDC"/>
    <w:rsid w:val="000F4DAF"/>
    <w:rsid w:val="000F5564"/>
    <w:rsid w:val="000F712F"/>
    <w:rsid w:val="000F7A02"/>
    <w:rsid w:val="0010042B"/>
    <w:rsid w:val="001014C7"/>
    <w:rsid w:val="00101CD3"/>
    <w:rsid w:val="00101D63"/>
    <w:rsid w:val="0010209F"/>
    <w:rsid w:val="0010251C"/>
    <w:rsid w:val="00103178"/>
    <w:rsid w:val="00104201"/>
    <w:rsid w:val="0010569B"/>
    <w:rsid w:val="001061EF"/>
    <w:rsid w:val="00106D2F"/>
    <w:rsid w:val="001078BB"/>
    <w:rsid w:val="001078F8"/>
    <w:rsid w:val="00107EDB"/>
    <w:rsid w:val="001111AE"/>
    <w:rsid w:val="00114170"/>
    <w:rsid w:val="001146E2"/>
    <w:rsid w:val="00114821"/>
    <w:rsid w:val="001174D9"/>
    <w:rsid w:val="00117843"/>
    <w:rsid w:val="00122B9D"/>
    <w:rsid w:val="00127F02"/>
    <w:rsid w:val="00131861"/>
    <w:rsid w:val="00134EEE"/>
    <w:rsid w:val="00135152"/>
    <w:rsid w:val="00135981"/>
    <w:rsid w:val="00137591"/>
    <w:rsid w:val="0014080B"/>
    <w:rsid w:val="00140A5D"/>
    <w:rsid w:val="00141394"/>
    <w:rsid w:val="00141399"/>
    <w:rsid w:val="00141527"/>
    <w:rsid w:val="00141941"/>
    <w:rsid w:val="00143982"/>
    <w:rsid w:val="0014722C"/>
    <w:rsid w:val="00147294"/>
    <w:rsid w:val="00150B58"/>
    <w:rsid w:val="00150F28"/>
    <w:rsid w:val="00151EDB"/>
    <w:rsid w:val="00154430"/>
    <w:rsid w:val="00155765"/>
    <w:rsid w:val="001571EF"/>
    <w:rsid w:val="00157329"/>
    <w:rsid w:val="0015777E"/>
    <w:rsid w:val="00160777"/>
    <w:rsid w:val="001609B1"/>
    <w:rsid w:val="001609C3"/>
    <w:rsid w:val="0016187D"/>
    <w:rsid w:val="001638DF"/>
    <w:rsid w:val="00164F2A"/>
    <w:rsid w:val="00166BA3"/>
    <w:rsid w:val="001676AF"/>
    <w:rsid w:val="001679AE"/>
    <w:rsid w:val="00167D4A"/>
    <w:rsid w:val="001720B1"/>
    <w:rsid w:val="00173448"/>
    <w:rsid w:val="00175064"/>
    <w:rsid w:val="00175786"/>
    <w:rsid w:val="0017597A"/>
    <w:rsid w:val="001803D6"/>
    <w:rsid w:val="001805EC"/>
    <w:rsid w:val="00183508"/>
    <w:rsid w:val="001839EB"/>
    <w:rsid w:val="00184704"/>
    <w:rsid w:val="001866CE"/>
    <w:rsid w:val="00187AEB"/>
    <w:rsid w:val="00187CEF"/>
    <w:rsid w:val="001902D7"/>
    <w:rsid w:val="001913F1"/>
    <w:rsid w:val="00192874"/>
    <w:rsid w:val="00193473"/>
    <w:rsid w:val="0019347D"/>
    <w:rsid w:val="00193AB4"/>
    <w:rsid w:val="00193F93"/>
    <w:rsid w:val="00195B96"/>
    <w:rsid w:val="00197DE3"/>
    <w:rsid w:val="001A2733"/>
    <w:rsid w:val="001A28F5"/>
    <w:rsid w:val="001A38EA"/>
    <w:rsid w:val="001A3C09"/>
    <w:rsid w:val="001A4812"/>
    <w:rsid w:val="001A4F40"/>
    <w:rsid w:val="001A51E1"/>
    <w:rsid w:val="001B0EAD"/>
    <w:rsid w:val="001B116B"/>
    <w:rsid w:val="001B2620"/>
    <w:rsid w:val="001B4356"/>
    <w:rsid w:val="001B68EB"/>
    <w:rsid w:val="001B7A5B"/>
    <w:rsid w:val="001C0CA7"/>
    <w:rsid w:val="001C2955"/>
    <w:rsid w:val="001C5694"/>
    <w:rsid w:val="001C5F65"/>
    <w:rsid w:val="001C647E"/>
    <w:rsid w:val="001D11C4"/>
    <w:rsid w:val="001D16D0"/>
    <w:rsid w:val="001D18A5"/>
    <w:rsid w:val="001D66D7"/>
    <w:rsid w:val="001D6A60"/>
    <w:rsid w:val="001D71A8"/>
    <w:rsid w:val="001E1428"/>
    <w:rsid w:val="001E4A92"/>
    <w:rsid w:val="001F0987"/>
    <w:rsid w:val="001F0BA8"/>
    <w:rsid w:val="001F2C71"/>
    <w:rsid w:val="001F3620"/>
    <w:rsid w:val="001F58B0"/>
    <w:rsid w:val="001F74BC"/>
    <w:rsid w:val="001F7ECE"/>
    <w:rsid w:val="00200A59"/>
    <w:rsid w:val="00200DB7"/>
    <w:rsid w:val="0020155A"/>
    <w:rsid w:val="00201AA5"/>
    <w:rsid w:val="00201FD7"/>
    <w:rsid w:val="00202284"/>
    <w:rsid w:val="002031B6"/>
    <w:rsid w:val="00203CE7"/>
    <w:rsid w:val="002076A9"/>
    <w:rsid w:val="00207798"/>
    <w:rsid w:val="00207A73"/>
    <w:rsid w:val="002119D9"/>
    <w:rsid w:val="00212387"/>
    <w:rsid w:val="00212788"/>
    <w:rsid w:val="00214763"/>
    <w:rsid w:val="00215051"/>
    <w:rsid w:val="002162A2"/>
    <w:rsid w:val="0021721D"/>
    <w:rsid w:val="002172A9"/>
    <w:rsid w:val="002176EF"/>
    <w:rsid w:val="00220429"/>
    <w:rsid w:val="00222C10"/>
    <w:rsid w:val="00222C9D"/>
    <w:rsid w:val="0022455B"/>
    <w:rsid w:val="002251EF"/>
    <w:rsid w:val="002267EF"/>
    <w:rsid w:val="00226FAA"/>
    <w:rsid w:val="00227426"/>
    <w:rsid w:val="002300E6"/>
    <w:rsid w:val="00230443"/>
    <w:rsid w:val="0023088A"/>
    <w:rsid w:val="00230AE2"/>
    <w:rsid w:val="00232FF8"/>
    <w:rsid w:val="00233BE6"/>
    <w:rsid w:val="0023407F"/>
    <w:rsid w:val="002348A4"/>
    <w:rsid w:val="00234C10"/>
    <w:rsid w:val="00234CA4"/>
    <w:rsid w:val="00240060"/>
    <w:rsid w:val="002414E0"/>
    <w:rsid w:val="0024345A"/>
    <w:rsid w:val="0024575F"/>
    <w:rsid w:val="002478CD"/>
    <w:rsid w:val="0025112F"/>
    <w:rsid w:val="00253AD0"/>
    <w:rsid w:val="0026057F"/>
    <w:rsid w:val="00260A71"/>
    <w:rsid w:val="00260E8B"/>
    <w:rsid w:val="00264D62"/>
    <w:rsid w:val="00264D92"/>
    <w:rsid w:val="0026579B"/>
    <w:rsid w:val="00267801"/>
    <w:rsid w:val="00270219"/>
    <w:rsid w:val="002713A3"/>
    <w:rsid w:val="00272259"/>
    <w:rsid w:val="00274FDF"/>
    <w:rsid w:val="00276E8E"/>
    <w:rsid w:val="00277A3B"/>
    <w:rsid w:val="00280ABC"/>
    <w:rsid w:val="0028110E"/>
    <w:rsid w:val="002836F3"/>
    <w:rsid w:val="00283A01"/>
    <w:rsid w:val="00285283"/>
    <w:rsid w:val="002852C9"/>
    <w:rsid w:val="00285B29"/>
    <w:rsid w:val="00286D02"/>
    <w:rsid w:val="00296812"/>
    <w:rsid w:val="00296B9F"/>
    <w:rsid w:val="00297B1D"/>
    <w:rsid w:val="002A0D16"/>
    <w:rsid w:val="002A254C"/>
    <w:rsid w:val="002A3276"/>
    <w:rsid w:val="002A32AD"/>
    <w:rsid w:val="002A5B3C"/>
    <w:rsid w:val="002A6135"/>
    <w:rsid w:val="002A7272"/>
    <w:rsid w:val="002B109B"/>
    <w:rsid w:val="002B2BFC"/>
    <w:rsid w:val="002B2D73"/>
    <w:rsid w:val="002B41E2"/>
    <w:rsid w:val="002B4595"/>
    <w:rsid w:val="002B48BC"/>
    <w:rsid w:val="002B4919"/>
    <w:rsid w:val="002B528C"/>
    <w:rsid w:val="002B6703"/>
    <w:rsid w:val="002B6ADA"/>
    <w:rsid w:val="002B70FD"/>
    <w:rsid w:val="002C0C09"/>
    <w:rsid w:val="002C2B12"/>
    <w:rsid w:val="002C3DCC"/>
    <w:rsid w:val="002C4F06"/>
    <w:rsid w:val="002C5808"/>
    <w:rsid w:val="002C587C"/>
    <w:rsid w:val="002C785A"/>
    <w:rsid w:val="002C7A44"/>
    <w:rsid w:val="002D01B6"/>
    <w:rsid w:val="002D0565"/>
    <w:rsid w:val="002D08F7"/>
    <w:rsid w:val="002D0913"/>
    <w:rsid w:val="002D0C51"/>
    <w:rsid w:val="002D2CF4"/>
    <w:rsid w:val="002D3A99"/>
    <w:rsid w:val="002D416B"/>
    <w:rsid w:val="002D5FDD"/>
    <w:rsid w:val="002D6BA2"/>
    <w:rsid w:val="002D72D7"/>
    <w:rsid w:val="002E1563"/>
    <w:rsid w:val="002E321B"/>
    <w:rsid w:val="002E40E1"/>
    <w:rsid w:val="002E5363"/>
    <w:rsid w:val="002E57E5"/>
    <w:rsid w:val="002E584D"/>
    <w:rsid w:val="002E72F2"/>
    <w:rsid w:val="002F048C"/>
    <w:rsid w:val="002F20F5"/>
    <w:rsid w:val="002F2F62"/>
    <w:rsid w:val="002F3345"/>
    <w:rsid w:val="002F3F99"/>
    <w:rsid w:val="002F4AB8"/>
    <w:rsid w:val="002F552A"/>
    <w:rsid w:val="002F5AA9"/>
    <w:rsid w:val="002F6BE9"/>
    <w:rsid w:val="003002BD"/>
    <w:rsid w:val="00301013"/>
    <w:rsid w:val="003040BD"/>
    <w:rsid w:val="003043CE"/>
    <w:rsid w:val="00304C24"/>
    <w:rsid w:val="00304C55"/>
    <w:rsid w:val="00307A44"/>
    <w:rsid w:val="00307BDD"/>
    <w:rsid w:val="00310322"/>
    <w:rsid w:val="00310B94"/>
    <w:rsid w:val="00312C5D"/>
    <w:rsid w:val="00323B11"/>
    <w:rsid w:val="00324591"/>
    <w:rsid w:val="0032611F"/>
    <w:rsid w:val="003269B5"/>
    <w:rsid w:val="00327764"/>
    <w:rsid w:val="003309CC"/>
    <w:rsid w:val="0033205B"/>
    <w:rsid w:val="00333B91"/>
    <w:rsid w:val="0033595C"/>
    <w:rsid w:val="0033610D"/>
    <w:rsid w:val="00337B33"/>
    <w:rsid w:val="00341602"/>
    <w:rsid w:val="00341FEB"/>
    <w:rsid w:val="0034284A"/>
    <w:rsid w:val="00343255"/>
    <w:rsid w:val="003445A5"/>
    <w:rsid w:val="003455B3"/>
    <w:rsid w:val="00347709"/>
    <w:rsid w:val="00347A03"/>
    <w:rsid w:val="00347A6B"/>
    <w:rsid w:val="00347C61"/>
    <w:rsid w:val="00352558"/>
    <w:rsid w:val="00352DC9"/>
    <w:rsid w:val="00357CE2"/>
    <w:rsid w:val="00357F90"/>
    <w:rsid w:val="003607C3"/>
    <w:rsid w:val="00361BFC"/>
    <w:rsid w:val="00362E54"/>
    <w:rsid w:val="00366275"/>
    <w:rsid w:val="00366FD2"/>
    <w:rsid w:val="00367B7E"/>
    <w:rsid w:val="00367FED"/>
    <w:rsid w:val="0037328B"/>
    <w:rsid w:val="00373E8B"/>
    <w:rsid w:val="00376491"/>
    <w:rsid w:val="003773ED"/>
    <w:rsid w:val="00381126"/>
    <w:rsid w:val="0038122F"/>
    <w:rsid w:val="00381E92"/>
    <w:rsid w:val="00382EA9"/>
    <w:rsid w:val="0038353F"/>
    <w:rsid w:val="00383737"/>
    <w:rsid w:val="0038378F"/>
    <w:rsid w:val="00383EB5"/>
    <w:rsid w:val="00385361"/>
    <w:rsid w:val="0038759E"/>
    <w:rsid w:val="00390382"/>
    <w:rsid w:val="003906CE"/>
    <w:rsid w:val="00390791"/>
    <w:rsid w:val="00394643"/>
    <w:rsid w:val="0039524A"/>
    <w:rsid w:val="0039582C"/>
    <w:rsid w:val="00396A79"/>
    <w:rsid w:val="00397D87"/>
    <w:rsid w:val="003A3BC3"/>
    <w:rsid w:val="003A3FD0"/>
    <w:rsid w:val="003A499D"/>
    <w:rsid w:val="003A66CF"/>
    <w:rsid w:val="003A6BCC"/>
    <w:rsid w:val="003A6D15"/>
    <w:rsid w:val="003B0E65"/>
    <w:rsid w:val="003B1FAE"/>
    <w:rsid w:val="003B2E15"/>
    <w:rsid w:val="003B4269"/>
    <w:rsid w:val="003B4574"/>
    <w:rsid w:val="003B543F"/>
    <w:rsid w:val="003B64E5"/>
    <w:rsid w:val="003B6AFA"/>
    <w:rsid w:val="003C1079"/>
    <w:rsid w:val="003C1801"/>
    <w:rsid w:val="003C2142"/>
    <w:rsid w:val="003C2B28"/>
    <w:rsid w:val="003C3D02"/>
    <w:rsid w:val="003C4A54"/>
    <w:rsid w:val="003C5118"/>
    <w:rsid w:val="003D0FD0"/>
    <w:rsid w:val="003D12B0"/>
    <w:rsid w:val="003D3330"/>
    <w:rsid w:val="003D35FD"/>
    <w:rsid w:val="003D3BFF"/>
    <w:rsid w:val="003D6786"/>
    <w:rsid w:val="003D7049"/>
    <w:rsid w:val="003D79CE"/>
    <w:rsid w:val="003E0179"/>
    <w:rsid w:val="003E0A66"/>
    <w:rsid w:val="003E27DC"/>
    <w:rsid w:val="003E2A78"/>
    <w:rsid w:val="003E3374"/>
    <w:rsid w:val="003E3DF7"/>
    <w:rsid w:val="003E3E25"/>
    <w:rsid w:val="003E48CC"/>
    <w:rsid w:val="003E60D1"/>
    <w:rsid w:val="003E6FD5"/>
    <w:rsid w:val="003F1596"/>
    <w:rsid w:val="003F3EDA"/>
    <w:rsid w:val="003F4052"/>
    <w:rsid w:val="003F4245"/>
    <w:rsid w:val="003F5371"/>
    <w:rsid w:val="00400E14"/>
    <w:rsid w:val="00401106"/>
    <w:rsid w:val="004025A8"/>
    <w:rsid w:val="00405276"/>
    <w:rsid w:val="0040688A"/>
    <w:rsid w:val="00406F30"/>
    <w:rsid w:val="004110FA"/>
    <w:rsid w:val="004113AE"/>
    <w:rsid w:val="00411451"/>
    <w:rsid w:val="00411516"/>
    <w:rsid w:val="00413BE9"/>
    <w:rsid w:val="00414C24"/>
    <w:rsid w:val="00420D1B"/>
    <w:rsid w:val="0042255E"/>
    <w:rsid w:val="00422FFA"/>
    <w:rsid w:val="004232A3"/>
    <w:rsid w:val="0042347E"/>
    <w:rsid w:val="00424752"/>
    <w:rsid w:val="004250F0"/>
    <w:rsid w:val="00425311"/>
    <w:rsid w:val="00425D5E"/>
    <w:rsid w:val="00426B03"/>
    <w:rsid w:val="00427206"/>
    <w:rsid w:val="004316D8"/>
    <w:rsid w:val="004325D4"/>
    <w:rsid w:val="00433B37"/>
    <w:rsid w:val="0043512F"/>
    <w:rsid w:val="00435E6B"/>
    <w:rsid w:val="00437521"/>
    <w:rsid w:val="00440F22"/>
    <w:rsid w:val="00441B3F"/>
    <w:rsid w:val="00443AAA"/>
    <w:rsid w:val="00445A99"/>
    <w:rsid w:val="004503CB"/>
    <w:rsid w:val="00451635"/>
    <w:rsid w:val="0045167A"/>
    <w:rsid w:val="00451CC1"/>
    <w:rsid w:val="004534F0"/>
    <w:rsid w:val="0045370A"/>
    <w:rsid w:val="00455834"/>
    <w:rsid w:val="0045695E"/>
    <w:rsid w:val="00456FEA"/>
    <w:rsid w:val="0046097D"/>
    <w:rsid w:val="00460C59"/>
    <w:rsid w:val="00461BDA"/>
    <w:rsid w:val="00464521"/>
    <w:rsid w:val="00465A51"/>
    <w:rsid w:val="00467348"/>
    <w:rsid w:val="00470078"/>
    <w:rsid w:val="0047373E"/>
    <w:rsid w:val="00474720"/>
    <w:rsid w:val="00474C08"/>
    <w:rsid w:val="004762BF"/>
    <w:rsid w:val="004768CF"/>
    <w:rsid w:val="00476AE9"/>
    <w:rsid w:val="00477DB8"/>
    <w:rsid w:val="00480486"/>
    <w:rsid w:val="00485E5D"/>
    <w:rsid w:val="00487902"/>
    <w:rsid w:val="00490040"/>
    <w:rsid w:val="00490653"/>
    <w:rsid w:val="004915B9"/>
    <w:rsid w:val="004918EA"/>
    <w:rsid w:val="004979F0"/>
    <w:rsid w:val="00497C37"/>
    <w:rsid w:val="004A1429"/>
    <w:rsid w:val="004A2057"/>
    <w:rsid w:val="004B0378"/>
    <w:rsid w:val="004B3A00"/>
    <w:rsid w:val="004B585E"/>
    <w:rsid w:val="004B7013"/>
    <w:rsid w:val="004B7EA0"/>
    <w:rsid w:val="004C0C6E"/>
    <w:rsid w:val="004C110D"/>
    <w:rsid w:val="004C16D4"/>
    <w:rsid w:val="004C1E67"/>
    <w:rsid w:val="004C1FA6"/>
    <w:rsid w:val="004C2C5D"/>
    <w:rsid w:val="004C4056"/>
    <w:rsid w:val="004C43DC"/>
    <w:rsid w:val="004C5314"/>
    <w:rsid w:val="004C5FBE"/>
    <w:rsid w:val="004C6638"/>
    <w:rsid w:val="004C7B62"/>
    <w:rsid w:val="004D079D"/>
    <w:rsid w:val="004D27E1"/>
    <w:rsid w:val="004D607E"/>
    <w:rsid w:val="004E1EFA"/>
    <w:rsid w:val="004E352E"/>
    <w:rsid w:val="004E5F5D"/>
    <w:rsid w:val="004E7BB5"/>
    <w:rsid w:val="004F1998"/>
    <w:rsid w:val="004F386C"/>
    <w:rsid w:val="004F399E"/>
    <w:rsid w:val="004F5A0F"/>
    <w:rsid w:val="004F5F52"/>
    <w:rsid w:val="004F6C5C"/>
    <w:rsid w:val="005016A2"/>
    <w:rsid w:val="00502595"/>
    <w:rsid w:val="0050371C"/>
    <w:rsid w:val="00503AA1"/>
    <w:rsid w:val="005050A8"/>
    <w:rsid w:val="005062A1"/>
    <w:rsid w:val="0050752B"/>
    <w:rsid w:val="005075CD"/>
    <w:rsid w:val="00507660"/>
    <w:rsid w:val="00510A69"/>
    <w:rsid w:val="00510BE7"/>
    <w:rsid w:val="0051285D"/>
    <w:rsid w:val="0051559B"/>
    <w:rsid w:val="00516055"/>
    <w:rsid w:val="0052166A"/>
    <w:rsid w:val="00526F3F"/>
    <w:rsid w:val="00527442"/>
    <w:rsid w:val="00527F50"/>
    <w:rsid w:val="005339C7"/>
    <w:rsid w:val="00533BD4"/>
    <w:rsid w:val="00534652"/>
    <w:rsid w:val="00534BEA"/>
    <w:rsid w:val="0053540E"/>
    <w:rsid w:val="00535D7F"/>
    <w:rsid w:val="005362E5"/>
    <w:rsid w:val="00537107"/>
    <w:rsid w:val="0053781D"/>
    <w:rsid w:val="0054208D"/>
    <w:rsid w:val="0054556B"/>
    <w:rsid w:val="00545BDD"/>
    <w:rsid w:val="00546513"/>
    <w:rsid w:val="0055071D"/>
    <w:rsid w:val="00551781"/>
    <w:rsid w:val="0055248D"/>
    <w:rsid w:val="005556A7"/>
    <w:rsid w:val="00556629"/>
    <w:rsid w:val="00556ADC"/>
    <w:rsid w:val="00556B57"/>
    <w:rsid w:val="00560C19"/>
    <w:rsid w:val="00560C23"/>
    <w:rsid w:val="00561B78"/>
    <w:rsid w:val="00562657"/>
    <w:rsid w:val="00564570"/>
    <w:rsid w:val="005651CA"/>
    <w:rsid w:val="00573824"/>
    <w:rsid w:val="00575BB9"/>
    <w:rsid w:val="00576CA5"/>
    <w:rsid w:val="00577990"/>
    <w:rsid w:val="00583926"/>
    <w:rsid w:val="00583FE8"/>
    <w:rsid w:val="0058452A"/>
    <w:rsid w:val="005868EA"/>
    <w:rsid w:val="0059078C"/>
    <w:rsid w:val="00596CB0"/>
    <w:rsid w:val="005A0065"/>
    <w:rsid w:val="005A1309"/>
    <w:rsid w:val="005A16E8"/>
    <w:rsid w:val="005A35BD"/>
    <w:rsid w:val="005A3835"/>
    <w:rsid w:val="005A3D6B"/>
    <w:rsid w:val="005A4308"/>
    <w:rsid w:val="005A58BB"/>
    <w:rsid w:val="005A59A0"/>
    <w:rsid w:val="005A6336"/>
    <w:rsid w:val="005A6F4D"/>
    <w:rsid w:val="005B26AB"/>
    <w:rsid w:val="005B2A5D"/>
    <w:rsid w:val="005B3109"/>
    <w:rsid w:val="005B7478"/>
    <w:rsid w:val="005B76C3"/>
    <w:rsid w:val="005C07E3"/>
    <w:rsid w:val="005C476B"/>
    <w:rsid w:val="005C4D72"/>
    <w:rsid w:val="005C72EB"/>
    <w:rsid w:val="005C7772"/>
    <w:rsid w:val="005D3FFA"/>
    <w:rsid w:val="005D4FAA"/>
    <w:rsid w:val="005D5D3A"/>
    <w:rsid w:val="005D6681"/>
    <w:rsid w:val="005E0DB9"/>
    <w:rsid w:val="005E10BF"/>
    <w:rsid w:val="005E19F4"/>
    <w:rsid w:val="005E1D6D"/>
    <w:rsid w:val="005E39F8"/>
    <w:rsid w:val="005E4201"/>
    <w:rsid w:val="005E5701"/>
    <w:rsid w:val="005E62CB"/>
    <w:rsid w:val="005E7F9C"/>
    <w:rsid w:val="005F17EF"/>
    <w:rsid w:val="005F2619"/>
    <w:rsid w:val="005F31DC"/>
    <w:rsid w:val="005F4564"/>
    <w:rsid w:val="005F5050"/>
    <w:rsid w:val="00601600"/>
    <w:rsid w:val="00603952"/>
    <w:rsid w:val="00604A8D"/>
    <w:rsid w:val="00605A67"/>
    <w:rsid w:val="006067B5"/>
    <w:rsid w:val="00606F6F"/>
    <w:rsid w:val="0061032B"/>
    <w:rsid w:val="006103E5"/>
    <w:rsid w:val="00610BC2"/>
    <w:rsid w:val="00615E36"/>
    <w:rsid w:val="00621506"/>
    <w:rsid w:val="006240F7"/>
    <w:rsid w:val="0062436B"/>
    <w:rsid w:val="00624494"/>
    <w:rsid w:val="00624DF1"/>
    <w:rsid w:val="00627434"/>
    <w:rsid w:val="006275D9"/>
    <w:rsid w:val="0063289D"/>
    <w:rsid w:val="00635664"/>
    <w:rsid w:val="00641C8E"/>
    <w:rsid w:val="00643398"/>
    <w:rsid w:val="00644F0B"/>
    <w:rsid w:val="00645BF8"/>
    <w:rsid w:val="00646427"/>
    <w:rsid w:val="00650F0B"/>
    <w:rsid w:val="00653684"/>
    <w:rsid w:val="00656CA1"/>
    <w:rsid w:val="00656FD8"/>
    <w:rsid w:val="006575DF"/>
    <w:rsid w:val="0066184A"/>
    <w:rsid w:val="00663AEA"/>
    <w:rsid w:val="0066470F"/>
    <w:rsid w:val="00666100"/>
    <w:rsid w:val="00667436"/>
    <w:rsid w:val="006674CB"/>
    <w:rsid w:val="006677C7"/>
    <w:rsid w:val="00667AE6"/>
    <w:rsid w:val="00670103"/>
    <w:rsid w:val="0067433E"/>
    <w:rsid w:val="006746D0"/>
    <w:rsid w:val="00675071"/>
    <w:rsid w:val="00677E19"/>
    <w:rsid w:val="00682466"/>
    <w:rsid w:val="00682DC7"/>
    <w:rsid w:val="00683117"/>
    <w:rsid w:val="00686EB4"/>
    <w:rsid w:val="00687A84"/>
    <w:rsid w:val="00692CB5"/>
    <w:rsid w:val="00693D19"/>
    <w:rsid w:val="00693FD0"/>
    <w:rsid w:val="00694A07"/>
    <w:rsid w:val="00694C3E"/>
    <w:rsid w:val="0069615F"/>
    <w:rsid w:val="006A0419"/>
    <w:rsid w:val="006A061A"/>
    <w:rsid w:val="006A40A9"/>
    <w:rsid w:val="006A4E5A"/>
    <w:rsid w:val="006A6021"/>
    <w:rsid w:val="006B0DA5"/>
    <w:rsid w:val="006B0EC0"/>
    <w:rsid w:val="006B43FD"/>
    <w:rsid w:val="006B4DB9"/>
    <w:rsid w:val="006B50B7"/>
    <w:rsid w:val="006B73FE"/>
    <w:rsid w:val="006B7B32"/>
    <w:rsid w:val="006C0398"/>
    <w:rsid w:val="006C0544"/>
    <w:rsid w:val="006C2A9C"/>
    <w:rsid w:val="006C3A71"/>
    <w:rsid w:val="006C4551"/>
    <w:rsid w:val="006C4A86"/>
    <w:rsid w:val="006C4FFC"/>
    <w:rsid w:val="006C514B"/>
    <w:rsid w:val="006C5492"/>
    <w:rsid w:val="006C5BC5"/>
    <w:rsid w:val="006C5E53"/>
    <w:rsid w:val="006C6D15"/>
    <w:rsid w:val="006C74B3"/>
    <w:rsid w:val="006D07AB"/>
    <w:rsid w:val="006D182A"/>
    <w:rsid w:val="006D1CA2"/>
    <w:rsid w:val="006D249C"/>
    <w:rsid w:val="006D378E"/>
    <w:rsid w:val="006D4382"/>
    <w:rsid w:val="006D4950"/>
    <w:rsid w:val="006D5D6B"/>
    <w:rsid w:val="006D6468"/>
    <w:rsid w:val="006E0C1B"/>
    <w:rsid w:val="006E1921"/>
    <w:rsid w:val="006E310D"/>
    <w:rsid w:val="006E4312"/>
    <w:rsid w:val="006F0BDD"/>
    <w:rsid w:val="006F26AE"/>
    <w:rsid w:val="006F3133"/>
    <w:rsid w:val="006F3174"/>
    <w:rsid w:val="006F338B"/>
    <w:rsid w:val="006F3DE9"/>
    <w:rsid w:val="006F3FF0"/>
    <w:rsid w:val="006F410E"/>
    <w:rsid w:val="006F5633"/>
    <w:rsid w:val="006F58E7"/>
    <w:rsid w:val="006F7E4E"/>
    <w:rsid w:val="00702127"/>
    <w:rsid w:val="007024D3"/>
    <w:rsid w:val="00703972"/>
    <w:rsid w:val="0070415D"/>
    <w:rsid w:val="00707356"/>
    <w:rsid w:val="007076CA"/>
    <w:rsid w:val="007079D3"/>
    <w:rsid w:val="00711AF9"/>
    <w:rsid w:val="00711E17"/>
    <w:rsid w:val="007120DA"/>
    <w:rsid w:val="00714079"/>
    <w:rsid w:val="007145A5"/>
    <w:rsid w:val="0071589E"/>
    <w:rsid w:val="00716868"/>
    <w:rsid w:val="00716D16"/>
    <w:rsid w:val="00721F87"/>
    <w:rsid w:val="00723032"/>
    <w:rsid w:val="00723DBC"/>
    <w:rsid w:val="007248CD"/>
    <w:rsid w:val="00724ADE"/>
    <w:rsid w:val="00724C03"/>
    <w:rsid w:val="00724F50"/>
    <w:rsid w:val="00725E49"/>
    <w:rsid w:val="00726B74"/>
    <w:rsid w:val="0072707C"/>
    <w:rsid w:val="00727DA7"/>
    <w:rsid w:val="0073110E"/>
    <w:rsid w:val="0073187B"/>
    <w:rsid w:val="007321E1"/>
    <w:rsid w:val="00733FC6"/>
    <w:rsid w:val="0073513C"/>
    <w:rsid w:val="007360EA"/>
    <w:rsid w:val="00736C12"/>
    <w:rsid w:val="00736C5E"/>
    <w:rsid w:val="007378D6"/>
    <w:rsid w:val="00737ECA"/>
    <w:rsid w:val="00740A2B"/>
    <w:rsid w:val="00740B95"/>
    <w:rsid w:val="007428AA"/>
    <w:rsid w:val="007440E4"/>
    <w:rsid w:val="00747364"/>
    <w:rsid w:val="0074799B"/>
    <w:rsid w:val="00747E82"/>
    <w:rsid w:val="007508AF"/>
    <w:rsid w:val="007515F5"/>
    <w:rsid w:val="007538AC"/>
    <w:rsid w:val="00756CB3"/>
    <w:rsid w:val="007607D1"/>
    <w:rsid w:val="00763596"/>
    <w:rsid w:val="00766CBA"/>
    <w:rsid w:val="00767D24"/>
    <w:rsid w:val="0077022A"/>
    <w:rsid w:val="007702B4"/>
    <w:rsid w:val="007707BB"/>
    <w:rsid w:val="00770DA4"/>
    <w:rsid w:val="00771277"/>
    <w:rsid w:val="00772EF9"/>
    <w:rsid w:val="00773CD1"/>
    <w:rsid w:val="00774EF9"/>
    <w:rsid w:val="00777F8C"/>
    <w:rsid w:val="007811F2"/>
    <w:rsid w:val="00781EFF"/>
    <w:rsid w:val="00782AC1"/>
    <w:rsid w:val="00785498"/>
    <w:rsid w:val="00785E29"/>
    <w:rsid w:val="00786851"/>
    <w:rsid w:val="00786E29"/>
    <w:rsid w:val="0078774C"/>
    <w:rsid w:val="00790562"/>
    <w:rsid w:val="00790F68"/>
    <w:rsid w:val="007A25DD"/>
    <w:rsid w:val="007A275E"/>
    <w:rsid w:val="007A3755"/>
    <w:rsid w:val="007A37B9"/>
    <w:rsid w:val="007A38E2"/>
    <w:rsid w:val="007A3C9D"/>
    <w:rsid w:val="007A3E25"/>
    <w:rsid w:val="007A56DD"/>
    <w:rsid w:val="007A5B77"/>
    <w:rsid w:val="007A5F94"/>
    <w:rsid w:val="007A6604"/>
    <w:rsid w:val="007A74DC"/>
    <w:rsid w:val="007A7E50"/>
    <w:rsid w:val="007B0492"/>
    <w:rsid w:val="007B6685"/>
    <w:rsid w:val="007B70CC"/>
    <w:rsid w:val="007B72AF"/>
    <w:rsid w:val="007C616E"/>
    <w:rsid w:val="007C6F34"/>
    <w:rsid w:val="007C72AA"/>
    <w:rsid w:val="007C7B0A"/>
    <w:rsid w:val="007C7C68"/>
    <w:rsid w:val="007D02DD"/>
    <w:rsid w:val="007D32C5"/>
    <w:rsid w:val="007D3477"/>
    <w:rsid w:val="007D53A2"/>
    <w:rsid w:val="007D7DDF"/>
    <w:rsid w:val="007E0AA9"/>
    <w:rsid w:val="007E0D29"/>
    <w:rsid w:val="007E352A"/>
    <w:rsid w:val="007E37C0"/>
    <w:rsid w:val="007E3D31"/>
    <w:rsid w:val="007E47C1"/>
    <w:rsid w:val="007E709E"/>
    <w:rsid w:val="007E72B7"/>
    <w:rsid w:val="007E76C6"/>
    <w:rsid w:val="007E7C31"/>
    <w:rsid w:val="007F3B43"/>
    <w:rsid w:val="007F4505"/>
    <w:rsid w:val="007F4CC2"/>
    <w:rsid w:val="007F6351"/>
    <w:rsid w:val="007F7D66"/>
    <w:rsid w:val="0080112A"/>
    <w:rsid w:val="008023CD"/>
    <w:rsid w:val="00803506"/>
    <w:rsid w:val="008035D4"/>
    <w:rsid w:val="00803F3C"/>
    <w:rsid w:val="008067E7"/>
    <w:rsid w:val="00812A31"/>
    <w:rsid w:val="00813750"/>
    <w:rsid w:val="00814DC2"/>
    <w:rsid w:val="00816879"/>
    <w:rsid w:val="00817BAA"/>
    <w:rsid w:val="00821136"/>
    <w:rsid w:val="008216E9"/>
    <w:rsid w:val="00822E6F"/>
    <w:rsid w:val="008248BB"/>
    <w:rsid w:val="008257BB"/>
    <w:rsid w:val="0082681E"/>
    <w:rsid w:val="00827F07"/>
    <w:rsid w:val="00830595"/>
    <w:rsid w:val="00830D72"/>
    <w:rsid w:val="008319F7"/>
    <w:rsid w:val="00831FBE"/>
    <w:rsid w:val="00833A9F"/>
    <w:rsid w:val="00836B8E"/>
    <w:rsid w:val="00837374"/>
    <w:rsid w:val="008374FC"/>
    <w:rsid w:val="00837C8B"/>
    <w:rsid w:val="00837F92"/>
    <w:rsid w:val="00843125"/>
    <w:rsid w:val="00844CA3"/>
    <w:rsid w:val="00844ED1"/>
    <w:rsid w:val="0084545E"/>
    <w:rsid w:val="008501F9"/>
    <w:rsid w:val="008508F0"/>
    <w:rsid w:val="00850EC0"/>
    <w:rsid w:val="00853B5B"/>
    <w:rsid w:val="00853D10"/>
    <w:rsid w:val="00856552"/>
    <w:rsid w:val="008568BA"/>
    <w:rsid w:val="00856A5E"/>
    <w:rsid w:val="00856A8D"/>
    <w:rsid w:val="008575B3"/>
    <w:rsid w:val="00857786"/>
    <w:rsid w:val="0086083E"/>
    <w:rsid w:val="00860B5A"/>
    <w:rsid w:val="00861532"/>
    <w:rsid w:val="00862D49"/>
    <w:rsid w:val="008635A1"/>
    <w:rsid w:val="008645CE"/>
    <w:rsid w:val="008678FE"/>
    <w:rsid w:val="00877FF8"/>
    <w:rsid w:val="0088110A"/>
    <w:rsid w:val="00882582"/>
    <w:rsid w:val="00882E74"/>
    <w:rsid w:val="00883493"/>
    <w:rsid w:val="00884800"/>
    <w:rsid w:val="00886A50"/>
    <w:rsid w:val="00887F19"/>
    <w:rsid w:val="00890E02"/>
    <w:rsid w:val="00891453"/>
    <w:rsid w:val="00891EBE"/>
    <w:rsid w:val="00892102"/>
    <w:rsid w:val="008935F9"/>
    <w:rsid w:val="00894379"/>
    <w:rsid w:val="00894579"/>
    <w:rsid w:val="0089569D"/>
    <w:rsid w:val="00895E20"/>
    <w:rsid w:val="008976AC"/>
    <w:rsid w:val="00897BF1"/>
    <w:rsid w:val="008A08F8"/>
    <w:rsid w:val="008A1FB0"/>
    <w:rsid w:val="008A32F6"/>
    <w:rsid w:val="008A570E"/>
    <w:rsid w:val="008A6408"/>
    <w:rsid w:val="008A6E88"/>
    <w:rsid w:val="008A716D"/>
    <w:rsid w:val="008B20C7"/>
    <w:rsid w:val="008B28AA"/>
    <w:rsid w:val="008B2E90"/>
    <w:rsid w:val="008B66C6"/>
    <w:rsid w:val="008B6EAB"/>
    <w:rsid w:val="008B7B0C"/>
    <w:rsid w:val="008C093C"/>
    <w:rsid w:val="008C0B45"/>
    <w:rsid w:val="008C101D"/>
    <w:rsid w:val="008C14A5"/>
    <w:rsid w:val="008C2C76"/>
    <w:rsid w:val="008C323D"/>
    <w:rsid w:val="008C59F8"/>
    <w:rsid w:val="008C5F92"/>
    <w:rsid w:val="008D0BE2"/>
    <w:rsid w:val="008D1AA0"/>
    <w:rsid w:val="008D2936"/>
    <w:rsid w:val="008D3BCC"/>
    <w:rsid w:val="008D4591"/>
    <w:rsid w:val="008D6078"/>
    <w:rsid w:val="008D6F07"/>
    <w:rsid w:val="008E11DC"/>
    <w:rsid w:val="008E161B"/>
    <w:rsid w:val="008E570D"/>
    <w:rsid w:val="008E6F9D"/>
    <w:rsid w:val="008F03B6"/>
    <w:rsid w:val="008F0AE8"/>
    <w:rsid w:val="008F142D"/>
    <w:rsid w:val="008F14A3"/>
    <w:rsid w:val="008F236B"/>
    <w:rsid w:val="008F28D6"/>
    <w:rsid w:val="008F2DF9"/>
    <w:rsid w:val="008F3503"/>
    <w:rsid w:val="0090026B"/>
    <w:rsid w:val="00900B3D"/>
    <w:rsid w:val="00900E1B"/>
    <w:rsid w:val="00900EF2"/>
    <w:rsid w:val="00902628"/>
    <w:rsid w:val="00902C86"/>
    <w:rsid w:val="0090421C"/>
    <w:rsid w:val="00904D91"/>
    <w:rsid w:val="009060FD"/>
    <w:rsid w:val="00910A59"/>
    <w:rsid w:val="00912B4B"/>
    <w:rsid w:val="009151B2"/>
    <w:rsid w:val="009164CE"/>
    <w:rsid w:val="00917438"/>
    <w:rsid w:val="009229D8"/>
    <w:rsid w:val="00922D0F"/>
    <w:rsid w:val="00923731"/>
    <w:rsid w:val="00923FC1"/>
    <w:rsid w:val="009266A1"/>
    <w:rsid w:val="00927043"/>
    <w:rsid w:val="0093394C"/>
    <w:rsid w:val="00935A4D"/>
    <w:rsid w:val="00936C72"/>
    <w:rsid w:val="00940056"/>
    <w:rsid w:val="009400F2"/>
    <w:rsid w:val="00940CDD"/>
    <w:rsid w:val="00942F41"/>
    <w:rsid w:val="0094493B"/>
    <w:rsid w:val="0094685A"/>
    <w:rsid w:val="009476CB"/>
    <w:rsid w:val="00947C4E"/>
    <w:rsid w:val="00951E2F"/>
    <w:rsid w:val="00951F6D"/>
    <w:rsid w:val="00954282"/>
    <w:rsid w:val="00955479"/>
    <w:rsid w:val="009554D2"/>
    <w:rsid w:val="00956FCA"/>
    <w:rsid w:val="0095731D"/>
    <w:rsid w:val="00961481"/>
    <w:rsid w:val="00961DB7"/>
    <w:rsid w:val="00963AAF"/>
    <w:rsid w:val="0096535D"/>
    <w:rsid w:val="00967791"/>
    <w:rsid w:val="009705C2"/>
    <w:rsid w:val="009714A5"/>
    <w:rsid w:val="00972475"/>
    <w:rsid w:val="00972774"/>
    <w:rsid w:val="00975037"/>
    <w:rsid w:val="00976D21"/>
    <w:rsid w:val="00977340"/>
    <w:rsid w:val="009836C3"/>
    <w:rsid w:val="00983FAF"/>
    <w:rsid w:val="0098459F"/>
    <w:rsid w:val="00984D1F"/>
    <w:rsid w:val="0098597B"/>
    <w:rsid w:val="00987957"/>
    <w:rsid w:val="00994868"/>
    <w:rsid w:val="009948A3"/>
    <w:rsid w:val="00996247"/>
    <w:rsid w:val="00996532"/>
    <w:rsid w:val="00996610"/>
    <w:rsid w:val="009A046A"/>
    <w:rsid w:val="009A4730"/>
    <w:rsid w:val="009A5CC3"/>
    <w:rsid w:val="009A682D"/>
    <w:rsid w:val="009A69FD"/>
    <w:rsid w:val="009A6A29"/>
    <w:rsid w:val="009B17E9"/>
    <w:rsid w:val="009B2449"/>
    <w:rsid w:val="009B2644"/>
    <w:rsid w:val="009B2FEA"/>
    <w:rsid w:val="009B3BF1"/>
    <w:rsid w:val="009B66B4"/>
    <w:rsid w:val="009B6E04"/>
    <w:rsid w:val="009C1690"/>
    <w:rsid w:val="009C337E"/>
    <w:rsid w:val="009C4E5A"/>
    <w:rsid w:val="009C61F3"/>
    <w:rsid w:val="009D029A"/>
    <w:rsid w:val="009D1E55"/>
    <w:rsid w:val="009D2402"/>
    <w:rsid w:val="009D2B84"/>
    <w:rsid w:val="009D353B"/>
    <w:rsid w:val="009D3671"/>
    <w:rsid w:val="009D58F0"/>
    <w:rsid w:val="009D64F5"/>
    <w:rsid w:val="009D7C03"/>
    <w:rsid w:val="009D7CF1"/>
    <w:rsid w:val="009E1E86"/>
    <w:rsid w:val="009E4FF5"/>
    <w:rsid w:val="009E580C"/>
    <w:rsid w:val="009E624B"/>
    <w:rsid w:val="009E70A3"/>
    <w:rsid w:val="009E7D03"/>
    <w:rsid w:val="009F4BD8"/>
    <w:rsid w:val="009F5ED9"/>
    <w:rsid w:val="009F6FA1"/>
    <w:rsid w:val="009F7167"/>
    <w:rsid w:val="009F73BC"/>
    <w:rsid w:val="00A00186"/>
    <w:rsid w:val="00A038A3"/>
    <w:rsid w:val="00A054FD"/>
    <w:rsid w:val="00A06D25"/>
    <w:rsid w:val="00A07009"/>
    <w:rsid w:val="00A0729C"/>
    <w:rsid w:val="00A1151D"/>
    <w:rsid w:val="00A13789"/>
    <w:rsid w:val="00A155F5"/>
    <w:rsid w:val="00A15ADB"/>
    <w:rsid w:val="00A17838"/>
    <w:rsid w:val="00A17F01"/>
    <w:rsid w:val="00A22102"/>
    <w:rsid w:val="00A2215B"/>
    <w:rsid w:val="00A23503"/>
    <w:rsid w:val="00A254C9"/>
    <w:rsid w:val="00A263F4"/>
    <w:rsid w:val="00A26AA3"/>
    <w:rsid w:val="00A304EE"/>
    <w:rsid w:val="00A306C1"/>
    <w:rsid w:val="00A3107D"/>
    <w:rsid w:val="00A3137C"/>
    <w:rsid w:val="00A31AFD"/>
    <w:rsid w:val="00A3305D"/>
    <w:rsid w:val="00A334C9"/>
    <w:rsid w:val="00A33CF5"/>
    <w:rsid w:val="00A36A93"/>
    <w:rsid w:val="00A3700C"/>
    <w:rsid w:val="00A37C1D"/>
    <w:rsid w:val="00A405D5"/>
    <w:rsid w:val="00A41608"/>
    <w:rsid w:val="00A41AA2"/>
    <w:rsid w:val="00A43929"/>
    <w:rsid w:val="00A43D29"/>
    <w:rsid w:val="00A464C5"/>
    <w:rsid w:val="00A46621"/>
    <w:rsid w:val="00A46F4C"/>
    <w:rsid w:val="00A476F7"/>
    <w:rsid w:val="00A50DD6"/>
    <w:rsid w:val="00A517F0"/>
    <w:rsid w:val="00A51B56"/>
    <w:rsid w:val="00A52581"/>
    <w:rsid w:val="00A52BD7"/>
    <w:rsid w:val="00A53AAA"/>
    <w:rsid w:val="00A53D6F"/>
    <w:rsid w:val="00A53F36"/>
    <w:rsid w:val="00A54A56"/>
    <w:rsid w:val="00A54CC0"/>
    <w:rsid w:val="00A56323"/>
    <w:rsid w:val="00A569CB"/>
    <w:rsid w:val="00A56D57"/>
    <w:rsid w:val="00A60F89"/>
    <w:rsid w:val="00A645AA"/>
    <w:rsid w:val="00A6669A"/>
    <w:rsid w:val="00A67464"/>
    <w:rsid w:val="00A70A05"/>
    <w:rsid w:val="00A71024"/>
    <w:rsid w:val="00A71E89"/>
    <w:rsid w:val="00A72E60"/>
    <w:rsid w:val="00A73650"/>
    <w:rsid w:val="00A74D7E"/>
    <w:rsid w:val="00A75F01"/>
    <w:rsid w:val="00A76019"/>
    <w:rsid w:val="00A809A7"/>
    <w:rsid w:val="00A80BED"/>
    <w:rsid w:val="00A80D2B"/>
    <w:rsid w:val="00A82EF3"/>
    <w:rsid w:val="00A8357B"/>
    <w:rsid w:val="00A835EA"/>
    <w:rsid w:val="00A86265"/>
    <w:rsid w:val="00A90A0A"/>
    <w:rsid w:val="00A91748"/>
    <w:rsid w:val="00A92868"/>
    <w:rsid w:val="00A94CDC"/>
    <w:rsid w:val="00A9608E"/>
    <w:rsid w:val="00A968E1"/>
    <w:rsid w:val="00AA0752"/>
    <w:rsid w:val="00AA0879"/>
    <w:rsid w:val="00AA0962"/>
    <w:rsid w:val="00AA1ACE"/>
    <w:rsid w:val="00AA1E1F"/>
    <w:rsid w:val="00AA444B"/>
    <w:rsid w:val="00AA4DF9"/>
    <w:rsid w:val="00AA5886"/>
    <w:rsid w:val="00AA6A58"/>
    <w:rsid w:val="00AA765F"/>
    <w:rsid w:val="00AA7A41"/>
    <w:rsid w:val="00AB4B40"/>
    <w:rsid w:val="00AB5114"/>
    <w:rsid w:val="00AB5D93"/>
    <w:rsid w:val="00AB6204"/>
    <w:rsid w:val="00AC29A1"/>
    <w:rsid w:val="00AC3800"/>
    <w:rsid w:val="00AC4918"/>
    <w:rsid w:val="00AC5C3C"/>
    <w:rsid w:val="00AC607B"/>
    <w:rsid w:val="00AC73D3"/>
    <w:rsid w:val="00AC7B75"/>
    <w:rsid w:val="00AD0AC6"/>
    <w:rsid w:val="00AD1336"/>
    <w:rsid w:val="00AD2377"/>
    <w:rsid w:val="00AD6110"/>
    <w:rsid w:val="00AD68C2"/>
    <w:rsid w:val="00AD7E00"/>
    <w:rsid w:val="00AD7F9A"/>
    <w:rsid w:val="00AE0A7E"/>
    <w:rsid w:val="00AE0C19"/>
    <w:rsid w:val="00AE160C"/>
    <w:rsid w:val="00AE436B"/>
    <w:rsid w:val="00AE6895"/>
    <w:rsid w:val="00AF05B6"/>
    <w:rsid w:val="00AF1C02"/>
    <w:rsid w:val="00AF23A4"/>
    <w:rsid w:val="00AF6CF9"/>
    <w:rsid w:val="00B00F6E"/>
    <w:rsid w:val="00B0715D"/>
    <w:rsid w:val="00B0766C"/>
    <w:rsid w:val="00B07CF0"/>
    <w:rsid w:val="00B11EE6"/>
    <w:rsid w:val="00B13E28"/>
    <w:rsid w:val="00B14782"/>
    <w:rsid w:val="00B15E68"/>
    <w:rsid w:val="00B164A1"/>
    <w:rsid w:val="00B168DC"/>
    <w:rsid w:val="00B177F1"/>
    <w:rsid w:val="00B21550"/>
    <w:rsid w:val="00B21FCE"/>
    <w:rsid w:val="00B2336F"/>
    <w:rsid w:val="00B242C1"/>
    <w:rsid w:val="00B24439"/>
    <w:rsid w:val="00B26558"/>
    <w:rsid w:val="00B3093A"/>
    <w:rsid w:val="00B30B8D"/>
    <w:rsid w:val="00B3194B"/>
    <w:rsid w:val="00B35631"/>
    <w:rsid w:val="00B35D43"/>
    <w:rsid w:val="00B374CC"/>
    <w:rsid w:val="00B3767D"/>
    <w:rsid w:val="00B40800"/>
    <w:rsid w:val="00B41A42"/>
    <w:rsid w:val="00B41C85"/>
    <w:rsid w:val="00B41FC1"/>
    <w:rsid w:val="00B4257F"/>
    <w:rsid w:val="00B42CEB"/>
    <w:rsid w:val="00B44DC5"/>
    <w:rsid w:val="00B44FAA"/>
    <w:rsid w:val="00B4684E"/>
    <w:rsid w:val="00B46E2C"/>
    <w:rsid w:val="00B46E7D"/>
    <w:rsid w:val="00B5304A"/>
    <w:rsid w:val="00B535E2"/>
    <w:rsid w:val="00B5439F"/>
    <w:rsid w:val="00B549B4"/>
    <w:rsid w:val="00B55F3B"/>
    <w:rsid w:val="00B57848"/>
    <w:rsid w:val="00B57D5B"/>
    <w:rsid w:val="00B57DA4"/>
    <w:rsid w:val="00B60CB7"/>
    <w:rsid w:val="00B61229"/>
    <w:rsid w:val="00B62868"/>
    <w:rsid w:val="00B6323D"/>
    <w:rsid w:val="00B66CA5"/>
    <w:rsid w:val="00B67663"/>
    <w:rsid w:val="00B73421"/>
    <w:rsid w:val="00B741AF"/>
    <w:rsid w:val="00B74CD0"/>
    <w:rsid w:val="00B76D23"/>
    <w:rsid w:val="00B77027"/>
    <w:rsid w:val="00B772A7"/>
    <w:rsid w:val="00B80317"/>
    <w:rsid w:val="00B820E5"/>
    <w:rsid w:val="00B836DA"/>
    <w:rsid w:val="00B85D3B"/>
    <w:rsid w:val="00B878B5"/>
    <w:rsid w:val="00B92381"/>
    <w:rsid w:val="00B930EF"/>
    <w:rsid w:val="00B936E7"/>
    <w:rsid w:val="00B93EB0"/>
    <w:rsid w:val="00B94B04"/>
    <w:rsid w:val="00B9578A"/>
    <w:rsid w:val="00B95B92"/>
    <w:rsid w:val="00B9796E"/>
    <w:rsid w:val="00BA1232"/>
    <w:rsid w:val="00BA1C56"/>
    <w:rsid w:val="00BA6A03"/>
    <w:rsid w:val="00BB4566"/>
    <w:rsid w:val="00BB4ECF"/>
    <w:rsid w:val="00BB5124"/>
    <w:rsid w:val="00BB5F6C"/>
    <w:rsid w:val="00BB6021"/>
    <w:rsid w:val="00BB6D36"/>
    <w:rsid w:val="00BC09F5"/>
    <w:rsid w:val="00BC123D"/>
    <w:rsid w:val="00BC1D36"/>
    <w:rsid w:val="00BC2062"/>
    <w:rsid w:val="00BC2F43"/>
    <w:rsid w:val="00BC39E0"/>
    <w:rsid w:val="00BC42AD"/>
    <w:rsid w:val="00BC59CF"/>
    <w:rsid w:val="00BC7C45"/>
    <w:rsid w:val="00BD0BC1"/>
    <w:rsid w:val="00BD24E0"/>
    <w:rsid w:val="00BD3538"/>
    <w:rsid w:val="00BD3A2F"/>
    <w:rsid w:val="00BD5B1C"/>
    <w:rsid w:val="00BE261E"/>
    <w:rsid w:val="00BE2D92"/>
    <w:rsid w:val="00BE4404"/>
    <w:rsid w:val="00BE4B53"/>
    <w:rsid w:val="00BE56E3"/>
    <w:rsid w:val="00BE728E"/>
    <w:rsid w:val="00BF0168"/>
    <w:rsid w:val="00BF17A6"/>
    <w:rsid w:val="00BF2A32"/>
    <w:rsid w:val="00BF454C"/>
    <w:rsid w:val="00BF4C5E"/>
    <w:rsid w:val="00BF4D71"/>
    <w:rsid w:val="00BF659E"/>
    <w:rsid w:val="00C00D0C"/>
    <w:rsid w:val="00C04A0D"/>
    <w:rsid w:val="00C052BF"/>
    <w:rsid w:val="00C05372"/>
    <w:rsid w:val="00C07F1B"/>
    <w:rsid w:val="00C1084C"/>
    <w:rsid w:val="00C10EFB"/>
    <w:rsid w:val="00C14507"/>
    <w:rsid w:val="00C14883"/>
    <w:rsid w:val="00C15891"/>
    <w:rsid w:val="00C15F59"/>
    <w:rsid w:val="00C17B91"/>
    <w:rsid w:val="00C20489"/>
    <w:rsid w:val="00C21767"/>
    <w:rsid w:val="00C21EF1"/>
    <w:rsid w:val="00C238CD"/>
    <w:rsid w:val="00C23C8A"/>
    <w:rsid w:val="00C252CD"/>
    <w:rsid w:val="00C26AF0"/>
    <w:rsid w:val="00C27AC5"/>
    <w:rsid w:val="00C27D63"/>
    <w:rsid w:val="00C3218F"/>
    <w:rsid w:val="00C32431"/>
    <w:rsid w:val="00C338F1"/>
    <w:rsid w:val="00C33ADA"/>
    <w:rsid w:val="00C40407"/>
    <w:rsid w:val="00C4122A"/>
    <w:rsid w:val="00C419FA"/>
    <w:rsid w:val="00C471A4"/>
    <w:rsid w:val="00C47204"/>
    <w:rsid w:val="00C47754"/>
    <w:rsid w:val="00C47F4D"/>
    <w:rsid w:val="00C50653"/>
    <w:rsid w:val="00C52418"/>
    <w:rsid w:val="00C53F77"/>
    <w:rsid w:val="00C544B9"/>
    <w:rsid w:val="00C56227"/>
    <w:rsid w:val="00C60B10"/>
    <w:rsid w:val="00C60EB8"/>
    <w:rsid w:val="00C6195B"/>
    <w:rsid w:val="00C62C0B"/>
    <w:rsid w:val="00C66C23"/>
    <w:rsid w:val="00C71562"/>
    <w:rsid w:val="00C729FA"/>
    <w:rsid w:val="00C72A3F"/>
    <w:rsid w:val="00C74190"/>
    <w:rsid w:val="00C76072"/>
    <w:rsid w:val="00C76F47"/>
    <w:rsid w:val="00C80E6F"/>
    <w:rsid w:val="00C8330D"/>
    <w:rsid w:val="00C8343B"/>
    <w:rsid w:val="00C8506A"/>
    <w:rsid w:val="00C85426"/>
    <w:rsid w:val="00C85808"/>
    <w:rsid w:val="00C8627C"/>
    <w:rsid w:val="00C873B6"/>
    <w:rsid w:val="00C87BBE"/>
    <w:rsid w:val="00C906BE"/>
    <w:rsid w:val="00C906E0"/>
    <w:rsid w:val="00C90A42"/>
    <w:rsid w:val="00C91EB3"/>
    <w:rsid w:val="00C9427E"/>
    <w:rsid w:val="00C957F4"/>
    <w:rsid w:val="00C96ED2"/>
    <w:rsid w:val="00C97A51"/>
    <w:rsid w:val="00CA4C21"/>
    <w:rsid w:val="00CA5F72"/>
    <w:rsid w:val="00CA682E"/>
    <w:rsid w:val="00CB1C72"/>
    <w:rsid w:val="00CB54A2"/>
    <w:rsid w:val="00CB5A3E"/>
    <w:rsid w:val="00CB7A00"/>
    <w:rsid w:val="00CC0D5B"/>
    <w:rsid w:val="00CC1195"/>
    <w:rsid w:val="00CC1BF7"/>
    <w:rsid w:val="00CC3B0E"/>
    <w:rsid w:val="00CC3EFB"/>
    <w:rsid w:val="00CC4F06"/>
    <w:rsid w:val="00CC66EE"/>
    <w:rsid w:val="00CC6CD5"/>
    <w:rsid w:val="00CC6E03"/>
    <w:rsid w:val="00CC749D"/>
    <w:rsid w:val="00CD0002"/>
    <w:rsid w:val="00CD1C9A"/>
    <w:rsid w:val="00CD3298"/>
    <w:rsid w:val="00CD3B5E"/>
    <w:rsid w:val="00CD779B"/>
    <w:rsid w:val="00CE19DD"/>
    <w:rsid w:val="00CE3784"/>
    <w:rsid w:val="00CE5A49"/>
    <w:rsid w:val="00CE6FCB"/>
    <w:rsid w:val="00CE738D"/>
    <w:rsid w:val="00CF0C5A"/>
    <w:rsid w:val="00CF1361"/>
    <w:rsid w:val="00CF1CE8"/>
    <w:rsid w:val="00CF3069"/>
    <w:rsid w:val="00CF525A"/>
    <w:rsid w:val="00CF5F8D"/>
    <w:rsid w:val="00CF67CC"/>
    <w:rsid w:val="00CF68B5"/>
    <w:rsid w:val="00D00354"/>
    <w:rsid w:val="00D018E7"/>
    <w:rsid w:val="00D01AE7"/>
    <w:rsid w:val="00D023A2"/>
    <w:rsid w:val="00D02D3D"/>
    <w:rsid w:val="00D035DC"/>
    <w:rsid w:val="00D03F67"/>
    <w:rsid w:val="00D05608"/>
    <w:rsid w:val="00D0682C"/>
    <w:rsid w:val="00D07F13"/>
    <w:rsid w:val="00D140DC"/>
    <w:rsid w:val="00D14866"/>
    <w:rsid w:val="00D14C17"/>
    <w:rsid w:val="00D15AAA"/>
    <w:rsid w:val="00D17813"/>
    <w:rsid w:val="00D20F25"/>
    <w:rsid w:val="00D238FF"/>
    <w:rsid w:val="00D23E34"/>
    <w:rsid w:val="00D23F70"/>
    <w:rsid w:val="00D25810"/>
    <w:rsid w:val="00D25AF2"/>
    <w:rsid w:val="00D2679E"/>
    <w:rsid w:val="00D30D6C"/>
    <w:rsid w:val="00D317E9"/>
    <w:rsid w:val="00D32F67"/>
    <w:rsid w:val="00D34D05"/>
    <w:rsid w:val="00D35283"/>
    <w:rsid w:val="00D3548F"/>
    <w:rsid w:val="00D4187E"/>
    <w:rsid w:val="00D43BC2"/>
    <w:rsid w:val="00D4516C"/>
    <w:rsid w:val="00D45309"/>
    <w:rsid w:val="00D46B96"/>
    <w:rsid w:val="00D50656"/>
    <w:rsid w:val="00D51B6B"/>
    <w:rsid w:val="00D52399"/>
    <w:rsid w:val="00D523D2"/>
    <w:rsid w:val="00D5462D"/>
    <w:rsid w:val="00D55074"/>
    <w:rsid w:val="00D5621B"/>
    <w:rsid w:val="00D567BC"/>
    <w:rsid w:val="00D56D14"/>
    <w:rsid w:val="00D5708D"/>
    <w:rsid w:val="00D610CA"/>
    <w:rsid w:val="00D618F4"/>
    <w:rsid w:val="00D61A3B"/>
    <w:rsid w:val="00D62581"/>
    <w:rsid w:val="00D63938"/>
    <w:rsid w:val="00D6550A"/>
    <w:rsid w:val="00D66D14"/>
    <w:rsid w:val="00D67CA9"/>
    <w:rsid w:val="00D7048C"/>
    <w:rsid w:val="00D70CFC"/>
    <w:rsid w:val="00D75123"/>
    <w:rsid w:val="00D7515E"/>
    <w:rsid w:val="00D83748"/>
    <w:rsid w:val="00D84E47"/>
    <w:rsid w:val="00D8528A"/>
    <w:rsid w:val="00D85890"/>
    <w:rsid w:val="00D87AE3"/>
    <w:rsid w:val="00D9068E"/>
    <w:rsid w:val="00D9142C"/>
    <w:rsid w:val="00D91B4C"/>
    <w:rsid w:val="00D925F2"/>
    <w:rsid w:val="00D92FAF"/>
    <w:rsid w:val="00D939B2"/>
    <w:rsid w:val="00D93A1A"/>
    <w:rsid w:val="00D94685"/>
    <w:rsid w:val="00D95D68"/>
    <w:rsid w:val="00DA0D72"/>
    <w:rsid w:val="00DA0EBA"/>
    <w:rsid w:val="00DA10CC"/>
    <w:rsid w:val="00DA1547"/>
    <w:rsid w:val="00DA4028"/>
    <w:rsid w:val="00DA48FB"/>
    <w:rsid w:val="00DB016A"/>
    <w:rsid w:val="00DB1DB7"/>
    <w:rsid w:val="00DB3834"/>
    <w:rsid w:val="00DB479D"/>
    <w:rsid w:val="00DB5694"/>
    <w:rsid w:val="00DB63DB"/>
    <w:rsid w:val="00DB686A"/>
    <w:rsid w:val="00DB74B5"/>
    <w:rsid w:val="00DC08F4"/>
    <w:rsid w:val="00DC14DA"/>
    <w:rsid w:val="00DC1A97"/>
    <w:rsid w:val="00DC1C99"/>
    <w:rsid w:val="00DC26B4"/>
    <w:rsid w:val="00DC63FA"/>
    <w:rsid w:val="00DD113B"/>
    <w:rsid w:val="00DD1B43"/>
    <w:rsid w:val="00DD6303"/>
    <w:rsid w:val="00DD6A73"/>
    <w:rsid w:val="00DD7D94"/>
    <w:rsid w:val="00DE13C1"/>
    <w:rsid w:val="00DE2410"/>
    <w:rsid w:val="00DE593F"/>
    <w:rsid w:val="00DE5C83"/>
    <w:rsid w:val="00DE6405"/>
    <w:rsid w:val="00DF14D8"/>
    <w:rsid w:val="00DF2472"/>
    <w:rsid w:val="00DF357D"/>
    <w:rsid w:val="00DF5C47"/>
    <w:rsid w:val="00DF6DCD"/>
    <w:rsid w:val="00DF7A65"/>
    <w:rsid w:val="00E00419"/>
    <w:rsid w:val="00E03295"/>
    <w:rsid w:val="00E03C54"/>
    <w:rsid w:val="00E0418B"/>
    <w:rsid w:val="00E04967"/>
    <w:rsid w:val="00E05316"/>
    <w:rsid w:val="00E062CC"/>
    <w:rsid w:val="00E06C7A"/>
    <w:rsid w:val="00E112AF"/>
    <w:rsid w:val="00E12E44"/>
    <w:rsid w:val="00E1338C"/>
    <w:rsid w:val="00E15B02"/>
    <w:rsid w:val="00E16654"/>
    <w:rsid w:val="00E20A41"/>
    <w:rsid w:val="00E23B3C"/>
    <w:rsid w:val="00E26332"/>
    <w:rsid w:val="00E27211"/>
    <w:rsid w:val="00E278E7"/>
    <w:rsid w:val="00E27A21"/>
    <w:rsid w:val="00E3086F"/>
    <w:rsid w:val="00E31251"/>
    <w:rsid w:val="00E31752"/>
    <w:rsid w:val="00E32CF2"/>
    <w:rsid w:val="00E336EA"/>
    <w:rsid w:val="00E371C8"/>
    <w:rsid w:val="00E373F1"/>
    <w:rsid w:val="00E40A70"/>
    <w:rsid w:val="00E41AFC"/>
    <w:rsid w:val="00E4274E"/>
    <w:rsid w:val="00E44677"/>
    <w:rsid w:val="00E44CEC"/>
    <w:rsid w:val="00E45B66"/>
    <w:rsid w:val="00E47018"/>
    <w:rsid w:val="00E476FF"/>
    <w:rsid w:val="00E47AA5"/>
    <w:rsid w:val="00E507AF"/>
    <w:rsid w:val="00E5097B"/>
    <w:rsid w:val="00E50D09"/>
    <w:rsid w:val="00E51414"/>
    <w:rsid w:val="00E537B0"/>
    <w:rsid w:val="00E547DF"/>
    <w:rsid w:val="00E61135"/>
    <w:rsid w:val="00E6126F"/>
    <w:rsid w:val="00E61C14"/>
    <w:rsid w:val="00E6430B"/>
    <w:rsid w:val="00E65989"/>
    <w:rsid w:val="00E65FEB"/>
    <w:rsid w:val="00E70BA6"/>
    <w:rsid w:val="00E73025"/>
    <w:rsid w:val="00E7383B"/>
    <w:rsid w:val="00E739AB"/>
    <w:rsid w:val="00E763C0"/>
    <w:rsid w:val="00E77F90"/>
    <w:rsid w:val="00E80B2C"/>
    <w:rsid w:val="00E80C18"/>
    <w:rsid w:val="00E813AB"/>
    <w:rsid w:val="00E83412"/>
    <w:rsid w:val="00E84442"/>
    <w:rsid w:val="00E844C2"/>
    <w:rsid w:val="00E85105"/>
    <w:rsid w:val="00E8625C"/>
    <w:rsid w:val="00E87680"/>
    <w:rsid w:val="00E912AD"/>
    <w:rsid w:val="00E9154C"/>
    <w:rsid w:val="00E93332"/>
    <w:rsid w:val="00E93D7B"/>
    <w:rsid w:val="00E96BDD"/>
    <w:rsid w:val="00E9773E"/>
    <w:rsid w:val="00EA047D"/>
    <w:rsid w:val="00EA267D"/>
    <w:rsid w:val="00EA3868"/>
    <w:rsid w:val="00EA4024"/>
    <w:rsid w:val="00EA4B73"/>
    <w:rsid w:val="00EB14E5"/>
    <w:rsid w:val="00EB1FB5"/>
    <w:rsid w:val="00EB2599"/>
    <w:rsid w:val="00EB3EFD"/>
    <w:rsid w:val="00EB5CE7"/>
    <w:rsid w:val="00EB73BA"/>
    <w:rsid w:val="00EC0322"/>
    <w:rsid w:val="00EC06E3"/>
    <w:rsid w:val="00EC2364"/>
    <w:rsid w:val="00EC384D"/>
    <w:rsid w:val="00EC3CF8"/>
    <w:rsid w:val="00EC3F29"/>
    <w:rsid w:val="00EC4285"/>
    <w:rsid w:val="00EC52A2"/>
    <w:rsid w:val="00EC677F"/>
    <w:rsid w:val="00EC7409"/>
    <w:rsid w:val="00EC7A14"/>
    <w:rsid w:val="00ED078E"/>
    <w:rsid w:val="00ED1CB9"/>
    <w:rsid w:val="00ED2366"/>
    <w:rsid w:val="00ED38A9"/>
    <w:rsid w:val="00ED3A8A"/>
    <w:rsid w:val="00ED4176"/>
    <w:rsid w:val="00ED4338"/>
    <w:rsid w:val="00ED4E60"/>
    <w:rsid w:val="00ED66A5"/>
    <w:rsid w:val="00EE15E6"/>
    <w:rsid w:val="00EE2F02"/>
    <w:rsid w:val="00EE3F89"/>
    <w:rsid w:val="00EE4BB2"/>
    <w:rsid w:val="00EE4C05"/>
    <w:rsid w:val="00EE4C9C"/>
    <w:rsid w:val="00EE689A"/>
    <w:rsid w:val="00EF0AF2"/>
    <w:rsid w:val="00EF0BA5"/>
    <w:rsid w:val="00EF114A"/>
    <w:rsid w:val="00EF2BE9"/>
    <w:rsid w:val="00EF390C"/>
    <w:rsid w:val="00EF4C09"/>
    <w:rsid w:val="00EF58F7"/>
    <w:rsid w:val="00EF6FD2"/>
    <w:rsid w:val="00F00276"/>
    <w:rsid w:val="00F0137F"/>
    <w:rsid w:val="00F01751"/>
    <w:rsid w:val="00F0372A"/>
    <w:rsid w:val="00F12017"/>
    <w:rsid w:val="00F1483D"/>
    <w:rsid w:val="00F1495B"/>
    <w:rsid w:val="00F15BC3"/>
    <w:rsid w:val="00F1708C"/>
    <w:rsid w:val="00F17AAE"/>
    <w:rsid w:val="00F17C96"/>
    <w:rsid w:val="00F21E74"/>
    <w:rsid w:val="00F22271"/>
    <w:rsid w:val="00F22CAE"/>
    <w:rsid w:val="00F25ADC"/>
    <w:rsid w:val="00F25E69"/>
    <w:rsid w:val="00F2667B"/>
    <w:rsid w:val="00F269C1"/>
    <w:rsid w:val="00F2710A"/>
    <w:rsid w:val="00F27230"/>
    <w:rsid w:val="00F30CBC"/>
    <w:rsid w:val="00F327A5"/>
    <w:rsid w:val="00F349FD"/>
    <w:rsid w:val="00F34F59"/>
    <w:rsid w:val="00F35FD4"/>
    <w:rsid w:val="00F3751D"/>
    <w:rsid w:val="00F41201"/>
    <w:rsid w:val="00F41694"/>
    <w:rsid w:val="00F42D15"/>
    <w:rsid w:val="00F440AA"/>
    <w:rsid w:val="00F47260"/>
    <w:rsid w:val="00F47FC1"/>
    <w:rsid w:val="00F47FCB"/>
    <w:rsid w:val="00F5169D"/>
    <w:rsid w:val="00F51E69"/>
    <w:rsid w:val="00F524F6"/>
    <w:rsid w:val="00F52D1A"/>
    <w:rsid w:val="00F536D9"/>
    <w:rsid w:val="00F54B0C"/>
    <w:rsid w:val="00F55273"/>
    <w:rsid w:val="00F5688F"/>
    <w:rsid w:val="00F6142F"/>
    <w:rsid w:val="00F61FDC"/>
    <w:rsid w:val="00F6406D"/>
    <w:rsid w:val="00F668A3"/>
    <w:rsid w:val="00F7343B"/>
    <w:rsid w:val="00F76347"/>
    <w:rsid w:val="00F8039E"/>
    <w:rsid w:val="00F819A8"/>
    <w:rsid w:val="00F82395"/>
    <w:rsid w:val="00F82884"/>
    <w:rsid w:val="00F83139"/>
    <w:rsid w:val="00F8376D"/>
    <w:rsid w:val="00F84BE7"/>
    <w:rsid w:val="00F85118"/>
    <w:rsid w:val="00F85648"/>
    <w:rsid w:val="00F859EE"/>
    <w:rsid w:val="00F85F35"/>
    <w:rsid w:val="00F85F84"/>
    <w:rsid w:val="00F86F32"/>
    <w:rsid w:val="00F86F54"/>
    <w:rsid w:val="00F90FA5"/>
    <w:rsid w:val="00F9274D"/>
    <w:rsid w:val="00F927D3"/>
    <w:rsid w:val="00F95C91"/>
    <w:rsid w:val="00F96B5C"/>
    <w:rsid w:val="00FA0C76"/>
    <w:rsid w:val="00FA0E7C"/>
    <w:rsid w:val="00FA2363"/>
    <w:rsid w:val="00FA4673"/>
    <w:rsid w:val="00FA69D2"/>
    <w:rsid w:val="00FB1236"/>
    <w:rsid w:val="00FB1F8D"/>
    <w:rsid w:val="00FB2B15"/>
    <w:rsid w:val="00FB32A1"/>
    <w:rsid w:val="00FC0400"/>
    <w:rsid w:val="00FC2EFD"/>
    <w:rsid w:val="00FC416F"/>
    <w:rsid w:val="00FC4803"/>
    <w:rsid w:val="00FC4BB7"/>
    <w:rsid w:val="00FC555E"/>
    <w:rsid w:val="00FD1B76"/>
    <w:rsid w:val="00FD3B55"/>
    <w:rsid w:val="00FD4C46"/>
    <w:rsid w:val="00FD554C"/>
    <w:rsid w:val="00FD58A7"/>
    <w:rsid w:val="00FD5DEE"/>
    <w:rsid w:val="00FE1160"/>
    <w:rsid w:val="00FE2285"/>
    <w:rsid w:val="00FE74E2"/>
    <w:rsid w:val="00FE7EB0"/>
    <w:rsid w:val="00FF08C0"/>
    <w:rsid w:val="00FF0DED"/>
    <w:rsid w:val="00FF1A42"/>
    <w:rsid w:val="00FF1D69"/>
    <w:rsid w:val="00FF324D"/>
    <w:rsid w:val="00FF352F"/>
    <w:rsid w:val="00FF5FD2"/>
    <w:rsid w:val="00FF6439"/>
    <w:rsid w:val="00FF6F25"/>
    <w:rsid w:val="00FF799C"/>
    <w:rsid w:val="00FF7CC1"/>
    <w:rsid w:val="00FF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martTagType w:namespaceuri="urn:schemas-microsoft-com:office:smarttags" w:name="place"/>
  <w:shapeDefaults>
    <o:shapedefaults v:ext="edit" spidmax="2050"/>
    <o:shapelayout v:ext="edit">
      <o:idmap v:ext="edit" data="2"/>
    </o:shapelayout>
  </w:shapeDefaults>
  <w:decimalSymbol w:val="."/>
  <w:listSeparator w:val=","/>
  <w14:docId w14:val="3B8F1414"/>
  <w15:docId w15:val="{828EB594-2178-4265-87E9-6CE61685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E6"/>
    <w:rPr>
      <w:rFonts w:eastAsia="Times New Roman" w:cs="Times New Roman"/>
      <w:sz w:val="24"/>
    </w:rPr>
  </w:style>
  <w:style w:type="paragraph" w:styleId="Heading1">
    <w:name w:val="heading 1"/>
    <w:basedOn w:val="Normal"/>
    <w:next w:val="Normal"/>
    <w:link w:val="Heading1Char"/>
    <w:qFormat/>
    <w:rsid w:val="00B878B5"/>
    <w:pPr>
      <w:keepNext/>
      <w:numPr>
        <w:numId w:val="2"/>
      </w:numPr>
      <w:tabs>
        <w:tab w:val="clear" w:pos="792"/>
        <w:tab w:val="num" w:pos="720"/>
      </w:tabs>
      <w:spacing w:before="240" w:after="120"/>
      <w:ind w:left="720" w:hanging="720"/>
      <w:outlineLvl w:val="0"/>
    </w:pPr>
    <w:rPr>
      <w:rFonts w:ascii="Arial" w:hAnsi="Arial"/>
      <w:b/>
      <w:bCs/>
      <w:kern w:val="32"/>
      <w:sz w:val="32"/>
      <w:szCs w:val="32"/>
      <w:lang w:val="x-none" w:eastAsia="x-none"/>
    </w:rPr>
  </w:style>
  <w:style w:type="paragraph" w:styleId="Heading2">
    <w:name w:val="heading 2"/>
    <w:basedOn w:val="Heading1"/>
    <w:next w:val="Normal"/>
    <w:link w:val="Heading2Char"/>
    <w:qFormat/>
    <w:rsid w:val="003C2B28"/>
    <w:pPr>
      <w:numPr>
        <w:ilvl w:val="1"/>
      </w:numPr>
      <w:tabs>
        <w:tab w:val="num" w:pos="720"/>
      </w:tabs>
      <w:ind w:left="720" w:hanging="720"/>
      <w:outlineLvl w:val="1"/>
    </w:pPr>
    <w:rPr>
      <w:color w:val="000000"/>
      <w:kern w:val="28"/>
      <w:sz w:val="24"/>
      <w:szCs w:val="28"/>
    </w:rPr>
  </w:style>
  <w:style w:type="paragraph" w:styleId="Heading3">
    <w:name w:val="heading 3"/>
    <w:basedOn w:val="Normal"/>
    <w:next w:val="Normal"/>
    <w:link w:val="Heading3Char"/>
    <w:qFormat/>
    <w:rsid w:val="00361BFC"/>
    <w:pPr>
      <w:keepNext/>
      <w:keepLines/>
      <w:tabs>
        <w:tab w:val="left" w:pos="1530"/>
      </w:tabs>
      <w:spacing w:before="240" w:after="120"/>
      <w:ind w:left="720" w:hanging="720"/>
      <w:outlineLvl w:val="2"/>
    </w:pPr>
    <w:rPr>
      <w:rFonts w:ascii="Arial" w:hAnsi="Arial"/>
      <w:b/>
      <w:sz w:val="22"/>
      <w:lang w:val="x-none" w:eastAsia="x-none"/>
    </w:rPr>
  </w:style>
  <w:style w:type="paragraph" w:styleId="Heading4">
    <w:name w:val="heading 4"/>
    <w:basedOn w:val="Normal"/>
    <w:next w:val="Normal"/>
    <w:link w:val="Heading4Char"/>
    <w:qFormat/>
    <w:rsid w:val="00667AE6"/>
    <w:pPr>
      <w:spacing w:before="120" w:after="60"/>
      <w:outlineLvl w:val="3"/>
    </w:pPr>
    <w:rPr>
      <w:rFonts w:ascii="Arial" w:hAnsi="Arial"/>
      <w:b/>
      <w:sz w:val="22"/>
      <w:lang w:val="x-none" w:eastAsia="x-none"/>
    </w:rPr>
  </w:style>
  <w:style w:type="paragraph" w:styleId="Heading5">
    <w:name w:val="heading 5"/>
    <w:basedOn w:val="Normal"/>
    <w:next w:val="Normal"/>
    <w:link w:val="Heading5Char"/>
    <w:semiHidden/>
    <w:qFormat/>
    <w:rsid w:val="00837C8B"/>
    <w:pPr>
      <w:numPr>
        <w:ilvl w:val="4"/>
        <w:numId w:val="5"/>
      </w:numPr>
      <w:spacing w:before="240" w:after="60"/>
      <w:outlineLvl w:val="4"/>
    </w:pPr>
    <w:rPr>
      <w:rFonts w:ascii="Times New Roman" w:hAnsi="Times New Roman"/>
      <w:b/>
      <w:bCs/>
      <w:iCs/>
      <w:sz w:val="22"/>
      <w:szCs w:val="26"/>
      <w:lang w:val="x-none" w:eastAsia="x-none"/>
    </w:rPr>
  </w:style>
  <w:style w:type="paragraph" w:styleId="Heading6">
    <w:name w:val="heading 6"/>
    <w:basedOn w:val="Normal"/>
    <w:next w:val="Normal"/>
    <w:link w:val="Heading6Char"/>
    <w:semiHidden/>
    <w:qFormat/>
    <w:rsid w:val="00837C8B"/>
    <w:pPr>
      <w:numPr>
        <w:ilvl w:val="5"/>
        <w:numId w:val="5"/>
      </w:numPr>
      <w:spacing w:before="240" w:after="60"/>
      <w:outlineLvl w:val="5"/>
    </w:pPr>
    <w:rPr>
      <w:rFonts w:ascii="Times New Roman" w:hAnsi="Times New Roman"/>
      <w:i/>
      <w:sz w:val="22"/>
      <w:lang w:val="x-none" w:eastAsia="x-none"/>
    </w:rPr>
  </w:style>
  <w:style w:type="paragraph" w:styleId="Heading7">
    <w:name w:val="heading 7"/>
    <w:basedOn w:val="Normal"/>
    <w:next w:val="Normal"/>
    <w:link w:val="Heading7Char"/>
    <w:semiHidden/>
    <w:qFormat/>
    <w:rsid w:val="00837C8B"/>
    <w:pPr>
      <w:numPr>
        <w:ilvl w:val="6"/>
        <w:numId w:val="5"/>
      </w:numPr>
      <w:spacing w:before="240" w:after="60"/>
      <w:outlineLvl w:val="6"/>
    </w:pPr>
    <w:rPr>
      <w:rFonts w:ascii="Times New Roman" w:hAnsi="Times New Roman"/>
      <w:sz w:val="22"/>
      <w:lang w:val="x-none" w:eastAsia="x-none"/>
    </w:rPr>
  </w:style>
  <w:style w:type="paragraph" w:styleId="Heading8">
    <w:name w:val="heading 8"/>
    <w:basedOn w:val="Normal"/>
    <w:next w:val="Normal"/>
    <w:link w:val="Heading8Char"/>
    <w:semiHidden/>
    <w:qFormat/>
    <w:rsid w:val="00837C8B"/>
    <w:pPr>
      <w:numPr>
        <w:ilvl w:val="7"/>
        <w:numId w:val="5"/>
      </w:numPr>
      <w:spacing w:before="240" w:after="60"/>
      <w:outlineLvl w:val="7"/>
    </w:pPr>
    <w:rPr>
      <w:rFonts w:ascii="Times New Roman" w:hAnsi="Times New Roman"/>
      <w:i/>
      <w:sz w:val="22"/>
      <w:lang w:val="x-none" w:eastAsia="x-none"/>
    </w:rPr>
  </w:style>
  <w:style w:type="paragraph" w:styleId="Heading9">
    <w:name w:val="heading 9"/>
    <w:basedOn w:val="Normal"/>
    <w:next w:val="Normal"/>
    <w:link w:val="Heading9Char"/>
    <w:semiHidden/>
    <w:qFormat/>
    <w:rsid w:val="00837C8B"/>
    <w:pPr>
      <w:numPr>
        <w:ilvl w:val="8"/>
        <w:numId w:val="5"/>
      </w:numPr>
      <w:spacing w:before="240" w:after="60"/>
      <w:outlineLvl w:val="8"/>
    </w:pPr>
    <w:rPr>
      <w:rFonts w:ascii="Times New Roman" w:hAnsi="Times New Roman"/>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6CF"/>
    <w:pPr>
      <w:ind w:left="720"/>
    </w:pPr>
  </w:style>
  <w:style w:type="character" w:customStyle="1" w:styleId="Heading1Char">
    <w:name w:val="Heading 1 Char"/>
    <w:link w:val="Heading1"/>
    <w:rsid w:val="00B878B5"/>
    <w:rPr>
      <w:rFonts w:ascii="Arial" w:eastAsia="Times New Roman" w:hAnsi="Arial" w:cs="Times New Roman"/>
      <w:b/>
      <w:bCs/>
      <w:kern w:val="32"/>
      <w:sz w:val="32"/>
      <w:szCs w:val="32"/>
      <w:lang w:val="x-none" w:eastAsia="x-none"/>
    </w:rPr>
  </w:style>
  <w:style w:type="paragraph" w:customStyle="1" w:styleId="bullets">
    <w:name w:val="bullets"/>
    <w:basedOn w:val="BodyText"/>
    <w:rsid w:val="00FE1160"/>
    <w:pPr>
      <w:numPr>
        <w:numId w:val="3"/>
      </w:numPr>
      <w:tabs>
        <w:tab w:val="clear" w:pos="1080"/>
      </w:tabs>
      <w:spacing w:before="0"/>
      <w:ind w:left="720"/>
    </w:pPr>
    <w:rPr>
      <w:lang w:val="en-US"/>
    </w:rPr>
  </w:style>
  <w:style w:type="paragraph" w:styleId="BodyText">
    <w:name w:val="Body Text"/>
    <w:basedOn w:val="Normal"/>
    <w:link w:val="BodyTextChar"/>
    <w:rsid w:val="006B7B32"/>
    <w:pPr>
      <w:spacing w:before="120" w:after="120"/>
    </w:pPr>
    <w:rPr>
      <w:rFonts w:ascii="Times New Roman" w:hAnsi="Times New Roman"/>
      <w:szCs w:val="22"/>
      <w:lang w:val="x-none" w:eastAsia="x-none"/>
    </w:rPr>
  </w:style>
  <w:style w:type="character" w:customStyle="1" w:styleId="BodyTextChar">
    <w:name w:val="Body Text Char"/>
    <w:link w:val="BodyText"/>
    <w:rsid w:val="006B7B32"/>
    <w:rPr>
      <w:rFonts w:ascii="Times New Roman" w:eastAsia="Times New Roman" w:hAnsi="Times New Roman" w:cs="Times New Roman"/>
      <w:sz w:val="24"/>
      <w:szCs w:val="22"/>
      <w:lang w:val="x-none" w:eastAsia="x-none"/>
    </w:rPr>
  </w:style>
  <w:style w:type="paragraph" w:customStyle="1" w:styleId="bullets-single-spaced">
    <w:name w:val="bullets - single-spaced"/>
    <w:basedOn w:val="bullets"/>
    <w:qFormat/>
    <w:rsid w:val="00B93EB0"/>
    <w:pPr>
      <w:spacing w:after="60"/>
    </w:pPr>
  </w:style>
  <w:style w:type="paragraph" w:styleId="BalloonText">
    <w:name w:val="Balloon Text"/>
    <w:basedOn w:val="Normal"/>
    <w:link w:val="BalloonTextChar"/>
    <w:semiHidden/>
    <w:rsid w:val="00837C8B"/>
    <w:rPr>
      <w:rFonts w:ascii="Tahoma" w:hAnsi="Tahoma"/>
      <w:sz w:val="16"/>
      <w:szCs w:val="16"/>
      <w:lang w:val="x-none" w:eastAsia="x-none"/>
    </w:rPr>
  </w:style>
  <w:style w:type="character" w:customStyle="1" w:styleId="BalloonTextChar">
    <w:name w:val="Balloon Text Char"/>
    <w:link w:val="BalloonText"/>
    <w:semiHidden/>
    <w:rsid w:val="00013B8B"/>
    <w:rPr>
      <w:rFonts w:ascii="Tahoma" w:eastAsia="Times New Roman" w:hAnsi="Tahoma" w:cs="Tahoma"/>
      <w:sz w:val="16"/>
      <w:szCs w:val="16"/>
    </w:rPr>
  </w:style>
  <w:style w:type="character" w:styleId="CommentReference">
    <w:name w:val="annotation reference"/>
    <w:uiPriority w:val="99"/>
    <w:semiHidden/>
    <w:rsid w:val="00837C8B"/>
    <w:rPr>
      <w:sz w:val="16"/>
      <w:szCs w:val="16"/>
    </w:rPr>
  </w:style>
  <w:style w:type="paragraph" w:styleId="CommentText">
    <w:name w:val="annotation text"/>
    <w:basedOn w:val="Normal"/>
    <w:link w:val="CommentTextChar"/>
    <w:uiPriority w:val="99"/>
    <w:semiHidden/>
    <w:rsid w:val="00837C8B"/>
    <w:pPr>
      <w:spacing w:after="120"/>
    </w:pPr>
    <w:rPr>
      <w:rFonts w:ascii="Times New Roman" w:hAnsi="Times New Roman"/>
      <w:sz w:val="20"/>
      <w:lang w:val="x-none" w:eastAsia="x-none"/>
    </w:rPr>
  </w:style>
  <w:style w:type="character" w:customStyle="1" w:styleId="CommentTextChar">
    <w:name w:val="Comment Text Char"/>
    <w:link w:val="CommentText"/>
    <w:uiPriority w:val="99"/>
    <w:semiHidden/>
    <w:rsid w:val="001A4F40"/>
    <w:rPr>
      <w:rFonts w:ascii="Times New Roman" w:eastAsia="Times New Roman" w:hAnsi="Times New Roman" w:cs="Times New Roman"/>
    </w:rPr>
  </w:style>
  <w:style w:type="paragraph" w:styleId="CommentSubject">
    <w:name w:val="annotation subject"/>
    <w:basedOn w:val="CommentText"/>
    <w:next w:val="CommentText"/>
    <w:link w:val="CommentSubjectChar"/>
    <w:semiHidden/>
    <w:rsid w:val="00837C8B"/>
    <w:rPr>
      <w:b/>
      <w:bCs/>
    </w:rPr>
  </w:style>
  <w:style w:type="character" w:customStyle="1" w:styleId="CommentSubjectChar">
    <w:name w:val="Comment Subject Char"/>
    <w:link w:val="CommentSubject"/>
    <w:semiHidden/>
    <w:rsid w:val="001A4F40"/>
    <w:rPr>
      <w:rFonts w:ascii="Times New Roman" w:eastAsia="Times New Roman" w:hAnsi="Times New Roman" w:cs="Times New Roman"/>
      <w:b/>
      <w:bCs/>
    </w:rPr>
  </w:style>
  <w:style w:type="paragraph" w:styleId="Revision">
    <w:name w:val="Revision"/>
    <w:hidden/>
    <w:uiPriority w:val="99"/>
    <w:semiHidden/>
    <w:rsid w:val="001A4F40"/>
    <w:rPr>
      <w:sz w:val="22"/>
      <w:szCs w:val="22"/>
    </w:rPr>
  </w:style>
  <w:style w:type="character" w:customStyle="1" w:styleId="Heading2Char">
    <w:name w:val="Heading 2 Char"/>
    <w:link w:val="Heading2"/>
    <w:rsid w:val="003C2B28"/>
    <w:rPr>
      <w:rFonts w:ascii="Arial" w:eastAsia="Times New Roman" w:hAnsi="Arial" w:cs="Times New Roman"/>
      <w:b/>
      <w:bCs/>
      <w:color w:val="000000"/>
      <w:kern w:val="28"/>
      <w:sz w:val="24"/>
      <w:szCs w:val="28"/>
      <w:lang w:val="x-none" w:eastAsia="x-none"/>
    </w:rPr>
  </w:style>
  <w:style w:type="paragraph" w:customStyle="1" w:styleId="ExhibitTitle">
    <w:name w:val="Exhibit Title"/>
    <w:basedOn w:val="Normal"/>
    <w:link w:val="ExhibitTitleCharChar"/>
    <w:qFormat/>
    <w:rsid w:val="006B7B32"/>
    <w:pPr>
      <w:keepNext/>
      <w:keepLines/>
      <w:spacing w:before="240" w:after="120"/>
      <w:ind w:left="1440" w:hanging="1440"/>
    </w:pPr>
    <w:rPr>
      <w:rFonts w:ascii="Arial" w:hAnsi="Arial"/>
      <w:b/>
      <w:bCs/>
      <w:iCs/>
      <w:lang w:val="x-none" w:eastAsia="x-none"/>
    </w:rPr>
  </w:style>
  <w:style w:type="paragraph" w:customStyle="1" w:styleId="Tablecheck">
    <w:name w:val="Table_check"/>
    <w:basedOn w:val="Normal"/>
    <w:qFormat/>
    <w:rsid w:val="005C7772"/>
    <w:pPr>
      <w:widowControl w:val="0"/>
      <w:numPr>
        <w:numId w:val="12"/>
      </w:numPr>
      <w:spacing w:before="60" w:after="60" w:line="276" w:lineRule="auto"/>
    </w:pPr>
    <w:rPr>
      <w:rFonts w:ascii="Arial" w:hAnsi="Arial" w:cs="Arial"/>
      <w:color w:val="002060"/>
      <w:sz w:val="20"/>
    </w:rPr>
  </w:style>
  <w:style w:type="character" w:styleId="Hyperlink">
    <w:name w:val="Hyperlink"/>
    <w:uiPriority w:val="99"/>
    <w:rsid w:val="00837C8B"/>
    <w:rPr>
      <w:color w:val="0000FF"/>
      <w:u w:val="single"/>
    </w:rPr>
  </w:style>
  <w:style w:type="table" w:styleId="TableGrid">
    <w:name w:val="Table Grid"/>
    <w:basedOn w:val="TableNormal"/>
    <w:uiPriority w:val="39"/>
    <w:rsid w:val="00F819A8"/>
    <w:pPr>
      <w:widowControl w:val="0"/>
    </w:pPr>
    <w:rPr>
      <w:rFonts w:ascii="Arial" w:eastAsia="Times New Roman"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right w:w="72" w:type="dxa"/>
      </w:tblCellMar>
    </w:tblPr>
    <w:tblStylePr w:type="firstRow">
      <w:pPr>
        <w:jc w:val="center"/>
      </w:pPr>
      <w:tblPr/>
      <w:tcPr>
        <w:shd w:val="clear" w:color="auto" w:fill="D9D9D9"/>
        <w:vAlign w:val="bottom"/>
      </w:tcPr>
    </w:tblStylePr>
  </w:style>
  <w:style w:type="paragraph" w:customStyle="1" w:styleId="Cov-Date">
    <w:name w:val="Cov-Date"/>
    <w:basedOn w:val="Normal"/>
    <w:rsid w:val="00E03295"/>
    <w:pPr>
      <w:jc w:val="right"/>
    </w:pPr>
    <w:rPr>
      <w:rFonts w:ascii="Arial" w:hAnsi="Arial"/>
      <w:b/>
      <w:sz w:val="22"/>
    </w:rPr>
  </w:style>
  <w:style w:type="paragraph" w:customStyle="1" w:styleId="Cov-Subtitle">
    <w:name w:val="Cov-Subtitle"/>
    <w:basedOn w:val="Normal"/>
    <w:rsid w:val="003E60D1"/>
    <w:pPr>
      <w:jc w:val="right"/>
    </w:pPr>
    <w:rPr>
      <w:rFonts w:ascii="Verdana" w:hAnsi="Verdana"/>
      <w:b/>
      <w:sz w:val="36"/>
    </w:rPr>
  </w:style>
  <w:style w:type="paragraph" w:customStyle="1" w:styleId="Cov-Address">
    <w:name w:val="Cov-Address"/>
    <w:basedOn w:val="Normal"/>
    <w:rsid w:val="00E03295"/>
    <w:pPr>
      <w:jc w:val="right"/>
    </w:pPr>
    <w:rPr>
      <w:rFonts w:ascii="Arial" w:hAnsi="Arial"/>
      <w:sz w:val="22"/>
    </w:rPr>
  </w:style>
  <w:style w:type="paragraph" w:customStyle="1" w:styleId="CoverSheetTitleBold">
    <w:name w:val="Cover Sheet Title Bold"/>
    <w:basedOn w:val="Normal"/>
    <w:rsid w:val="00837C8B"/>
    <w:pPr>
      <w:widowControl w:val="0"/>
      <w:spacing w:after="80"/>
      <w:jc w:val="right"/>
    </w:pPr>
    <w:rPr>
      <w:rFonts w:ascii="Arial" w:hAnsi="Arial"/>
      <w:b/>
      <w:bCs/>
      <w:sz w:val="56"/>
    </w:rPr>
  </w:style>
  <w:style w:type="paragraph" w:customStyle="1" w:styleId="Default">
    <w:name w:val="Default"/>
    <w:rsid w:val="009554D2"/>
    <w:pPr>
      <w:autoSpaceDE w:val="0"/>
      <w:autoSpaceDN w:val="0"/>
      <w:adjustRightInd w:val="0"/>
    </w:pPr>
    <w:rPr>
      <w:rFonts w:ascii="Times New Roman" w:hAnsi="Times New Roman" w:cs="Times New Roman"/>
      <w:color w:val="000000"/>
      <w:sz w:val="24"/>
      <w:szCs w:val="24"/>
    </w:rPr>
  </w:style>
  <w:style w:type="paragraph" w:customStyle="1" w:styleId="Tableblankbullet">
    <w:name w:val="Table blank bullet"/>
    <w:basedOn w:val="TableText"/>
    <w:qFormat/>
    <w:rsid w:val="004918EA"/>
    <w:pPr>
      <w:widowControl w:val="0"/>
      <w:ind w:left="360" w:hanging="360"/>
    </w:pPr>
    <w:rPr>
      <w:lang w:val="en-US"/>
    </w:rPr>
  </w:style>
  <w:style w:type="paragraph" w:styleId="Header">
    <w:name w:val="header"/>
    <w:basedOn w:val="Normal"/>
    <w:link w:val="HeaderChar"/>
    <w:rsid w:val="009B17E9"/>
    <w:pPr>
      <w:tabs>
        <w:tab w:val="center" w:pos="4320"/>
        <w:tab w:val="right" w:pos="8640"/>
      </w:tabs>
      <w:autoSpaceDE w:val="0"/>
      <w:autoSpaceDN w:val="0"/>
      <w:adjustRightInd w:val="0"/>
    </w:pPr>
    <w:rPr>
      <w:rFonts w:ascii="Times New Roman" w:hAnsi="Times New Roman"/>
      <w:sz w:val="22"/>
      <w:lang w:val="x-none" w:eastAsia="x-none"/>
    </w:rPr>
  </w:style>
  <w:style w:type="character" w:customStyle="1" w:styleId="HeaderChar">
    <w:name w:val="Header Char"/>
    <w:link w:val="Header"/>
    <w:rsid w:val="009B17E9"/>
    <w:rPr>
      <w:rFonts w:ascii="Times New Roman" w:eastAsia="Times New Roman" w:hAnsi="Times New Roman" w:cs="Times New Roman"/>
      <w:sz w:val="22"/>
      <w:lang w:val="x-none" w:eastAsia="x-none"/>
    </w:rPr>
  </w:style>
  <w:style w:type="paragraph" w:styleId="Footer">
    <w:name w:val="footer"/>
    <w:basedOn w:val="Normal"/>
    <w:link w:val="FooterChar"/>
    <w:rsid w:val="0073513C"/>
    <w:pPr>
      <w:tabs>
        <w:tab w:val="center" w:pos="4320"/>
        <w:tab w:val="right" w:pos="8640"/>
      </w:tabs>
      <w:autoSpaceDE w:val="0"/>
      <w:autoSpaceDN w:val="0"/>
      <w:adjustRightInd w:val="0"/>
      <w:jc w:val="center"/>
    </w:pPr>
    <w:rPr>
      <w:rFonts w:ascii="Times New Roman" w:hAnsi="Times New Roman"/>
      <w:sz w:val="22"/>
      <w:lang w:val="x-none" w:eastAsia="x-none"/>
    </w:rPr>
  </w:style>
  <w:style w:type="character" w:customStyle="1" w:styleId="FooterChar">
    <w:name w:val="Footer Char"/>
    <w:link w:val="Footer"/>
    <w:rsid w:val="0073513C"/>
    <w:rPr>
      <w:rFonts w:ascii="Times New Roman" w:eastAsia="Times New Roman" w:hAnsi="Times New Roman" w:cs="Times New Roman"/>
      <w:sz w:val="22"/>
      <w:lang w:val="x-none" w:eastAsia="x-none"/>
    </w:rPr>
  </w:style>
  <w:style w:type="character" w:styleId="PageNumber">
    <w:name w:val="page number"/>
    <w:rsid w:val="005C7772"/>
    <w:rPr>
      <w:rFonts w:ascii="Times New Roman" w:hAnsi="Times New Roman"/>
      <w:sz w:val="22"/>
    </w:rPr>
  </w:style>
  <w:style w:type="character" w:customStyle="1" w:styleId="Heading3Char">
    <w:name w:val="Heading 3 Char"/>
    <w:link w:val="Heading3"/>
    <w:rsid w:val="00361BFC"/>
    <w:rPr>
      <w:rFonts w:ascii="Arial" w:eastAsia="Times New Roman" w:hAnsi="Arial" w:cs="Times New Roman"/>
      <w:b/>
      <w:sz w:val="22"/>
      <w:lang w:val="x-none" w:eastAsia="x-none"/>
    </w:rPr>
  </w:style>
  <w:style w:type="paragraph" w:styleId="BodyTextIndent">
    <w:name w:val="Body Text Indent"/>
    <w:basedOn w:val="Normal"/>
    <w:link w:val="BodyTextIndentChar"/>
    <w:uiPriority w:val="99"/>
    <w:semiHidden/>
    <w:unhideWhenUsed/>
    <w:rsid w:val="00214763"/>
    <w:pPr>
      <w:spacing w:after="120"/>
      <w:ind w:left="360"/>
    </w:pPr>
    <w:rPr>
      <w:rFonts w:eastAsia="Calibri"/>
      <w:sz w:val="22"/>
      <w:szCs w:val="22"/>
      <w:lang w:val="x-none" w:eastAsia="x-none"/>
    </w:rPr>
  </w:style>
  <w:style w:type="character" w:customStyle="1" w:styleId="BodyTextIndentChar">
    <w:name w:val="Body Text Indent Char"/>
    <w:link w:val="BodyTextIndent"/>
    <w:uiPriority w:val="99"/>
    <w:semiHidden/>
    <w:rsid w:val="00214763"/>
    <w:rPr>
      <w:sz w:val="22"/>
      <w:szCs w:val="22"/>
    </w:rPr>
  </w:style>
  <w:style w:type="character" w:customStyle="1" w:styleId="Heading4Char">
    <w:name w:val="Heading 4 Char"/>
    <w:link w:val="Heading4"/>
    <w:rsid w:val="00837C8B"/>
    <w:rPr>
      <w:rFonts w:ascii="Arial" w:eastAsia="Times New Roman" w:hAnsi="Arial" w:cs="Times New Roman"/>
      <w:b/>
      <w:sz w:val="22"/>
      <w:lang w:val="x-none" w:eastAsia="x-none"/>
    </w:rPr>
  </w:style>
  <w:style w:type="character" w:customStyle="1" w:styleId="Heading5Char">
    <w:name w:val="Heading 5 Char"/>
    <w:link w:val="Heading5"/>
    <w:semiHidden/>
    <w:rsid w:val="00667AE6"/>
    <w:rPr>
      <w:rFonts w:ascii="Times New Roman" w:eastAsia="Times New Roman" w:hAnsi="Times New Roman" w:cs="Times New Roman"/>
      <w:b/>
      <w:bCs/>
      <w:iCs/>
      <w:sz w:val="22"/>
      <w:szCs w:val="26"/>
      <w:lang w:val="x-none" w:eastAsia="x-none"/>
    </w:rPr>
  </w:style>
  <w:style w:type="character" w:customStyle="1" w:styleId="Heading6Char">
    <w:name w:val="Heading 6 Char"/>
    <w:link w:val="Heading6"/>
    <w:semiHidden/>
    <w:rsid w:val="00667AE6"/>
    <w:rPr>
      <w:rFonts w:ascii="Times New Roman" w:eastAsia="Times New Roman" w:hAnsi="Times New Roman" w:cs="Times New Roman"/>
      <w:i/>
      <w:sz w:val="22"/>
      <w:lang w:val="x-none" w:eastAsia="x-none"/>
    </w:rPr>
  </w:style>
  <w:style w:type="character" w:customStyle="1" w:styleId="Heading7Char">
    <w:name w:val="Heading 7 Char"/>
    <w:link w:val="Heading7"/>
    <w:semiHidden/>
    <w:rsid w:val="00667AE6"/>
    <w:rPr>
      <w:rFonts w:ascii="Times New Roman" w:eastAsia="Times New Roman" w:hAnsi="Times New Roman" w:cs="Times New Roman"/>
      <w:sz w:val="22"/>
      <w:lang w:val="x-none" w:eastAsia="x-none"/>
    </w:rPr>
  </w:style>
  <w:style w:type="character" w:customStyle="1" w:styleId="Heading8Char">
    <w:name w:val="Heading 8 Char"/>
    <w:link w:val="Heading8"/>
    <w:semiHidden/>
    <w:rsid w:val="00667AE6"/>
    <w:rPr>
      <w:rFonts w:ascii="Times New Roman" w:eastAsia="Times New Roman" w:hAnsi="Times New Roman" w:cs="Times New Roman"/>
      <w:i/>
      <w:sz w:val="22"/>
      <w:lang w:val="x-none" w:eastAsia="x-none"/>
    </w:rPr>
  </w:style>
  <w:style w:type="character" w:customStyle="1" w:styleId="Heading9Char">
    <w:name w:val="Heading 9 Char"/>
    <w:link w:val="Heading9"/>
    <w:semiHidden/>
    <w:rsid w:val="00667AE6"/>
    <w:rPr>
      <w:rFonts w:ascii="Times New Roman" w:eastAsia="Times New Roman" w:hAnsi="Times New Roman" w:cs="Times New Roman"/>
      <w:b/>
      <w:i/>
      <w:sz w:val="18"/>
      <w:lang w:val="x-none" w:eastAsia="x-none"/>
    </w:rPr>
  </w:style>
  <w:style w:type="paragraph" w:styleId="Caption">
    <w:name w:val="caption"/>
    <w:basedOn w:val="Normal"/>
    <w:next w:val="Normal"/>
    <w:qFormat/>
    <w:rsid w:val="00837C8B"/>
    <w:pPr>
      <w:spacing w:before="120" w:after="120"/>
    </w:pPr>
    <w:rPr>
      <w:b/>
      <w:bCs/>
    </w:rPr>
  </w:style>
  <w:style w:type="paragraph" w:customStyle="1" w:styleId="CoverSheet">
    <w:name w:val="Cover Sheet"/>
    <w:basedOn w:val="Normal"/>
    <w:rsid w:val="00837C8B"/>
    <w:pPr>
      <w:jc w:val="right"/>
    </w:pPr>
    <w:rPr>
      <w:rFonts w:ascii="Arial" w:hAnsi="Arial"/>
      <w:sz w:val="48"/>
    </w:rPr>
  </w:style>
  <w:style w:type="character" w:customStyle="1" w:styleId="CoverSheetSub-Title">
    <w:name w:val="Cover Sheet Sub-Title"/>
    <w:rsid w:val="00837C8B"/>
    <w:rPr>
      <w:rFonts w:ascii="Arial" w:hAnsi="Arial"/>
      <w:sz w:val="40"/>
    </w:rPr>
  </w:style>
  <w:style w:type="paragraph" w:customStyle="1" w:styleId="CoverSheetAddress">
    <w:name w:val="CoverSheet Address"/>
    <w:basedOn w:val="Normal"/>
    <w:rsid w:val="00837C8B"/>
    <w:pPr>
      <w:jc w:val="right"/>
    </w:pPr>
  </w:style>
  <w:style w:type="paragraph" w:customStyle="1" w:styleId="CoverSheetName">
    <w:name w:val="CoverSheet Name"/>
    <w:basedOn w:val="Normal"/>
    <w:rsid w:val="00837C8B"/>
    <w:pPr>
      <w:ind w:left="360"/>
      <w:jc w:val="right"/>
    </w:pPr>
    <w:rPr>
      <w:b/>
      <w:bCs/>
    </w:rPr>
  </w:style>
  <w:style w:type="paragraph" w:customStyle="1" w:styleId="CoverSheetTitle">
    <w:name w:val="CoverSheet Title"/>
    <w:basedOn w:val="Normal"/>
    <w:rsid w:val="00837C8B"/>
    <w:pPr>
      <w:widowControl w:val="0"/>
      <w:spacing w:after="80"/>
      <w:jc w:val="right"/>
    </w:pPr>
    <w:rPr>
      <w:rFonts w:ascii="Arial" w:hAnsi="Arial"/>
      <w:b/>
      <w:bCs/>
      <w:sz w:val="56"/>
    </w:rPr>
  </w:style>
  <w:style w:type="character" w:styleId="FollowedHyperlink">
    <w:name w:val="FollowedHyperlink"/>
    <w:rsid w:val="00837C8B"/>
    <w:rPr>
      <w:color w:val="800080"/>
      <w:u w:val="single"/>
    </w:rPr>
  </w:style>
  <w:style w:type="paragraph" w:styleId="ListNumber">
    <w:name w:val="List Number"/>
    <w:basedOn w:val="Normal"/>
    <w:rsid w:val="00837C8B"/>
  </w:style>
  <w:style w:type="numbering" w:customStyle="1" w:styleId="Heading3BulletText">
    <w:name w:val="Heading 3 Bullet Text"/>
    <w:basedOn w:val="NoList"/>
    <w:rsid w:val="00837C8B"/>
    <w:pPr>
      <w:numPr>
        <w:numId w:val="4"/>
      </w:numPr>
    </w:pPr>
  </w:style>
  <w:style w:type="character" w:customStyle="1" w:styleId="InstructionBoxText">
    <w:name w:val="Instruction Box Text"/>
    <w:rsid w:val="00837C8B"/>
    <w:rPr>
      <w:rFonts w:ascii="Arial" w:hAnsi="Arial"/>
      <w:b/>
      <w:bCs/>
      <w:i/>
      <w:iCs/>
      <w:dstrike w:val="0"/>
      <w:sz w:val="20"/>
      <w:szCs w:val="20"/>
      <w:vertAlign w:val="baseline"/>
    </w:rPr>
  </w:style>
  <w:style w:type="paragraph" w:customStyle="1" w:styleId="Level1">
    <w:name w:val="Level 1"/>
    <w:semiHidden/>
    <w:rsid w:val="00837C8B"/>
    <w:pPr>
      <w:autoSpaceDE w:val="0"/>
      <w:autoSpaceDN w:val="0"/>
      <w:adjustRightInd w:val="0"/>
      <w:ind w:left="720"/>
    </w:pPr>
    <w:rPr>
      <w:rFonts w:ascii="Times New Roman" w:eastAsia="Times New Roman" w:hAnsi="Times New Roman" w:cs="Times New Roman"/>
      <w:sz w:val="24"/>
      <w:szCs w:val="24"/>
    </w:rPr>
  </w:style>
  <w:style w:type="paragraph" w:customStyle="1" w:styleId="MainTitle">
    <w:name w:val="Main Title"/>
    <w:basedOn w:val="Normal"/>
    <w:rsid w:val="00837C8B"/>
    <w:pPr>
      <w:spacing w:before="480" w:after="60"/>
      <w:jc w:val="center"/>
    </w:pPr>
    <w:rPr>
      <w:rFonts w:ascii="Arial" w:hAnsi="Arial"/>
      <w:b/>
      <w:kern w:val="28"/>
      <w:sz w:val="32"/>
    </w:rPr>
  </w:style>
  <w:style w:type="paragraph" w:customStyle="1" w:styleId="NormalBoldBullets">
    <w:name w:val="Normal Bold Bullets"/>
    <w:basedOn w:val="Normal"/>
    <w:semiHidden/>
    <w:rsid w:val="00837C8B"/>
    <w:pPr>
      <w:widowControl w:val="0"/>
      <w:numPr>
        <w:numId w:val="6"/>
      </w:numPr>
      <w:spacing w:after="80"/>
    </w:pPr>
    <w:rPr>
      <w:b/>
    </w:rPr>
  </w:style>
  <w:style w:type="numbering" w:customStyle="1" w:styleId="NormalBulleted">
    <w:name w:val="Normal Bulleted"/>
    <w:basedOn w:val="NoList"/>
    <w:rsid w:val="00837C8B"/>
    <w:pPr>
      <w:numPr>
        <w:numId w:val="7"/>
      </w:numPr>
    </w:pPr>
  </w:style>
  <w:style w:type="numbering" w:customStyle="1" w:styleId="NormalNumbered">
    <w:name w:val="Normal Numbered"/>
    <w:basedOn w:val="NoList"/>
    <w:rsid w:val="00837C8B"/>
    <w:pPr>
      <w:numPr>
        <w:numId w:val="8"/>
      </w:numPr>
    </w:pPr>
  </w:style>
  <w:style w:type="paragraph" w:customStyle="1" w:styleId="NormalNumberedList">
    <w:name w:val="Normal Numbered List"/>
    <w:basedOn w:val="Normal"/>
    <w:semiHidden/>
    <w:rsid w:val="00837C8B"/>
    <w:pPr>
      <w:numPr>
        <w:numId w:val="9"/>
      </w:numPr>
    </w:pPr>
  </w:style>
  <w:style w:type="numbering" w:customStyle="1" w:styleId="NumberedList">
    <w:name w:val="Numbered List"/>
    <w:basedOn w:val="NoList"/>
    <w:rsid w:val="00837C8B"/>
    <w:pPr>
      <w:numPr>
        <w:numId w:val="10"/>
      </w:numPr>
    </w:pPr>
  </w:style>
  <w:style w:type="paragraph" w:styleId="PlainText">
    <w:name w:val="Plain Text"/>
    <w:basedOn w:val="Normal"/>
    <w:link w:val="PlainTextChar"/>
    <w:semiHidden/>
    <w:rsid w:val="00837C8B"/>
    <w:rPr>
      <w:rFonts w:ascii="Courier New" w:hAnsi="Courier New"/>
      <w:sz w:val="20"/>
      <w:lang w:val="x-none" w:eastAsia="x-none"/>
    </w:rPr>
  </w:style>
  <w:style w:type="character" w:customStyle="1" w:styleId="PlainTextChar">
    <w:name w:val="Plain Text Char"/>
    <w:link w:val="PlainText"/>
    <w:semiHidden/>
    <w:rsid w:val="00837C8B"/>
    <w:rPr>
      <w:rFonts w:ascii="Courier New" w:eastAsia="Times New Roman" w:hAnsi="Courier New" w:cs="Courier New"/>
    </w:rPr>
  </w:style>
  <w:style w:type="paragraph" w:styleId="Subtitle">
    <w:name w:val="Subtitle"/>
    <w:basedOn w:val="Normal"/>
    <w:link w:val="SubtitleChar"/>
    <w:qFormat/>
    <w:rsid w:val="00837C8B"/>
    <w:pPr>
      <w:spacing w:after="60"/>
      <w:jc w:val="center"/>
    </w:pPr>
    <w:rPr>
      <w:rFonts w:ascii="Arial" w:hAnsi="Arial"/>
      <w:i/>
      <w:sz w:val="36"/>
      <w:lang w:val="en-AU" w:eastAsia="x-none"/>
    </w:rPr>
  </w:style>
  <w:style w:type="character" w:customStyle="1" w:styleId="SubtitleChar">
    <w:name w:val="Subtitle Char"/>
    <w:link w:val="Subtitle"/>
    <w:rsid w:val="00837C8B"/>
    <w:rPr>
      <w:rFonts w:ascii="Arial" w:eastAsia="Times New Roman" w:hAnsi="Arial" w:cs="Times New Roman"/>
      <w:i/>
      <w:sz w:val="36"/>
      <w:lang w:val="en-AU"/>
    </w:rPr>
  </w:style>
  <w:style w:type="paragraph" w:customStyle="1" w:styleId="TableHeaders">
    <w:name w:val="Table Headers"/>
    <w:basedOn w:val="Normal"/>
    <w:semiHidden/>
    <w:rsid w:val="00837C8B"/>
    <w:pPr>
      <w:keepNext/>
      <w:spacing w:before="80" w:after="80" w:line="240" w:lineRule="exact"/>
      <w:jc w:val="center"/>
    </w:pPr>
    <w:rPr>
      <w:rFonts w:ascii="Arial" w:hAnsi="Arial"/>
      <w:b/>
      <w:snapToGrid w:val="0"/>
      <w:sz w:val="20"/>
    </w:rPr>
  </w:style>
  <w:style w:type="paragraph" w:customStyle="1" w:styleId="TableHeading">
    <w:name w:val="Table Heading"/>
    <w:basedOn w:val="Normal"/>
    <w:rsid w:val="0073513C"/>
    <w:pPr>
      <w:widowControl w:val="0"/>
      <w:spacing w:before="40" w:after="40"/>
      <w:jc w:val="center"/>
    </w:pPr>
    <w:rPr>
      <w:rFonts w:ascii="Arial" w:hAnsi="Arial"/>
      <w:b/>
      <w:sz w:val="20"/>
    </w:rPr>
  </w:style>
  <w:style w:type="paragraph" w:styleId="TableofFigures">
    <w:name w:val="table of figures"/>
    <w:basedOn w:val="Normal"/>
    <w:next w:val="Normal"/>
    <w:uiPriority w:val="99"/>
    <w:rsid w:val="007F7D66"/>
    <w:pPr>
      <w:tabs>
        <w:tab w:val="left" w:pos="1260"/>
        <w:tab w:val="right" w:leader="dot" w:pos="9350"/>
      </w:tabs>
      <w:ind w:left="1260" w:hanging="1260"/>
    </w:pPr>
    <w:rPr>
      <w:rFonts w:ascii="Times New Roman" w:hAnsi="Times New Roman"/>
      <w:noProof/>
      <w:szCs w:val="22"/>
    </w:rPr>
  </w:style>
  <w:style w:type="paragraph" w:customStyle="1" w:styleId="TableText">
    <w:name w:val="Table Text"/>
    <w:basedOn w:val="Normal"/>
    <w:link w:val="TableTextChar"/>
    <w:rsid w:val="005C7772"/>
    <w:pPr>
      <w:spacing w:before="40" w:after="40"/>
    </w:pPr>
    <w:rPr>
      <w:rFonts w:ascii="Arial" w:hAnsi="Arial"/>
      <w:sz w:val="20"/>
      <w:lang w:val="x-none" w:eastAsia="x-none"/>
    </w:rPr>
  </w:style>
  <w:style w:type="paragraph" w:customStyle="1" w:styleId="TableTextHyperlink">
    <w:name w:val="Table Text Hyperlink"/>
    <w:basedOn w:val="TableText"/>
    <w:rsid w:val="00837C8B"/>
    <w:rPr>
      <w:rFonts w:cs="Arial"/>
      <w:bCs/>
      <w:color w:val="0000FF"/>
      <w:sz w:val="18"/>
      <w:szCs w:val="18"/>
      <w:u w:val="single"/>
    </w:rPr>
  </w:style>
  <w:style w:type="paragraph" w:styleId="Title">
    <w:name w:val="Title"/>
    <w:basedOn w:val="Normal"/>
    <w:next w:val="Normal"/>
    <w:link w:val="TitleChar"/>
    <w:qFormat/>
    <w:rsid w:val="00837C8B"/>
    <w:pPr>
      <w:jc w:val="center"/>
    </w:pPr>
    <w:rPr>
      <w:rFonts w:ascii="Arial" w:hAnsi="Arial"/>
      <w:b/>
      <w:sz w:val="36"/>
      <w:lang w:val="x-none" w:eastAsia="x-none"/>
    </w:rPr>
  </w:style>
  <w:style w:type="character" w:customStyle="1" w:styleId="TitleChar">
    <w:name w:val="Title Char"/>
    <w:link w:val="Title"/>
    <w:rsid w:val="00837C8B"/>
    <w:rPr>
      <w:rFonts w:ascii="Arial" w:eastAsia="Times New Roman" w:hAnsi="Arial" w:cs="Times New Roman"/>
      <w:b/>
      <w:sz w:val="36"/>
    </w:rPr>
  </w:style>
  <w:style w:type="paragraph" w:customStyle="1" w:styleId="TableTitle">
    <w:name w:val="Table Title"/>
    <w:basedOn w:val="Title"/>
    <w:semiHidden/>
    <w:rsid w:val="00837C8B"/>
    <w:pPr>
      <w:widowControl w:val="0"/>
      <w:spacing w:after="80"/>
      <w:jc w:val="left"/>
    </w:pPr>
    <w:rPr>
      <w:bCs/>
      <w:sz w:val="24"/>
    </w:rPr>
  </w:style>
  <w:style w:type="paragraph" w:customStyle="1" w:styleId="TextHeading">
    <w:name w:val="Text Heading"/>
    <w:basedOn w:val="TableHeading"/>
    <w:semiHidden/>
    <w:rsid w:val="00837C8B"/>
    <w:rPr>
      <w:sz w:val="24"/>
    </w:rPr>
  </w:style>
  <w:style w:type="paragraph" w:styleId="TOC1">
    <w:name w:val="toc 1"/>
    <w:basedOn w:val="Normal"/>
    <w:next w:val="Normal"/>
    <w:uiPriority w:val="39"/>
    <w:rsid w:val="00A15ADB"/>
    <w:pPr>
      <w:tabs>
        <w:tab w:val="right" w:leader="dot" w:pos="9360"/>
      </w:tabs>
      <w:spacing w:before="60" w:after="60"/>
      <w:ind w:left="547" w:hanging="547"/>
    </w:pPr>
    <w:rPr>
      <w:rFonts w:ascii="Times New Roman" w:hAnsi="Times New Roman"/>
      <w:noProof/>
      <w:szCs w:val="24"/>
    </w:rPr>
  </w:style>
  <w:style w:type="paragraph" w:styleId="TOC2">
    <w:name w:val="toc 2"/>
    <w:basedOn w:val="Normal"/>
    <w:next w:val="Normal"/>
    <w:uiPriority w:val="39"/>
    <w:rsid w:val="007F7D66"/>
    <w:pPr>
      <w:tabs>
        <w:tab w:val="left" w:pos="1260"/>
        <w:tab w:val="right" w:leader="dot" w:pos="9360"/>
      </w:tabs>
      <w:ind w:left="1260" w:hanging="720"/>
    </w:pPr>
    <w:rPr>
      <w:rFonts w:ascii="Times New Roman" w:hAnsi="Times New Roman"/>
      <w:noProof/>
      <w:szCs w:val="22"/>
    </w:rPr>
  </w:style>
  <w:style w:type="paragraph" w:styleId="TOC3">
    <w:name w:val="toc 3"/>
    <w:basedOn w:val="Normal"/>
    <w:next w:val="Normal"/>
    <w:uiPriority w:val="39"/>
    <w:rsid w:val="007F7D66"/>
    <w:pPr>
      <w:tabs>
        <w:tab w:val="left" w:pos="2160"/>
        <w:tab w:val="right" w:leader="dot" w:pos="9360"/>
      </w:tabs>
      <w:ind w:left="2160" w:right="720" w:hanging="900"/>
    </w:pPr>
    <w:rPr>
      <w:rFonts w:ascii="Times New Roman" w:hAnsi="Times New Roman"/>
      <w:noProof/>
      <w:szCs w:val="22"/>
    </w:rPr>
  </w:style>
  <w:style w:type="paragraph" w:styleId="TOC4">
    <w:name w:val="toc 4"/>
    <w:basedOn w:val="Normal"/>
    <w:next w:val="Normal"/>
    <w:semiHidden/>
    <w:rsid w:val="00837C8B"/>
    <w:pPr>
      <w:ind w:left="600"/>
    </w:pPr>
    <w:rPr>
      <w:szCs w:val="21"/>
    </w:rPr>
  </w:style>
  <w:style w:type="paragraph" w:styleId="TOC5">
    <w:name w:val="toc 5"/>
    <w:basedOn w:val="Normal"/>
    <w:next w:val="Normal"/>
    <w:uiPriority w:val="39"/>
    <w:rsid w:val="00837C8B"/>
    <w:pPr>
      <w:ind w:left="800"/>
    </w:pPr>
    <w:rPr>
      <w:szCs w:val="21"/>
    </w:rPr>
  </w:style>
  <w:style w:type="paragraph" w:styleId="TOC6">
    <w:name w:val="toc 6"/>
    <w:basedOn w:val="Normal"/>
    <w:next w:val="Normal"/>
    <w:semiHidden/>
    <w:rsid w:val="00837C8B"/>
    <w:pPr>
      <w:ind w:left="1000"/>
    </w:pPr>
    <w:rPr>
      <w:szCs w:val="21"/>
    </w:rPr>
  </w:style>
  <w:style w:type="paragraph" w:styleId="TOC7">
    <w:name w:val="toc 7"/>
    <w:basedOn w:val="Normal"/>
    <w:next w:val="Normal"/>
    <w:semiHidden/>
    <w:rsid w:val="00837C8B"/>
    <w:pPr>
      <w:ind w:left="1200"/>
    </w:pPr>
    <w:rPr>
      <w:szCs w:val="21"/>
    </w:rPr>
  </w:style>
  <w:style w:type="paragraph" w:styleId="TOC8">
    <w:name w:val="toc 8"/>
    <w:basedOn w:val="Normal"/>
    <w:next w:val="Normal"/>
    <w:semiHidden/>
    <w:rsid w:val="00837C8B"/>
    <w:pPr>
      <w:ind w:left="1400"/>
    </w:pPr>
    <w:rPr>
      <w:szCs w:val="21"/>
    </w:rPr>
  </w:style>
  <w:style w:type="paragraph" w:styleId="TOC9">
    <w:name w:val="toc 9"/>
    <w:basedOn w:val="Normal"/>
    <w:next w:val="Normal"/>
    <w:semiHidden/>
    <w:rsid w:val="00837C8B"/>
    <w:pPr>
      <w:ind w:left="1600"/>
    </w:pPr>
    <w:rPr>
      <w:szCs w:val="21"/>
    </w:rPr>
  </w:style>
  <w:style w:type="paragraph" w:customStyle="1" w:styleId="Version">
    <w:name w:val="Version #"/>
    <w:basedOn w:val="Normal"/>
    <w:rsid w:val="00E03295"/>
    <w:pPr>
      <w:jc w:val="right"/>
    </w:pPr>
    <w:rPr>
      <w:rFonts w:ascii="Arial" w:hAnsi="Arial"/>
      <w:b/>
      <w:bCs/>
      <w:sz w:val="22"/>
    </w:rPr>
  </w:style>
  <w:style w:type="character" w:customStyle="1" w:styleId="TableTextChar">
    <w:name w:val="Table Text Char"/>
    <w:link w:val="TableText"/>
    <w:rsid w:val="005C7772"/>
    <w:rPr>
      <w:rFonts w:ascii="Arial" w:eastAsia="Times New Roman" w:hAnsi="Arial" w:cs="Times New Roman"/>
      <w:lang w:val="x-none" w:eastAsia="x-none"/>
    </w:rPr>
  </w:style>
  <w:style w:type="paragraph" w:customStyle="1" w:styleId="bullets-2nd">
    <w:name w:val="bullets-2nd"/>
    <w:basedOn w:val="bullets"/>
    <w:qFormat/>
    <w:rsid w:val="005C7772"/>
    <w:pPr>
      <w:numPr>
        <w:ilvl w:val="2"/>
        <w:numId w:val="1"/>
      </w:numPr>
      <w:tabs>
        <w:tab w:val="clear" w:pos="1620"/>
      </w:tabs>
      <w:ind w:left="1080" w:hanging="360"/>
      <w:contextualSpacing/>
    </w:pPr>
  </w:style>
  <w:style w:type="paragraph" w:customStyle="1" w:styleId="exhibitsource">
    <w:name w:val="exhibit source"/>
    <w:basedOn w:val="TableText"/>
    <w:qFormat/>
    <w:rsid w:val="00A37C1D"/>
    <w:pPr>
      <w:spacing w:before="60" w:after="240"/>
    </w:pPr>
  </w:style>
  <w:style w:type="paragraph" w:customStyle="1" w:styleId="figurewbox">
    <w:name w:val="figure w/box"/>
    <w:basedOn w:val="Normal"/>
    <w:rsid w:val="00EC7409"/>
    <w:pPr>
      <w:pBdr>
        <w:top w:val="single" w:sz="12" w:space="9" w:color="auto"/>
        <w:left w:val="single" w:sz="12" w:space="6" w:color="auto"/>
        <w:bottom w:val="single" w:sz="12" w:space="9" w:color="auto"/>
        <w:right w:val="single" w:sz="12" w:space="4" w:color="auto"/>
      </w:pBdr>
      <w:ind w:left="180" w:right="180"/>
      <w:jc w:val="center"/>
    </w:pPr>
    <w:rPr>
      <w:rFonts w:ascii="Verdana" w:eastAsia="MS Mincho" w:hAnsi="Verdana"/>
      <w:sz w:val="20"/>
    </w:rPr>
  </w:style>
  <w:style w:type="paragraph" w:customStyle="1" w:styleId="figurewobox">
    <w:name w:val="figure w/o box"/>
    <w:basedOn w:val="Normal"/>
    <w:rsid w:val="00EC7409"/>
    <w:pPr>
      <w:jc w:val="center"/>
    </w:pPr>
    <w:rPr>
      <w:rFonts w:ascii="Verdana" w:eastAsia="MS Mincho" w:hAnsi="Verdana"/>
      <w:sz w:val="20"/>
    </w:rPr>
  </w:style>
  <w:style w:type="paragraph" w:customStyle="1" w:styleId="bulletsblank">
    <w:name w:val="bullets_blank"/>
    <w:basedOn w:val="Normal"/>
    <w:qFormat/>
    <w:rsid w:val="00361BFC"/>
    <w:pPr>
      <w:spacing w:after="120"/>
      <w:ind w:left="720" w:hanging="360"/>
    </w:pPr>
    <w:rPr>
      <w:rFonts w:ascii="Times New Roman" w:hAnsi="Times New Roman"/>
    </w:rPr>
  </w:style>
  <w:style w:type="paragraph" w:customStyle="1" w:styleId="Exhibittitlecontinued">
    <w:name w:val="Exhibit title continued"/>
    <w:basedOn w:val="ExhibitTitle"/>
    <w:qFormat/>
    <w:rsid w:val="00766CBA"/>
    <w:pPr>
      <w:pageBreakBefore/>
    </w:pPr>
  </w:style>
  <w:style w:type="paragraph" w:customStyle="1" w:styleId="Appendix">
    <w:name w:val="Appendix"/>
    <w:basedOn w:val="Normal"/>
    <w:qFormat/>
    <w:rsid w:val="004250F0"/>
    <w:pPr>
      <w:spacing w:after="240"/>
      <w:ind w:left="2160" w:hanging="2160"/>
    </w:pPr>
    <w:rPr>
      <w:rFonts w:ascii="Arial" w:hAnsi="Arial" w:cs="Arial"/>
      <w:b/>
      <w:sz w:val="32"/>
      <w:szCs w:val="32"/>
    </w:rPr>
  </w:style>
  <w:style w:type="character" w:styleId="Emphasis">
    <w:name w:val="Emphasis"/>
    <w:uiPriority w:val="20"/>
    <w:qFormat/>
    <w:rsid w:val="00F5169D"/>
    <w:rPr>
      <w:b/>
      <w:bCs/>
      <w:i w:val="0"/>
      <w:iCs w:val="0"/>
    </w:rPr>
  </w:style>
  <w:style w:type="character" w:styleId="HTMLAcronym">
    <w:name w:val="HTML Acronym"/>
    <w:basedOn w:val="DefaultParagraphFont"/>
    <w:uiPriority w:val="99"/>
    <w:semiHidden/>
    <w:unhideWhenUsed/>
    <w:rsid w:val="00883493"/>
  </w:style>
  <w:style w:type="paragraph" w:styleId="TOCHeading">
    <w:name w:val="TOC Heading"/>
    <w:basedOn w:val="Heading1"/>
    <w:next w:val="Normal"/>
    <w:uiPriority w:val="39"/>
    <w:semiHidden/>
    <w:unhideWhenUsed/>
    <w:qFormat/>
    <w:rsid w:val="00D92FAF"/>
    <w:pPr>
      <w:keepLines/>
      <w:numPr>
        <w:numId w:val="0"/>
      </w:numPr>
      <w:spacing w:before="480" w:after="0" w:line="276" w:lineRule="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semiHidden/>
    <w:unhideWhenUsed/>
    <w:rsid w:val="00017C9F"/>
    <w:pPr>
      <w:spacing w:before="100" w:beforeAutospacing="1" w:after="100" w:afterAutospacing="1"/>
    </w:pPr>
    <w:rPr>
      <w:rFonts w:ascii="Times New Roman" w:hAnsi="Times New Roman"/>
      <w:szCs w:val="24"/>
    </w:rPr>
  </w:style>
  <w:style w:type="paragraph" w:customStyle="1" w:styleId="TOC0">
    <w:name w:val="TOC0"/>
    <w:basedOn w:val="Title"/>
    <w:qFormat/>
    <w:rsid w:val="003C2B28"/>
    <w:pPr>
      <w:spacing w:before="240" w:after="360"/>
    </w:pPr>
    <w:rPr>
      <w:rFonts w:ascii="Times New Roman" w:hAnsi="Times New Roman"/>
      <w:szCs w:val="32"/>
    </w:rPr>
  </w:style>
  <w:style w:type="paragraph" w:customStyle="1" w:styleId="agraph">
    <w:name w:val="agraph"/>
    <w:basedOn w:val="Normal"/>
    <w:rsid w:val="008A716D"/>
    <w:pPr>
      <w:keepNext/>
      <w:spacing w:before="120" w:after="120"/>
      <w:jc w:val="center"/>
    </w:pPr>
    <w:rPr>
      <w:rFonts w:ascii="Times New Roman" w:hAnsi="Times New Roman"/>
      <w:sz w:val="22"/>
    </w:rPr>
  </w:style>
  <w:style w:type="character" w:customStyle="1" w:styleId="ExhibitTitleCharChar">
    <w:name w:val="Exhibit Title Char Char"/>
    <w:link w:val="ExhibitTitle"/>
    <w:rsid w:val="008A716D"/>
    <w:rPr>
      <w:rFonts w:ascii="Arial" w:eastAsia="Times New Roman" w:hAnsi="Arial"/>
      <w:b/>
      <w:bCs/>
      <w:iCs/>
      <w:sz w:val="24"/>
    </w:rPr>
  </w:style>
  <w:style w:type="paragraph" w:styleId="FootnoteText">
    <w:name w:val="footnote text"/>
    <w:aliases w:val="F1"/>
    <w:link w:val="FootnoteTextChar"/>
    <w:rsid w:val="008A716D"/>
    <w:pPr>
      <w:tabs>
        <w:tab w:val="left" w:pos="120"/>
      </w:tabs>
      <w:spacing w:before="120" w:line="200" w:lineRule="atLeast"/>
      <w:ind w:left="115" w:hanging="115"/>
      <w:jc w:val="both"/>
    </w:pPr>
    <w:rPr>
      <w:rFonts w:ascii="Times New Roman" w:eastAsia="Times New Roman" w:hAnsi="Times New Roman" w:cs="Times New Roman"/>
      <w:sz w:val="16"/>
    </w:rPr>
  </w:style>
  <w:style w:type="character" w:customStyle="1" w:styleId="FootnoteTextChar">
    <w:name w:val="Footnote Text Char"/>
    <w:aliases w:val="F1 Char"/>
    <w:link w:val="FootnoteText"/>
    <w:rsid w:val="008A716D"/>
    <w:rPr>
      <w:rFonts w:ascii="Times New Roman" w:eastAsia="Times New Roman" w:hAnsi="Times New Roman" w:cs="Times New Roman"/>
      <w:sz w:val="16"/>
      <w:lang w:bidi="ar-SA"/>
    </w:rPr>
  </w:style>
  <w:style w:type="paragraph" w:customStyle="1" w:styleId="TableFootnote">
    <w:name w:val="Table Footnote"/>
    <w:basedOn w:val="FootnoteText"/>
    <w:qFormat/>
    <w:rsid w:val="008A716D"/>
    <w:pPr>
      <w:tabs>
        <w:tab w:val="clear" w:pos="120"/>
        <w:tab w:val="left" w:pos="180"/>
      </w:tabs>
      <w:spacing w:before="60" w:after="60" w:line="240" w:lineRule="auto"/>
      <w:ind w:left="187" w:hanging="187"/>
      <w:jc w:val="left"/>
    </w:pPr>
    <w:rPr>
      <w:rFonts w:ascii="Arial" w:hAnsi="Arial" w:cs="Arial"/>
      <w:sz w:val="18"/>
    </w:rPr>
  </w:style>
  <w:style w:type="paragraph" w:customStyle="1" w:styleId="ExhibitFootnote">
    <w:name w:val="Exhibit Footnote"/>
    <w:basedOn w:val="TableFootnote"/>
    <w:qFormat/>
    <w:rsid w:val="00667AE6"/>
    <w:pPr>
      <w:spacing w:after="240"/>
      <w:contextualSpacing/>
    </w:pPr>
    <w:rPr>
      <w:lang w:val="en-CA"/>
    </w:rPr>
  </w:style>
  <w:style w:type="paragraph" w:customStyle="1" w:styleId="AppendixAReportTitles">
    <w:name w:val="Appendix A Report Titles"/>
    <w:qFormat/>
    <w:rsid w:val="008A716D"/>
    <w:pPr>
      <w:jc w:val="center"/>
    </w:pPr>
    <w:rPr>
      <w:rFonts w:ascii="Arial" w:eastAsia="Times New Roman" w:hAnsi="Arial"/>
      <w:b/>
      <w:snapToGrid w:val="0"/>
      <w:sz w:val="24"/>
      <w:szCs w:val="24"/>
    </w:rPr>
  </w:style>
  <w:style w:type="paragraph" w:customStyle="1" w:styleId="cov-title">
    <w:name w:val="cov-title"/>
    <w:basedOn w:val="Normal"/>
    <w:rsid w:val="008A716D"/>
    <w:pPr>
      <w:spacing w:before="100" w:beforeAutospacing="1" w:after="100" w:afterAutospacing="1"/>
    </w:pPr>
    <w:rPr>
      <w:rFonts w:ascii="Times New Roman" w:hAnsi="Times New Roman"/>
      <w:szCs w:val="24"/>
    </w:rPr>
  </w:style>
  <w:style w:type="character" w:styleId="Strong">
    <w:name w:val="Strong"/>
    <w:qFormat/>
    <w:rsid w:val="008A716D"/>
    <w:rPr>
      <w:b/>
      <w:bCs/>
    </w:rPr>
  </w:style>
  <w:style w:type="paragraph" w:customStyle="1" w:styleId="abox">
    <w:name w:val="abox"/>
    <w:basedOn w:val="Normal"/>
    <w:qFormat/>
    <w:rsid w:val="008A716D"/>
    <w:pPr>
      <w:numPr>
        <w:numId w:val="11"/>
      </w:numPr>
      <w:tabs>
        <w:tab w:val="clear" w:pos="720"/>
        <w:tab w:val="num" w:pos="0"/>
      </w:tabs>
      <w:spacing w:after="240"/>
      <w:ind w:left="0" w:right="720" w:hanging="547"/>
    </w:pPr>
    <w:rPr>
      <w:rFonts w:ascii="Arial" w:hAnsi="Arial" w:cs="Arial"/>
      <w:szCs w:val="24"/>
    </w:rPr>
  </w:style>
  <w:style w:type="paragraph" w:styleId="DocumentMap">
    <w:name w:val="Document Map"/>
    <w:basedOn w:val="Normal"/>
    <w:link w:val="DocumentMapChar"/>
    <w:semiHidden/>
    <w:rsid w:val="008A716D"/>
    <w:pPr>
      <w:shd w:val="clear" w:color="auto" w:fill="000080"/>
    </w:pPr>
    <w:rPr>
      <w:rFonts w:ascii="Tahoma" w:hAnsi="Tahoma"/>
      <w:sz w:val="20"/>
      <w:lang w:val="x-none" w:eastAsia="x-none"/>
    </w:rPr>
  </w:style>
  <w:style w:type="character" w:customStyle="1" w:styleId="DocumentMapChar">
    <w:name w:val="Document Map Char"/>
    <w:link w:val="DocumentMap"/>
    <w:semiHidden/>
    <w:rsid w:val="008A716D"/>
    <w:rPr>
      <w:rFonts w:ascii="Tahoma" w:eastAsia="Times New Roman" w:hAnsi="Tahoma" w:cs="Tahoma"/>
      <w:shd w:val="clear" w:color="auto" w:fill="000080"/>
    </w:rPr>
  </w:style>
  <w:style w:type="character" w:styleId="FootnoteReference">
    <w:name w:val="footnote reference"/>
    <w:rsid w:val="008A716D"/>
    <w:rPr>
      <w:vertAlign w:val="superscript"/>
    </w:rPr>
  </w:style>
  <w:style w:type="paragraph" w:styleId="NoSpacing">
    <w:name w:val="No Spacing"/>
    <w:uiPriority w:val="1"/>
    <w:qFormat/>
    <w:rsid w:val="0026579B"/>
    <w:rPr>
      <w:sz w:val="22"/>
      <w:szCs w:val="22"/>
    </w:rPr>
  </w:style>
  <w:style w:type="paragraph" w:customStyle="1" w:styleId="Bullet">
    <w:name w:val="Bullet"/>
    <w:basedOn w:val="BodyText"/>
    <w:qFormat/>
    <w:rsid w:val="005A59A0"/>
    <w:pPr>
      <w:numPr>
        <w:numId w:val="24"/>
      </w:numPr>
      <w:tabs>
        <w:tab w:val="num" w:pos="360"/>
      </w:tabs>
      <w:spacing w:before="0" w:after="240"/>
      <w:ind w:left="0" w:firstLine="0"/>
    </w:pPr>
    <w:rPr>
      <w:szCs w:val="20"/>
      <w:lang w:val="en-CA" w:eastAsia="en-US"/>
    </w:rPr>
  </w:style>
  <w:style w:type="paragraph" w:customStyle="1" w:styleId="SL-FlLftSgl">
    <w:name w:val="SL-Fl Lft Sgl"/>
    <w:rsid w:val="004325D4"/>
    <w:pPr>
      <w:spacing w:line="240" w:lineRule="atLeast"/>
      <w:jc w:val="both"/>
    </w:pPr>
    <w:rPr>
      <w:rFonts w:ascii="Arial" w:eastAsia="Times New Roman" w:hAnsi="Arial" w:cs="Times New Roman"/>
    </w:rPr>
  </w:style>
  <w:style w:type="paragraph" w:customStyle="1" w:styleId="TOCHeading0">
    <w:name w:val="TOC_Heading"/>
    <w:basedOn w:val="Heading1"/>
    <w:qFormat/>
    <w:rsid w:val="00C729FA"/>
    <w:pPr>
      <w:numPr>
        <w:numId w:val="0"/>
      </w:numPr>
      <w:tabs>
        <w:tab w:val="left" w:pos="720"/>
      </w:tabs>
      <w:spacing w:after="360"/>
      <w:jc w:val="center"/>
    </w:pPr>
    <w:rPr>
      <w:sz w:val="36"/>
      <w:szCs w:val="36"/>
      <w:lang w:val="en-US" w:eastAsia="en-US"/>
    </w:rPr>
  </w:style>
  <w:style w:type="paragraph" w:customStyle="1" w:styleId="BodyText2">
    <w:name w:val="Body Text2"/>
    <w:basedOn w:val="Normal"/>
    <w:rsid w:val="00C729FA"/>
    <w:pPr>
      <w:spacing w:after="24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908">
      <w:bodyDiv w:val="1"/>
      <w:marLeft w:val="0"/>
      <w:marRight w:val="0"/>
      <w:marTop w:val="0"/>
      <w:marBottom w:val="0"/>
      <w:divBdr>
        <w:top w:val="none" w:sz="0" w:space="0" w:color="auto"/>
        <w:left w:val="none" w:sz="0" w:space="0" w:color="auto"/>
        <w:bottom w:val="none" w:sz="0" w:space="0" w:color="auto"/>
        <w:right w:val="none" w:sz="0" w:space="0" w:color="auto"/>
      </w:divBdr>
    </w:div>
    <w:div w:id="68773196">
      <w:bodyDiv w:val="1"/>
      <w:marLeft w:val="0"/>
      <w:marRight w:val="0"/>
      <w:marTop w:val="0"/>
      <w:marBottom w:val="0"/>
      <w:divBdr>
        <w:top w:val="none" w:sz="0" w:space="0" w:color="auto"/>
        <w:left w:val="none" w:sz="0" w:space="0" w:color="auto"/>
        <w:bottom w:val="none" w:sz="0" w:space="0" w:color="auto"/>
        <w:right w:val="none" w:sz="0" w:space="0" w:color="auto"/>
      </w:divBdr>
    </w:div>
    <w:div w:id="72166155">
      <w:bodyDiv w:val="1"/>
      <w:marLeft w:val="0"/>
      <w:marRight w:val="0"/>
      <w:marTop w:val="0"/>
      <w:marBottom w:val="0"/>
      <w:divBdr>
        <w:top w:val="none" w:sz="0" w:space="0" w:color="auto"/>
        <w:left w:val="none" w:sz="0" w:space="0" w:color="auto"/>
        <w:bottom w:val="none" w:sz="0" w:space="0" w:color="auto"/>
        <w:right w:val="none" w:sz="0" w:space="0" w:color="auto"/>
      </w:divBdr>
    </w:div>
    <w:div w:id="112602991">
      <w:bodyDiv w:val="1"/>
      <w:marLeft w:val="0"/>
      <w:marRight w:val="0"/>
      <w:marTop w:val="0"/>
      <w:marBottom w:val="0"/>
      <w:divBdr>
        <w:top w:val="none" w:sz="0" w:space="0" w:color="auto"/>
        <w:left w:val="none" w:sz="0" w:space="0" w:color="auto"/>
        <w:bottom w:val="none" w:sz="0" w:space="0" w:color="auto"/>
        <w:right w:val="none" w:sz="0" w:space="0" w:color="auto"/>
      </w:divBdr>
    </w:div>
    <w:div w:id="132645755">
      <w:bodyDiv w:val="1"/>
      <w:marLeft w:val="0"/>
      <w:marRight w:val="0"/>
      <w:marTop w:val="0"/>
      <w:marBottom w:val="0"/>
      <w:divBdr>
        <w:top w:val="none" w:sz="0" w:space="0" w:color="auto"/>
        <w:left w:val="none" w:sz="0" w:space="0" w:color="auto"/>
        <w:bottom w:val="none" w:sz="0" w:space="0" w:color="auto"/>
        <w:right w:val="none" w:sz="0" w:space="0" w:color="auto"/>
      </w:divBdr>
    </w:div>
    <w:div w:id="133958411">
      <w:bodyDiv w:val="1"/>
      <w:marLeft w:val="0"/>
      <w:marRight w:val="0"/>
      <w:marTop w:val="0"/>
      <w:marBottom w:val="0"/>
      <w:divBdr>
        <w:top w:val="none" w:sz="0" w:space="0" w:color="auto"/>
        <w:left w:val="none" w:sz="0" w:space="0" w:color="auto"/>
        <w:bottom w:val="none" w:sz="0" w:space="0" w:color="auto"/>
        <w:right w:val="none" w:sz="0" w:space="0" w:color="auto"/>
      </w:divBdr>
    </w:div>
    <w:div w:id="192424336">
      <w:bodyDiv w:val="1"/>
      <w:marLeft w:val="0"/>
      <w:marRight w:val="0"/>
      <w:marTop w:val="0"/>
      <w:marBottom w:val="0"/>
      <w:divBdr>
        <w:top w:val="none" w:sz="0" w:space="0" w:color="auto"/>
        <w:left w:val="none" w:sz="0" w:space="0" w:color="auto"/>
        <w:bottom w:val="none" w:sz="0" w:space="0" w:color="auto"/>
        <w:right w:val="none" w:sz="0" w:space="0" w:color="auto"/>
      </w:divBdr>
    </w:div>
    <w:div w:id="193420732">
      <w:bodyDiv w:val="1"/>
      <w:marLeft w:val="0"/>
      <w:marRight w:val="0"/>
      <w:marTop w:val="0"/>
      <w:marBottom w:val="0"/>
      <w:divBdr>
        <w:top w:val="none" w:sz="0" w:space="0" w:color="auto"/>
        <w:left w:val="none" w:sz="0" w:space="0" w:color="auto"/>
        <w:bottom w:val="none" w:sz="0" w:space="0" w:color="auto"/>
        <w:right w:val="none" w:sz="0" w:space="0" w:color="auto"/>
      </w:divBdr>
    </w:div>
    <w:div w:id="196965297">
      <w:bodyDiv w:val="1"/>
      <w:marLeft w:val="0"/>
      <w:marRight w:val="0"/>
      <w:marTop w:val="0"/>
      <w:marBottom w:val="0"/>
      <w:divBdr>
        <w:top w:val="none" w:sz="0" w:space="0" w:color="auto"/>
        <w:left w:val="none" w:sz="0" w:space="0" w:color="auto"/>
        <w:bottom w:val="none" w:sz="0" w:space="0" w:color="auto"/>
        <w:right w:val="none" w:sz="0" w:space="0" w:color="auto"/>
      </w:divBdr>
    </w:div>
    <w:div w:id="207497144">
      <w:bodyDiv w:val="1"/>
      <w:marLeft w:val="0"/>
      <w:marRight w:val="0"/>
      <w:marTop w:val="0"/>
      <w:marBottom w:val="0"/>
      <w:divBdr>
        <w:top w:val="none" w:sz="0" w:space="0" w:color="auto"/>
        <w:left w:val="none" w:sz="0" w:space="0" w:color="auto"/>
        <w:bottom w:val="none" w:sz="0" w:space="0" w:color="auto"/>
        <w:right w:val="none" w:sz="0" w:space="0" w:color="auto"/>
      </w:divBdr>
    </w:div>
    <w:div w:id="232813265">
      <w:bodyDiv w:val="1"/>
      <w:marLeft w:val="0"/>
      <w:marRight w:val="0"/>
      <w:marTop w:val="0"/>
      <w:marBottom w:val="0"/>
      <w:divBdr>
        <w:top w:val="none" w:sz="0" w:space="0" w:color="auto"/>
        <w:left w:val="none" w:sz="0" w:space="0" w:color="auto"/>
        <w:bottom w:val="none" w:sz="0" w:space="0" w:color="auto"/>
        <w:right w:val="none" w:sz="0" w:space="0" w:color="auto"/>
      </w:divBdr>
    </w:div>
    <w:div w:id="308749627">
      <w:bodyDiv w:val="1"/>
      <w:marLeft w:val="0"/>
      <w:marRight w:val="0"/>
      <w:marTop w:val="0"/>
      <w:marBottom w:val="0"/>
      <w:divBdr>
        <w:top w:val="none" w:sz="0" w:space="0" w:color="auto"/>
        <w:left w:val="none" w:sz="0" w:space="0" w:color="auto"/>
        <w:bottom w:val="none" w:sz="0" w:space="0" w:color="auto"/>
        <w:right w:val="none" w:sz="0" w:space="0" w:color="auto"/>
      </w:divBdr>
    </w:div>
    <w:div w:id="346565023">
      <w:bodyDiv w:val="1"/>
      <w:marLeft w:val="0"/>
      <w:marRight w:val="0"/>
      <w:marTop w:val="0"/>
      <w:marBottom w:val="0"/>
      <w:divBdr>
        <w:top w:val="none" w:sz="0" w:space="0" w:color="auto"/>
        <w:left w:val="none" w:sz="0" w:space="0" w:color="auto"/>
        <w:bottom w:val="none" w:sz="0" w:space="0" w:color="auto"/>
        <w:right w:val="none" w:sz="0" w:space="0" w:color="auto"/>
      </w:divBdr>
    </w:div>
    <w:div w:id="390229974">
      <w:bodyDiv w:val="1"/>
      <w:marLeft w:val="0"/>
      <w:marRight w:val="0"/>
      <w:marTop w:val="0"/>
      <w:marBottom w:val="0"/>
      <w:divBdr>
        <w:top w:val="none" w:sz="0" w:space="0" w:color="auto"/>
        <w:left w:val="none" w:sz="0" w:space="0" w:color="auto"/>
        <w:bottom w:val="none" w:sz="0" w:space="0" w:color="auto"/>
        <w:right w:val="none" w:sz="0" w:space="0" w:color="auto"/>
      </w:divBdr>
    </w:div>
    <w:div w:id="452754006">
      <w:bodyDiv w:val="1"/>
      <w:marLeft w:val="0"/>
      <w:marRight w:val="0"/>
      <w:marTop w:val="0"/>
      <w:marBottom w:val="0"/>
      <w:divBdr>
        <w:top w:val="none" w:sz="0" w:space="0" w:color="auto"/>
        <w:left w:val="none" w:sz="0" w:space="0" w:color="auto"/>
        <w:bottom w:val="none" w:sz="0" w:space="0" w:color="auto"/>
        <w:right w:val="none" w:sz="0" w:space="0" w:color="auto"/>
      </w:divBdr>
    </w:div>
    <w:div w:id="460657532">
      <w:bodyDiv w:val="1"/>
      <w:marLeft w:val="0"/>
      <w:marRight w:val="0"/>
      <w:marTop w:val="0"/>
      <w:marBottom w:val="0"/>
      <w:divBdr>
        <w:top w:val="none" w:sz="0" w:space="0" w:color="auto"/>
        <w:left w:val="none" w:sz="0" w:space="0" w:color="auto"/>
        <w:bottom w:val="none" w:sz="0" w:space="0" w:color="auto"/>
        <w:right w:val="none" w:sz="0" w:space="0" w:color="auto"/>
      </w:divBdr>
    </w:div>
    <w:div w:id="478376819">
      <w:bodyDiv w:val="1"/>
      <w:marLeft w:val="0"/>
      <w:marRight w:val="0"/>
      <w:marTop w:val="0"/>
      <w:marBottom w:val="0"/>
      <w:divBdr>
        <w:top w:val="none" w:sz="0" w:space="0" w:color="auto"/>
        <w:left w:val="none" w:sz="0" w:space="0" w:color="auto"/>
        <w:bottom w:val="none" w:sz="0" w:space="0" w:color="auto"/>
        <w:right w:val="none" w:sz="0" w:space="0" w:color="auto"/>
      </w:divBdr>
    </w:div>
    <w:div w:id="509486389">
      <w:bodyDiv w:val="1"/>
      <w:marLeft w:val="0"/>
      <w:marRight w:val="0"/>
      <w:marTop w:val="0"/>
      <w:marBottom w:val="0"/>
      <w:divBdr>
        <w:top w:val="none" w:sz="0" w:space="0" w:color="auto"/>
        <w:left w:val="none" w:sz="0" w:space="0" w:color="auto"/>
        <w:bottom w:val="none" w:sz="0" w:space="0" w:color="auto"/>
        <w:right w:val="none" w:sz="0" w:space="0" w:color="auto"/>
      </w:divBdr>
    </w:div>
    <w:div w:id="526064203">
      <w:bodyDiv w:val="1"/>
      <w:marLeft w:val="0"/>
      <w:marRight w:val="0"/>
      <w:marTop w:val="0"/>
      <w:marBottom w:val="0"/>
      <w:divBdr>
        <w:top w:val="none" w:sz="0" w:space="0" w:color="auto"/>
        <w:left w:val="none" w:sz="0" w:space="0" w:color="auto"/>
        <w:bottom w:val="none" w:sz="0" w:space="0" w:color="auto"/>
        <w:right w:val="none" w:sz="0" w:space="0" w:color="auto"/>
      </w:divBdr>
    </w:div>
    <w:div w:id="603727579">
      <w:bodyDiv w:val="1"/>
      <w:marLeft w:val="0"/>
      <w:marRight w:val="0"/>
      <w:marTop w:val="0"/>
      <w:marBottom w:val="0"/>
      <w:divBdr>
        <w:top w:val="none" w:sz="0" w:space="0" w:color="auto"/>
        <w:left w:val="none" w:sz="0" w:space="0" w:color="auto"/>
        <w:bottom w:val="none" w:sz="0" w:space="0" w:color="auto"/>
        <w:right w:val="none" w:sz="0" w:space="0" w:color="auto"/>
      </w:divBdr>
    </w:div>
    <w:div w:id="630214243">
      <w:bodyDiv w:val="1"/>
      <w:marLeft w:val="0"/>
      <w:marRight w:val="0"/>
      <w:marTop w:val="0"/>
      <w:marBottom w:val="0"/>
      <w:divBdr>
        <w:top w:val="none" w:sz="0" w:space="0" w:color="auto"/>
        <w:left w:val="none" w:sz="0" w:space="0" w:color="auto"/>
        <w:bottom w:val="none" w:sz="0" w:space="0" w:color="auto"/>
        <w:right w:val="none" w:sz="0" w:space="0" w:color="auto"/>
      </w:divBdr>
    </w:div>
    <w:div w:id="645553042">
      <w:bodyDiv w:val="1"/>
      <w:marLeft w:val="0"/>
      <w:marRight w:val="0"/>
      <w:marTop w:val="0"/>
      <w:marBottom w:val="0"/>
      <w:divBdr>
        <w:top w:val="none" w:sz="0" w:space="0" w:color="auto"/>
        <w:left w:val="none" w:sz="0" w:space="0" w:color="auto"/>
        <w:bottom w:val="none" w:sz="0" w:space="0" w:color="auto"/>
        <w:right w:val="none" w:sz="0" w:space="0" w:color="auto"/>
      </w:divBdr>
    </w:div>
    <w:div w:id="672026810">
      <w:bodyDiv w:val="1"/>
      <w:marLeft w:val="0"/>
      <w:marRight w:val="0"/>
      <w:marTop w:val="0"/>
      <w:marBottom w:val="0"/>
      <w:divBdr>
        <w:top w:val="none" w:sz="0" w:space="0" w:color="auto"/>
        <w:left w:val="none" w:sz="0" w:space="0" w:color="auto"/>
        <w:bottom w:val="none" w:sz="0" w:space="0" w:color="auto"/>
        <w:right w:val="none" w:sz="0" w:space="0" w:color="auto"/>
      </w:divBdr>
    </w:div>
    <w:div w:id="756900320">
      <w:bodyDiv w:val="1"/>
      <w:marLeft w:val="0"/>
      <w:marRight w:val="0"/>
      <w:marTop w:val="0"/>
      <w:marBottom w:val="0"/>
      <w:divBdr>
        <w:top w:val="none" w:sz="0" w:space="0" w:color="auto"/>
        <w:left w:val="none" w:sz="0" w:space="0" w:color="auto"/>
        <w:bottom w:val="none" w:sz="0" w:space="0" w:color="auto"/>
        <w:right w:val="none" w:sz="0" w:space="0" w:color="auto"/>
      </w:divBdr>
    </w:div>
    <w:div w:id="763845852">
      <w:bodyDiv w:val="1"/>
      <w:marLeft w:val="0"/>
      <w:marRight w:val="0"/>
      <w:marTop w:val="0"/>
      <w:marBottom w:val="0"/>
      <w:divBdr>
        <w:top w:val="none" w:sz="0" w:space="0" w:color="auto"/>
        <w:left w:val="none" w:sz="0" w:space="0" w:color="auto"/>
        <w:bottom w:val="none" w:sz="0" w:space="0" w:color="auto"/>
        <w:right w:val="none" w:sz="0" w:space="0" w:color="auto"/>
      </w:divBdr>
    </w:div>
    <w:div w:id="778111560">
      <w:bodyDiv w:val="1"/>
      <w:marLeft w:val="0"/>
      <w:marRight w:val="0"/>
      <w:marTop w:val="0"/>
      <w:marBottom w:val="0"/>
      <w:divBdr>
        <w:top w:val="none" w:sz="0" w:space="0" w:color="auto"/>
        <w:left w:val="none" w:sz="0" w:space="0" w:color="auto"/>
        <w:bottom w:val="none" w:sz="0" w:space="0" w:color="auto"/>
        <w:right w:val="none" w:sz="0" w:space="0" w:color="auto"/>
      </w:divBdr>
    </w:div>
    <w:div w:id="843132946">
      <w:bodyDiv w:val="1"/>
      <w:marLeft w:val="0"/>
      <w:marRight w:val="0"/>
      <w:marTop w:val="0"/>
      <w:marBottom w:val="0"/>
      <w:divBdr>
        <w:top w:val="none" w:sz="0" w:space="0" w:color="auto"/>
        <w:left w:val="none" w:sz="0" w:space="0" w:color="auto"/>
        <w:bottom w:val="none" w:sz="0" w:space="0" w:color="auto"/>
        <w:right w:val="none" w:sz="0" w:space="0" w:color="auto"/>
      </w:divBdr>
    </w:div>
    <w:div w:id="898974725">
      <w:bodyDiv w:val="1"/>
      <w:marLeft w:val="0"/>
      <w:marRight w:val="0"/>
      <w:marTop w:val="0"/>
      <w:marBottom w:val="0"/>
      <w:divBdr>
        <w:top w:val="none" w:sz="0" w:space="0" w:color="auto"/>
        <w:left w:val="none" w:sz="0" w:space="0" w:color="auto"/>
        <w:bottom w:val="none" w:sz="0" w:space="0" w:color="auto"/>
        <w:right w:val="none" w:sz="0" w:space="0" w:color="auto"/>
      </w:divBdr>
    </w:div>
    <w:div w:id="926428085">
      <w:bodyDiv w:val="1"/>
      <w:marLeft w:val="0"/>
      <w:marRight w:val="0"/>
      <w:marTop w:val="0"/>
      <w:marBottom w:val="0"/>
      <w:divBdr>
        <w:top w:val="none" w:sz="0" w:space="0" w:color="auto"/>
        <w:left w:val="none" w:sz="0" w:space="0" w:color="auto"/>
        <w:bottom w:val="none" w:sz="0" w:space="0" w:color="auto"/>
        <w:right w:val="none" w:sz="0" w:space="0" w:color="auto"/>
      </w:divBdr>
    </w:div>
    <w:div w:id="1033388910">
      <w:bodyDiv w:val="1"/>
      <w:marLeft w:val="0"/>
      <w:marRight w:val="0"/>
      <w:marTop w:val="0"/>
      <w:marBottom w:val="0"/>
      <w:divBdr>
        <w:top w:val="none" w:sz="0" w:space="0" w:color="auto"/>
        <w:left w:val="none" w:sz="0" w:space="0" w:color="auto"/>
        <w:bottom w:val="none" w:sz="0" w:space="0" w:color="auto"/>
        <w:right w:val="none" w:sz="0" w:space="0" w:color="auto"/>
      </w:divBdr>
      <w:divsChild>
        <w:div w:id="1954361899">
          <w:marLeft w:val="0"/>
          <w:marRight w:val="0"/>
          <w:marTop w:val="0"/>
          <w:marBottom w:val="0"/>
          <w:divBdr>
            <w:top w:val="none" w:sz="0" w:space="0" w:color="auto"/>
            <w:left w:val="none" w:sz="0" w:space="0" w:color="auto"/>
            <w:bottom w:val="none" w:sz="0" w:space="0" w:color="auto"/>
            <w:right w:val="none" w:sz="0" w:space="0" w:color="auto"/>
          </w:divBdr>
        </w:div>
      </w:divsChild>
    </w:div>
    <w:div w:id="1068380784">
      <w:bodyDiv w:val="1"/>
      <w:marLeft w:val="0"/>
      <w:marRight w:val="0"/>
      <w:marTop w:val="0"/>
      <w:marBottom w:val="0"/>
      <w:divBdr>
        <w:top w:val="none" w:sz="0" w:space="0" w:color="auto"/>
        <w:left w:val="none" w:sz="0" w:space="0" w:color="auto"/>
        <w:bottom w:val="none" w:sz="0" w:space="0" w:color="auto"/>
        <w:right w:val="none" w:sz="0" w:space="0" w:color="auto"/>
      </w:divBdr>
    </w:div>
    <w:div w:id="1100226224">
      <w:bodyDiv w:val="1"/>
      <w:marLeft w:val="0"/>
      <w:marRight w:val="0"/>
      <w:marTop w:val="0"/>
      <w:marBottom w:val="0"/>
      <w:divBdr>
        <w:top w:val="none" w:sz="0" w:space="0" w:color="auto"/>
        <w:left w:val="none" w:sz="0" w:space="0" w:color="auto"/>
        <w:bottom w:val="none" w:sz="0" w:space="0" w:color="auto"/>
        <w:right w:val="none" w:sz="0" w:space="0" w:color="auto"/>
      </w:divBdr>
    </w:div>
    <w:div w:id="1375082739">
      <w:bodyDiv w:val="1"/>
      <w:marLeft w:val="0"/>
      <w:marRight w:val="0"/>
      <w:marTop w:val="0"/>
      <w:marBottom w:val="0"/>
      <w:divBdr>
        <w:top w:val="none" w:sz="0" w:space="0" w:color="auto"/>
        <w:left w:val="none" w:sz="0" w:space="0" w:color="auto"/>
        <w:bottom w:val="none" w:sz="0" w:space="0" w:color="auto"/>
        <w:right w:val="none" w:sz="0" w:space="0" w:color="auto"/>
      </w:divBdr>
    </w:div>
    <w:div w:id="1391344501">
      <w:bodyDiv w:val="1"/>
      <w:marLeft w:val="0"/>
      <w:marRight w:val="0"/>
      <w:marTop w:val="0"/>
      <w:marBottom w:val="0"/>
      <w:divBdr>
        <w:top w:val="none" w:sz="0" w:space="0" w:color="auto"/>
        <w:left w:val="none" w:sz="0" w:space="0" w:color="auto"/>
        <w:bottom w:val="none" w:sz="0" w:space="0" w:color="auto"/>
        <w:right w:val="none" w:sz="0" w:space="0" w:color="auto"/>
      </w:divBdr>
    </w:div>
    <w:div w:id="1466701223">
      <w:bodyDiv w:val="1"/>
      <w:marLeft w:val="0"/>
      <w:marRight w:val="0"/>
      <w:marTop w:val="0"/>
      <w:marBottom w:val="0"/>
      <w:divBdr>
        <w:top w:val="none" w:sz="0" w:space="0" w:color="auto"/>
        <w:left w:val="none" w:sz="0" w:space="0" w:color="auto"/>
        <w:bottom w:val="none" w:sz="0" w:space="0" w:color="auto"/>
        <w:right w:val="none" w:sz="0" w:space="0" w:color="auto"/>
      </w:divBdr>
    </w:div>
    <w:div w:id="1470711084">
      <w:bodyDiv w:val="1"/>
      <w:marLeft w:val="0"/>
      <w:marRight w:val="0"/>
      <w:marTop w:val="0"/>
      <w:marBottom w:val="0"/>
      <w:divBdr>
        <w:top w:val="none" w:sz="0" w:space="0" w:color="auto"/>
        <w:left w:val="none" w:sz="0" w:space="0" w:color="auto"/>
        <w:bottom w:val="none" w:sz="0" w:space="0" w:color="auto"/>
        <w:right w:val="none" w:sz="0" w:space="0" w:color="auto"/>
      </w:divBdr>
    </w:div>
    <w:div w:id="1483082810">
      <w:bodyDiv w:val="1"/>
      <w:marLeft w:val="0"/>
      <w:marRight w:val="0"/>
      <w:marTop w:val="0"/>
      <w:marBottom w:val="0"/>
      <w:divBdr>
        <w:top w:val="none" w:sz="0" w:space="0" w:color="auto"/>
        <w:left w:val="none" w:sz="0" w:space="0" w:color="auto"/>
        <w:bottom w:val="none" w:sz="0" w:space="0" w:color="auto"/>
        <w:right w:val="none" w:sz="0" w:space="0" w:color="auto"/>
      </w:divBdr>
      <w:divsChild>
        <w:div w:id="1406487529">
          <w:marLeft w:val="0"/>
          <w:marRight w:val="0"/>
          <w:marTop w:val="0"/>
          <w:marBottom w:val="0"/>
          <w:divBdr>
            <w:top w:val="none" w:sz="0" w:space="0" w:color="auto"/>
            <w:left w:val="none" w:sz="0" w:space="0" w:color="auto"/>
            <w:bottom w:val="none" w:sz="0" w:space="0" w:color="auto"/>
            <w:right w:val="none" w:sz="0" w:space="0" w:color="auto"/>
          </w:divBdr>
          <w:divsChild>
            <w:div w:id="536091222">
              <w:marLeft w:val="0"/>
              <w:marRight w:val="0"/>
              <w:marTop w:val="0"/>
              <w:marBottom w:val="0"/>
              <w:divBdr>
                <w:top w:val="none" w:sz="0" w:space="0" w:color="auto"/>
                <w:left w:val="none" w:sz="0" w:space="0" w:color="auto"/>
                <w:bottom w:val="none" w:sz="0" w:space="0" w:color="auto"/>
                <w:right w:val="none" w:sz="0" w:space="0" w:color="auto"/>
              </w:divBdr>
            </w:div>
          </w:divsChild>
        </w:div>
        <w:div w:id="479544723">
          <w:marLeft w:val="0"/>
          <w:marRight w:val="0"/>
          <w:marTop w:val="0"/>
          <w:marBottom w:val="0"/>
          <w:divBdr>
            <w:top w:val="none" w:sz="0" w:space="0" w:color="auto"/>
            <w:left w:val="none" w:sz="0" w:space="0" w:color="auto"/>
            <w:bottom w:val="none" w:sz="0" w:space="0" w:color="auto"/>
            <w:right w:val="none" w:sz="0" w:space="0" w:color="auto"/>
          </w:divBdr>
          <w:divsChild>
            <w:div w:id="1366178184">
              <w:marLeft w:val="0"/>
              <w:marRight w:val="0"/>
              <w:marTop w:val="0"/>
              <w:marBottom w:val="0"/>
              <w:divBdr>
                <w:top w:val="none" w:sz="0" w:space="0" w:color="auto"/>
                <w:left w:val="none" w:sz="0" w:space="0" w:color="auto"/>
                <w:bottom w:val="none" w:sz="0" w:space="0" w:color="auto"/>
                <w:right w:val="none" w:sz="0" w:space="0" w:color="auto"/>
              </w:divBdr>
            </w:div>
          </w:divsChild>
        </w:div>
        <w:div w:id="1088116788">
          <w:marLeft w:val="0"/>
          <w:marRight w:val="0"/>
          <w:marTop w:val="0"/>
          <w:marBottom w:val="0"/>
          <w:divBdr>
            <w:top w:val="none" w:sz="0" w:space="0" w:color="auto"/>
            <w:left w:val="none" w:sz="0" w:space="0" w:color="auto"/>
            <w:bottom w:val="none" w:sz="0" w:space="0" w:color="auto"/>
            <w:right w:val="none" w:sz="0" w:space="0" w:color="auto"/>
          </w:divBdr>
          <w:divsChild>
            <w:div w:id="1541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418">
      <w:bodyDiv w:val="1"/>
      <w:marLeft w:val="0"/>
      <w:marRight w:val="0"/>
      <w:marTop w:val="0"/>
      <w:marBottom w:val="0"/>
      <w:divBdr>
        <w:top w:val="none" w:sz="0" w:space="0" w:color="auto"/>
        <w:left w:val="none" w:sz="0" w:space="0" w:color="auto"/>
        <w:bottom w:val="none" w:sz="0" w:space="0" w:color="auto"/>
        <w:right w:val="none" w:sz="0" w:space="0" w:color="auto"/>
      </w:divBdr>
    </w:div>
    <w:div w:id="1528640508">
      <w:bodyDiv w:val="1"/>
      <w:marLeft w:val="0"/>
      <w:marRight w:val="0"/>
      <w:marTop w:val="0"/>
      <w:marBottom w:val="0"/>
      <w:divBdr>
        <w:top w:val="none" w:sz="0" w:space="0" w:color="auto"/>
        <w:left w:val="none" w:sz="0" w:space="0" w:color="auto"/>
        <w:bottom w:val="none" w:sz="0" w:space="0" w:color="auto"/>
        <w:right w:val="none" w:sz="0" w:space="0" w:color="auto"/>
      </w:divBdr>
    </w:div>
    <w:div w:id="1705862336">
      <w:bodyDiv w:val="1"/>
      <w:marLeft w:val="0"/>
      <w:marRight w:val="0"/>
      <w:marTop w:val="0"/>
      <w:marBottom w:val="0"/>
      <w:divBdr>
        <w:top w:val="none" w:sz="0" w:space="0" w:color="auto"/>
        <w:left w:val="none" w:sz="0" w:space="0" w:color="auto"/>
        <w:bottom w:val="none" w:sz="0" w:space="0" w:color="auto"/>
        <w:right w:val="none" w:sz="0" w:space="0" w:color="auto"/>
      </w:divBdr>
    </w:div>
    <w:div w:id="1727100608">
      <w:bodyDiv w:val="1"/>
      <w:marLeft w:val="0"/>
      <w:marRight w:val="0"/>
      <w:marTop w:val="0"/>
      <w:marBottom w:val="0"/>
      <w:divBdr>
        <w:top w:val="none" w:sz="0" w:space="0" w:color="auto"/>
        <w:left w:val="none" w:sz="0" w:space="0" w:color="auto"/>
        <w:bottom w:val="none" w:sz="0" w:space="0" w:color="auto"/>
        <w:right w:val="none" w:sz="0" w:space="0" w:color="auto"/>
      </w:divBdr>
    </w:div>
    <w:div w:id="1729187269">
      <w:bodyDiv w:val="1"/>
      <w:marLeft w:val="0"/>
      <w:marRight w:val="0"/>
      <w:marTop w:val="0"/>
      <w:marBottom w:val="0"/>
      <w:divBdr>
        <w:top w:val="none" w:sz="0" w:space="0" w:color="auto"/>
        <w:left w:val="none" w:sz="0" w:space="0" w:color="auto"/>
        <w:bottom w:val="none" w:sz="0" w:space="0" w:color="auto"/>
        <w:right w:val="none" w:sz="0" w:space="0" w:color="auto"/>
      </w:divBdr>
    </w:div>
    <w:div w:id="1822766863">
      <w:bodyDiv w:val="1"/>
      <w:marLeft w:val="0"/>
      <w:marRight w:val="0"/>
      <w:marTop w:val="0"/>
      <w:marBottom w:val="0"/>
      <w:divBdr>
        <w:top w:val="none" w:sz="0" w:space="0" w:color="auto"/>
        <w:left w:val="none" w:sz="0" w:space="0" w:color="auto"/>
        <w:bottom w:val="none" w:sz="0" w:space="0" w:color="auto"/>
        <w:right w:val="none" w:sz="0" w:space="0" w:color="auto"/>
      </w:divBdr>
    </w:div>
    <w:div w:id="1882014433">
      <w:bodyDiv w:val="1"/>
      <w:marLeft w:val="0"/>
      <w:marRight w:val="0"/>
      <w:marTop w:val="0"/>
      <w:marBottom w:val="0"/>
      <w:divBdr>
        <w:top w:val="none" w:sz="0" w:space="0" w:color="auto"/>
        <w:left w:val="none" w:sz="0" w:space="0" w:color="auto"/>
        <w:bottom w:val="none" w:sz="0" w:space="0" w:color="auto"/>
        <w:right w:val="none" w:sz="0" w:space="0" w:color="auto"/>
      </w:divBdr>
    </w:div>
    <w:div w:id="1884974241">
      <w:bodyDiv w:val="1"/>
      <w:marLeft w:val="0"/>
      <w:marRight w:val="0"/>
      <w:marTop w:val="0"/>
      <w:marBottom w:val="0"/>
      <w:divBdr>
        <w:top w:val="none" w:sz="0" w:space="0" w:color="auto"/>
        <w:left w:val="none" w:sz="0" w:space="0" w:color="auto"/>
        <w:bottom w:val="none" w:sz="0" w:space="0" w:color="auto"/>
        <w:right w:val="none" w:sz="0" w:space="0" w:color="auto"/>
      </w:divBdr>
    </w:div>
    <w:div w:id="1952936198">
      <w:bodyDiv w:val="1"/>
      <w:marLeft w:val="0"/>
      <w:marRight w:val="0"/>
      <w:marTop w:val="0"/>
      <w:marBottom w:val="0"/>
      <w:divBdr>
        <w:top w:val="none" w:sz="0" w:space="0" w:color="auto"/>
        <w:left w:val="none" w:sz="0" w:space="0" w:color="auto"/>
        <w:bottom w:val="none" w:sz="0" w:space="0" w:color="auto"/>
        <w:right w:val="none" w:sz="0" w:space="0" w:color="auto"/>
      </w:divBdr>
    </w:div>
    <w:div w:id="1959948339">
      <w:bodyDiv w:val="1"/>
      <w:marLeft w:val="0"/>
      <w:marRight w:val="0"/>
      <w:marTop w:val="0"/>
      <w:marBottom w:val="0"/>
      <w:divBdr>
        <w:top w:val="none" w:sz="0" w:space="0" w:color="auto"/>
        <w:left w:val="none" w:sz="0" w:space="0" w:color="auto"/>
        <w:bottom w:val="none" w:sz="0" w:space="0" w:color="auto"/>
        <w:right w:val="none" w:sz="0" w:space="0" w:color="auto"/>
      </w:divBdr>
    </w:div>
    <w:div w:id="1975328288">
      <w:bodyDiv w:val="1"/>
      <w:marLeft w:val="0"/>
      <w:marRight w:val="0"/>
      <w:marTop w:val="0"/>
      <w:marBottom w:val="0"/>
      <w:divBdr>
        <w:top w:val="none" w:sz="0" w:space="0" w:color="auto"/>
        <w:left w:val="none" w:sz="0" w:space="0" w:color="auto"/>
        <w:bottom w:val="none" w:sz="0" w:space="0" w:color="auto"/>
        <w:right w:val="none" w:sz="0" w:space="0" w:color="auto"/>
      </w:divBdr>
    </w:div>
    <w:div w:id="1977828519">
      <w:bodyDiv w:val="1"/>
      <w:marLeft w:val="0"/>
      <w:marRight w:val="0"/>
      <w:marTop w:val="0"/>
      <w:marBottom w:val="0"/>
      <w:divBdr>
        <w:top w:val="none" w:sz="0" w:space="0" w:color="auto"/>
        <w:left w:val="none" w:sz="0" w:space="0" w:color="auto"/>
        <w:bottom w:val="none" w:sz="0" w:space="0" w:color="auto"/>
        <w:right w:val="none" w:sz="0" w:space="0" w:color="auto"/>
      </w:divBdr>
    </w:div>
    <w:div w:id="2021161202">
      <w:bodyDiv w:val="1"/>
      <w:marLeft w:val="0"/>
      <w:marRight w:val="0"/>
      <w:marTop w:val="0"/>
      <w:marBottom w:val="0"/>
      <w:divBdr>
        <w:top w:val="none" w:sz="0" w:space="0" w:color="auto"/>
        <w:left w:val="none" w:sz="0" w:space="0" w:color="auto"/>
        <w:bottom w:val="none" w:sz="0" w:space="0" w:color="auto"/>
        <w:right w:val="none" w:sz="0" w:space="0" w:color="auto"/>
      </w:divBdr>
    </w:div>
    <w:div w:id="2031291974">
      <w:bodyDiv w:val="1"/>
      <w:marLeft w:val="0"/>
      <w:marRight w:val="0"/>
      <w:marTop w:val="0"/>
      <w:marBottom w:val="0"/>
      <w:divBdr>
        <w:top w:val="none" w:sz="0" w:space="0" w:color="auto"/>
        <w:left w:val="none" w:sz="0" w:space="0" w:color="auto"/>
        <w:bottom w:val="none" w:sz="0" w:space="0" w:color="auto"/>
        <w:right w:val="none" w:sz="0" w:space="0" w:color="auto"/>
      </w:divBdr>
    </w:div>
    <w:div w:id="20747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http://searchdatamanagement.techtarget.com/definition/HIPA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ond\Application%20Data\Microsoft\Templates\MEPS_Doc_Name_v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7A441-1EDC-4500-B203-6CE3FD084D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829BA8-6F8B-4C57-8389-40BD11375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e7e85-714c-4120-89ec-5f9d4e03a5ee"/>
    <ds:schemaRef ds:uri="2faf4a49-cb5a-4823-8afc-c6a471c1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193BDD-0C45-4B57-9493-4AEEE77AF48E}">
  <ds:schemaRefs>
    <ds:schemaRef ds:uri="http://schemas.openxmlformats.org/officeDocument/2006/bibliography"/>
  </ds:schemaRefs>
</ds:datastoreItem>
</file>

<file path=customXml/itemProps4.xml><?xml version="1.0" encoding="utf-8"?>
<ds:datastoreItem xmlns:ds="http://schemas.openxmlformats.org/officeDocument/2006/customXml" ds:itemID="{940A6DF6-F14B-4345-9287-E7A752C76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MEPS_Doc_Name_v0 1.dot</Template>
  <TotalTime>110</TotalTime>
  <Pages>27</Pages>
  <Words>10856</Words>
  <Characters>61880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72591</CharactersWithSpaces>
  <SharedDoc>false</SharedDoc>
  <HLinks>
    <vt:vector size="6" baseType="variant">
      <vt:variant>
        <vt:i4>2228322</vt:i4>
      </vt:variant>
      <vt:variant>
        <vt:i4>144</vt:i4>
      </vt:variant>
      <vt:variant>
        <vt:i4>0</vt:i4>
      </vt:variant>
      <vt:variant>
        <vt:i4>5</vt:i4>
      </vt:variant>
      <vt:variant>
        <vt:lpwstr>http://searchdatamanagement.techtarget.com/definition/HIPAA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jstockdale</dc:creator>
  <cp:lastModifiedBy>Mitchell, Emily (AHRQ/CFACT)</cp:lastModifiedBy>
  <cp:revision>34</cp:revision>
  <cp:lastPrinted>2023-01-05T15:25:00Z</cp:lastPrinted>
  <dcterms:created xsi:type="dcterms:W3CDTF">2024-02-12T19:53:00Z</dcterms:created>
  <dcterms:modified xsi:type="dcterms:W3CDTF">2025-01-27T19:31:00Z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0x0101001B796A422062B84A920369494C5F0DF4</vt:lpwstr>
  </property>
</Properties>
</file>