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190C" w14:textId="0A06AC1F" w:rsidR="007B5BB2" w:rsidRPr="005439F1" w:rsidRDefault="00BA74A7" w:rsidP="000434E7">
      <w:pPr>
        <w:pStyle w:val="Heading3Text"/>
        <w:jc w:val="right"/>
      </w:pPr>
      <w:r>
        <w:tab/>
      </w:r>
    </w:p>
    <w:p w14:paraId="1BB108A6" w14:textId="49DF92D7" w:rsidR="00B142CB" w:rsidRPr="008D54A5" w:rsidRDefault="008501DF" w:rsidP="009D7126">
      <w:pPr>
        <w:pStyle w:val="CoverSheetTitleBold"/>
      </w:pPr>
      <w:bookmarkStart w:id="0" w:name="_Hlk35265927"/>
      <w:r w:rsidRPr="008D54A5">
        <w:t>Medical Expenditure Panel Survey</w:t>
      </w:r>
      <w:r w:rsidR="00443422" w:rsidRPr="008D54A5">
        <w:t>—</w:t>
      </w:r>
      <w:r w:rsidRPr="008D54A5">
        <w:t>Medical Provider Component</w:t>
      </w:r>
      <w:bookmarkEnd w:id="0"/>
    </w:p>
    <w:p w14:paraId="71A58E36" w14:textId="77777777" w:rsidR="00B142CB" w:rsidRPr="008D54A5" w:rsidRDefault="00B142CB" w:rsidP="009D7126">
      <w:pPr>
        <w:pStyle w:val="CoverSheetTitleBold"/>
      </w:pPr>
    </w:p>
    <w:p w14:paraId="774D9983" w14:textId="780FA9BD" w:rsidR="00443422" w:rsidRPr="008D54A5" w:rsidRDefault="007820DB" w:rsidP="00513C2B">
      <w:pPr>
        <w:pStyle w:val="CoverSheetName"/>
        <w:rPr>
          <w:rStyle w:val="CoverSheetSub-Title"/>
          <w:sz w:val="38"/>
          <w:szCs w:val="38"/>
        </w:rPr>
      </w:pPr>
      <w:r w:rsidRPr="008D54A5">
        <w:rPr>
          <w:rStyle w:val="CoverSheetSub-Title"/>
          <w:sz w:val="38"/>
          <w:szCs w:val="38"/>
        </w:rPr>
        <w:t>202</w:t>
      </w:r>
      <w:r>
        <w:rPr>
          <w:rStyle w:val="CoverSheetSub-Title"/>
          <w:sz w:val="38"/>
          <w:szCs w:val="38"/>
        </w:rPr>
        <w:t>3</w:t>
      </w:r>
      <w:r w:rsidRPr="008D54A5">
        <w:rPr>
          <w:rStyle w:val="CoverSheetSub-Title"/>
          <w:sz w:val="38"/>
          <w:szCs w:val="38"/>
        </w:rPr>
        <w:t xml:space="preserve"> </w:t>
      </w:r>
      <w:r w:rsidR="00887395" w:rsidRPr="008D54A5">
        <w:rPr>
          <w:rStyle w:val="CoverSheetSub-Title"/>
          <w:sz w:val="38"/>
          <w:szCs w:val="38"/>
        </w:rPr>
        <w:t>Plan for Matching MPC to HC Events</w:t>
      </w:r>
    </w:p>
    <w:p w14:paraId="77072601" w14:textId="03CCC94C" w:rsidR="00B142CB" w:rsidRPr="008D54A5" w:rsidRDefault="000C2CD8" w:rsidP="00F41C26">
      <w:pPr>
        <w:pStyle w:val="Version"/>
        <w:rPr>
          <w:szCs w:val="24"/>
        </w:rPr>
      </w:pPr>
      <w:r w:rsidRPr="008D54A5">
        <w:rPr>
          <w:szCs w:val="24"/>
        </w:rPr>
        <w:t xml:space="preserve">Deliverable </w:t>
      </w:r>
      <w:r w:rsidR="0095431E" w:rsidRPr="008D54A5">
        <w:rPr>
          <w:szCs w:val="24"/>
        </w:rPr>
        <w:t>OP</w:t>
      </w:r>
      <w:r w:rsidR="009830B0" w:rsidRPr="008D54A5">
        <w:rPr>
          <w:szCs w:val="24"/>
        </w:rPr>
        <w:t>3</w:t>
      </w:r>
      <w:r w:rsidR="001E7A8A" w:rsidRPr="008D54A5">
        <w:rPr>
          <w:szCs w:val="24"/>
        </w:rPr>
        <w:t>-2</w:t>
      </w:r>
      <w:r w:rsidR="003F504F" w:rsidRPr="008D54A5">
        <w:rPr>
          <w:szCs w:val="24"/>
        </w:rPr>
        <w:t>6</w:t>
      </w:r>
      <w:r w:rsidR="009901B3" w:rsidRPr="008D54A5">
        <w:rPr>
          <w:szCs w:val="24"/>
        </w:rPr>
        <w:t>, V1</w:t>
      </w:r>
      <w:r w:rsidR="009C638F" w:rsidRPr="008D54A5">
        <w:rPr>
          <w:szCs w:val="24"/>
        </w:rPr>
        <w:t>.</w:t>
      </w:r>
      <w:r w:rsidR="009830B0" w:rsidRPr="008D54A5">
        <w:rPr>
          <w:szCs w:val="24"/>
        </w:rPr>
        <w:t>0</w:t>
      </w:r>
    </w:p>
    <w:p w14:paraId="78CDA9B2" w14:textId="04DF2B98" w:rsidR="0008129D" w:rsidRPr="008D54A5" w:rsidRDefault="0095431E" w:rsidP="0095431E">
      <w:pPr>
        <w:pStyle w:val="Version"/>
        <w:tabs>
          <w:tab w:val="left" w:pos="6888"/>
          <w:tab w:val="right" w:pos="9360"/>
        </w:tabs>
        <w:jc w:val="left"/>
        <w:rPr>
          <w:szCs w:val="24"/>
        </w:rPr>
      </w:pPr>
      <w:r w:rsidRPr="008D54A5">
        <w:rPr>
          <w:szCs w:val="24"/>
        </w:rPr>
        <w:tab/>
      </w:r>
      <w:r w:rsidRPr="008D54A5">
        <w:rPr>
          <w:szCs w:val="24"/>
        </w:rPr>
        <w:tab/>
      </w:r>
      <w:r w:rsidR="009830B0" w:rsidRPr="008D54A5">
        <w:rPr>
          <w:szCs w:val="24"/>
        </w:rPr>
        <w:t xml:space="preserve">March </w:t>
      </w:r>
      <w:r w:rsidR="009A67DB">
        <w:rPr>
          <w:szCs w:val="24"/>
        </w:rPr>
        <w:t>29</w:t>
      </w:r>
      <w:r w:rsidR="001D5048" w:rsidRPr="008D54A5">
        <w:rPr>
          <w:szCs w:val="24"/>
        </w:rPr>
        <w:t>,</w:t>
      </w:r>
      <w:r w:rsidR="00F374F0" w:rsidRPr="008D54A5">
        <w:rPr>
          <w:szCs w:val="24"/>
        </w:rPr>
        <w:t xml:space="preserve"> </w:t>
      </w:r>
      <w:r w:rsidR="00AF0497" w:rsidRPr="008D54A5">
        <w:rPr>
          <w:szCs w:val="24"/>
        </w:rPr>
        <w:t>20</w:t>
      </w:r>
      <w:r w:rsidR="00FA49EE" w:rsidRPr="008D54A5">
        <w:rPr>
          <w:szCs w:val="24"/>
        </w:rPr>
        <w:t>2</w:t>
      </w:r>
      <w:r w:rsidR="009830B0" w:rsidRPr="008D54A5">
        <w:rPr>
          <w:szCs w:val="24"/>
        </w:rPr>
        <w:t>4</w:t>
      </w:r>
    </w:p>
    <w:p w14:paraId="04F401E9" w14:textId="77777777" w:rsidR="00B142CB" w:rsidRPr="008D54A5" w:rsidRDefault="00B142CB" w:rsidP="00E517C1">
      <w:pPr>
        <w:jc w:val="right"/>
        <w:rPr>
          <w:szCs w:val="24"/>
        </w:rPr>
      </w:pPr>
    </w:p>
    <w:p w14:paraId="1FF9FF05" w14:textId="77777777" w:rsidR="00B142CB" w:rsidRPr="008D54A5" w:rsidRDefault="00B142CB" w:rsidP="00E517C1">
      <w:pPr>
        <w:jc w:val="right"/>
      </w:pPr>
    </w:p>
    <w:p w14:paraId="54B91F35" w14:textId="77777777" w:rsidR="00B142CB" w:rsidRPr="008D54A5" w:rsidRDefault="00B142CB" w:rsidP="00E517C1">
      <w:pPr>
        <w:jc w:val="right"/>
      </w:pPr>
    </w:p>
    <w:p w14:paraId="5CEF1D87" w14:textId="35D541F1" w:rsidR="0008129D" w:rsidRPr="008D54A5" w:rsidRDefault="00BC2ED3" w:rsidP="0008129D">
      <w:pPr>
        <w:pStyle w:val="Cov-Address"/>
      </w:pPr>
      <w:r w:rsidRPr="008D54A5">
        <w:t>Prepared for</w:t>
      </w:r>
    </w:p>
    <w:p w14:paraId="5C4CA5C0" w14:textId="77777777" w:rsidR="0008129D" w:rsidRPr="008D54A5" w:rsidRDefault="0008129D" w:rsidP="0008129D">
      <w:pPr>
        <w:pStyle w:val="Cov-Address"/>
      </w:pPr>
    </w:p>
    <w:p w14:paraId="037F8B33" w14:textId="77777777" w:rsidR="0008129D" w:rsidRPr="008D54A5" w:rsidRDefault="00BC2ED3" w:rsidP="0008129D">
      <w:pPr>
        <w:pStyle w:val="Cov-Address"/>
        <w:rPr>
          <w:b/>
          <w:bCs/>
        </w:rPr>
      </w:pPr>
      <w:r w:rsidRPr="008D54A5">
        <w:rPr>
          <w:b/>
          <w:bCs/>
        </w:rPr>
        <w:t>Agency for Healthcare Research and Quality</w:t>
      </w:r>
    </w:p>
    <w:p w14:paraId="639F77F3" w14:textId="77777777" w:rsidR="0067374F" w:rsidRPr="008D54A5" w:rsidRDefault="00BC2ED3" w:rsidP="0067374F">
      <w:pPr>
        <w:pStyle w:val="Cov-Address"/>
      </w:pPr>
      <w:r w:rsidRPr="008D54A5">
        <w:t>AHRQ, Center for Financing, Access &amp; Cost Trends</w:t>
      </w:r>
    </w:p>
    <w:p w14:paraId="5BC4F4E7" w14:textId="77777777" w:rsidR="004A3874" w:rsidRPr="008D54A5" w:rsidRDefault="004A3874" w:rsidP="004A3874">
      <w:pPr>
        <w:jc w:val="right"/>
        <w:rPr>
          <w:rFonts w:ascii="Arial" w:hAnsi="Arial"/>
        </w:rPr>
      </w:pPr>
      <w:r w:rsidRPr="008D54A5">
        <w:rPr>
          <w:rFonts w:ascii="Arial" w:hAnsi="Arial"/>
        </w:rPr>
        <w:t>5600 Fishers Lane</w:t>
      </w:r>
    </w:p>
    <w:p w14:paraId="2DF430BD" w14:textId="5E06EC48" w:rsidR="004A3874" w:rsidRPr="008D54A5" w:rsidRDefault="004A3874" w:rsidP="004A3874">
      <w:pPr>
        <w:jc w:val="right"/>
        <w:rPr>
          <w:rFonts w:ascii="Arial" w:hAnsi="Arial"/>
        </w:rPr>
      </w:pPr>
      <w:r w:rsidRPr="008D54A5">
        <w:rPr>
          <w:rFonts w:ascii="Arial" w:hAnsi="Arial"/>
        </w:rPr>
        <w:t>Rockville, MD</w:t>
      </w:r>
      <w:r w:rsidR="00356CD1" w:rsidRPr="008D54A5">
        <w:rPr>
          <w:rFonts w:ascii="Arial" w:hAnsi="Arial"/>
        </w:rPr>
        <w:t xml:space="preserve"> </w:t>
      </w:r>
      <w:r w:rsidRPr="008D54A5">
        <w:rPr>
          <w:rFonts w:ascii="Arial" w:hAnsi="Arial"/>
        </w:rPr>
        <w:t>20857</w:t>
      </w:r>
    </w:p>
    <w:p w14:paraId="7D5FCC04" w14:textId="77777777" w:rsidR="0008129D" w:rsidRPr="008D54A5" w:rsidRDefault="0008129D" w:rsidP="0008129D">
      <w:pPr>
        <w:pStyle w:val="Cov-Address"/>
      </w:pPr>
    </w:p>
    <w:p w14:paraId="5F22C012" w14:textId="77777777" w:rsidR="0008129D" w:rsidRPr="008D54A5" w:rsidRDefault="0008129D" w:rsidP="0008129D">
      <w:pPr>
        <w:pStyle w:val="Cov-Address"/>
      </w:pPr>
    </w:p>
    <w:p w14:paraId="532F4DE0" w14:textId="77777777" w:rsidR="0008129D" w:rsidRPr="008D54A5" w:rsidRDefault="00BC2ED3" w:rsidP="0008129D">
      <w:pPr>
        <w:pStyle w:val="Cov-Address"/>
      </w:pPr>
      <w:r w:rsidRPr="008D54A5">
        <w:t>Prepared by</w:t>
      </w:r>
    </w:p>
    <w:p w14:paraId="58CB7453" w14:textId="77777777" w:rsidR="0008129D" w:rsidRPr="008D54A5" w:rsidRDefault="0008129D" w:rsidP="0008129D">
      <w:pPr>
        <w:pStyle w:val="Cov-Address"/>
      </w:pPr>
    </w:p>
    <w:p w14:paraId="103A67DA" w14:textId="77777777" w:rsidR="0008129D" w:rsidRPr="008D54A5" w:rsidRDefault="00BC2ED3" w:rsidP="0008129D">
      <w:pPr>
        <w:pStyle w:val="Cov-Address"/>
      </w:pPr>
      <w:r w:rsidRPr="008D54A5">
        <w:t>RTI International</w:t>
      </w:r>
    </w:p>
    <w:p w14:paraId="2BAEC58D" w14:textId="77777777" w:rsidR="0008129D" w:rsidRPr="008D54A5" w:rsidRDefault="00BC2ED3" w:rsidP="0008129D">
      <w:pPr>
        <w:pStyle w:val="Cov-Address"/>
      </w:pPr>
      <w:r w:rsidRPr="008D54A5">
        <w:t>3040 Cornwallis Road</w:t>
      </w:r>
    </w:p>
    <w:p w14:paraId="6ADD8444" w14:textId="77777777" w:rsidR="0008129D" w:rsidRPr="008D54A5" w:rsidRDefault="00BC2ED3" w:rsidP="0008129D">
      <w:pPr>
        <w:pStyle w:val="Cov-Address"/>
      </w:pPr>
      <w:r w:rsidRPr="008D54A5">
        <w:t>PO Box 12194</w:t>
      </w:r>
    </w:p>
    <w:p w14:paraId="4F2820EF" w14:textId="77777777" w:rsidR="0008129D" w:rsidRPr="008D54A5" w:rsidRDefault="00BC2ED3" w:rsidP="0008129D">
      <w:pPr>
        <w:pStyle w:val="Cov-Address"/>
      </w:pPr>
      <w:r w:rsidRPr="008D54A5">
        <w:t>Research Triangle Park, NC 27709-2194</w:t>
      </w:r>
    </w:p>
    <w:p w14:paraId="518450F5" w14:textId="77777777" w:rsidR="0008129D" w:rsidRPr="008D54A5" w:rsidRDefault="0008129D" w:rsidP="0008129D">
      <w:pPr>
        <w:pStyle w:val="Cov-Address"/>
      </w:pPr>
    </w:p>
    <w:p w14:paraId="54FC8136" w14:textId="77777777" w:rsidR="00B246A7" w:rsidRDefault="00B246A7" w:rsidP="00B246A7">
      <w:pPr>
        <w:jc w:val="right"/>
        <w:rPr>
          <w:rFonts w:ascii="Arial" w:hAnsi="Arial" w:cs="Arial"/>
          <w:szCs w:val="24"/>
        </w:rPr>
      </w:pPr>
      <w:r w:rsidRPr="008D54A5">
        <w:rPr>
          <w:rFonts w:ascii="Arial" w:hAnsi="Arial" w:cs="Arial"/>
          <w:szCs w:val="24"/>
        </w:rPr>
        <w:t xml:space="preserve">AHRQ Contract Number 75Q80121C00005 </w:t>
      </w:r>
    </w:p>
    <w:p w14:paraId="32B6FF3C" w14:textId="77777777" w:rsidR="004C799A" w:rsidRDefault="004C799A" w:rsidP="00B246A7">
      <w:pPr>
        <w:jc w:val="right"/>
        <w:rPr>
          <w:rFonts w:ascii="Arial" w:hAnsi="Arial" w:cs="Arial"/>
          <w:szCs w:val="24"/>
        </w:rPr>
      </w:pPr>
    </w:p>
    <w:p w14:paraId="5D6C0A94" w14:textId="77777777" w:rsidR="004C799A" w:rsidRDefault="004C799A" w:rsidP="004C799A">
      <w:pPr>
        <w:tabs>
          <w:tab w:val="left" w:pos="1080"/>
        </w:tabs>
      </w:pPr>
      <w:r w:rsidRPr="00A04579">
        <w:rPr>
          <w:rFonts w:ascii="Arial" w:hAnsi="Arial" w:cs="Arial"/>
          <w:b/>
          <w:color w:val="0070C0"/>
          <w:sz w:val="28"/>
          <w:szCs w:val="28"/>
        </w:rPr>
        <w:t xml:space="preserve">This document was edited in </w:t>
      </w:r>
      <w:r>
        <w:rPr>
          <w:rFonts w:ascii="Arial" w:hAnsi="Arial" w:cs="Arial"/>
          <w:b/>
          <w:color w:val="0070C0"/>
          <w:sz w:val="28"/>
          <w:szCs w:val="28"/>
        </w:rPr>
        <w:t>December</w:t>
      </w:r>
      <w:r w:rsidRPr="00A04579">
        <w:rPr>
          <w:rFonts w:ascii="Arial" w:hAnsi="Arial" w:cs="Arial"/>
          <w:b/>
          <w:color w:val="0070C0"/>
          <w:sz w:val="28"/>
          <w:szCs w:val="28"/>
        </w:rPr>
        <w:t xml:space="preserve"> 2024 to redact potentially sensitive or proprietary information</w:t>
      </w:r>
      <w:r>
        <w:rPr>
          <w:rFonts w:ascii="Arial" w:hAnsi="Arial" w:cs="Arial"/>
          <w:b/>
          <w:sz w:val="28"/>
          <w:szCs w:val="28"/>
        </w:rPr>
        <w:t>.</w:t>
      </w:r>
    </w:p>
    <w:p w14:paraId="59A556C7" w14:textId="77777777" w:rsidR="004C799A" w:rsidRPr="008D54A5" w:rsidRDefault="004C799A" w:rsidP="00B246A7">
      <w:pPr>
        <w:jc w:val="right"/>
        <w:rPr>
          <w:rFonts w:ascii="Arial" w:hAnsi="Arial" w:cs="Arial"/>
          <w:szCs w:val="24"/>
        </w:rPr>
      </w:pPr>
    </w:p>
    <w:p w14:paraId="2E66547C" w14:textId="77777777" w:rsidR="007B5BB2" w:rsidRPr="008D54A5" w:rsidRDefault="007B5BB2" w:rsidP="005736A0">
      <w:pPr>
        <w:jc w:val="right"/>
        <w:rPr>
          <w:rFonts w:ascii="Arial" w:hAnsi="Arial" w:cs="Arial"/>
          <w:szCs w:val="24"/>
        </w:rPr>
      </w:pPr>
    </w:p>
    <w:p w14:paraId="51758675" w14:textId="77777777" w:rsidR="004C18AB" w:rsidRPr="008D54A5" w:rsidRDefault="004C18AB" w:rsidP="004C18AB">
      <w:pPr>
        <w:pStyle w:val="TOC0"/>
      </w:pPr>
    </w:p>
    <w:p w14:paraId="33B16E4F" w14:textId="3E6C07D7" w:rsidR="00870606" w:rsidRPr="008D54A5" w:rsidRDefault="00870606" w:rsidP="004C18AB">
      <w:pPr>
        <w:pStyle w:val="TOC0"/>
        <w:sectPr w:rsidR="00870606" w:rsidRPr="008D54A5" w:rsidSect="00CC4C42">
          <w:footerReference w:type="even" r:id="rId11"/>
          <w:footerReference w:type="default" r:id="rId12"/>
          <w:footerReference w:type="first" r:id="rId13"/>
          <w:pgSz w:w="12240" w:h="15840" w:code="1"/>
          <w:pgMar w:top="1152" w:right="1440" w:bottom="288" w:left="1440" w:header="576" w:footer="720" w:gutter="0"/>
          <w:pgNumType w:start="1"/>
          <w:cols w:space="720"/>
          <w:titlePg/>
          <w:docGrid w:linePitch="360"/>
        </w:sectPr>
      </w:pPr>
    </w:p>
    <w:p w14:paraId="6BE266C4" w14:textId="678D52E1" w:rsidR="004C18AB" w:rsidRPr="008D54A5" w:rsidRDefault="004C18AB" w:rsidP="004C18AB">
      <w:pPr>
        <w:pStyle w:val="TOC0"/>
      </w:pPr>
      <w:r w:rsidRPr="008D54A5">
        <w:lastRenderedPageBreak/>
        <w:t>Table of Contents</w:t>
      </w:r>
    </w:p>
    <w:p w14:paraId="26C3E088" w14:textId="79EBE7E8" w:rsidR="00CC4C42" w:rsidRPr="008D54A5" w:rsidRDefault="004C18AB" w:rsidP="007B19FD">
      <w:pPr>
        <w:tabs>
          <w:tab w:val="left" w:pos="8820"/>
        </w:tabs>
        <w:ind w:right="-180"/>
        <w:rPr>
          <w:b/>
          <w:bCs/>
          <w:sz w:val="28"/>
          <w:szCs w:val="28"/>
        </w:rPr>
      </w:pPr>
      <w:r w:rsidRPr="008D54A5">
        <w:rPr>
          <w:b/>
          <w:bCs/>
          <w:sz w:val="28"/>
          <w:szCs w:val="28"/>
        </w:rPr>
        <w:t>Section</w:t>
      </w:r>
      <w:r w:rsidRPr="008D54A5">
        <w:rPr>
          <w:b/>
          <w:bCs/>
          <w:sz w:val="28"/>
          <w:szCs w:val="28"/>
        </w:rPr>
        <w:tab/>
        <w:t>Page</w:t>
      </w:r>
    </w:p>
    <w:p w14:paraId="57CECFC2" w14:textId="1E8E9839" w:rsidR="00501B6F" w:rsidRDefault="00C035A5">
      <w:pPr>
        <w:pStyle w:val="TOC1"/>
        <w:rPr>
          <w:rFonts w:asciiTheme="minorHAnsi" w:eastAsiaTheme="minorEastAsia" w:hAnsiTheme="minorHAnsi" w:cstheme="minorBidi"/>
          <w:b w:val="0"/>
          <w:kern w:val="2"/>
          <w:sz w:val="22"/>
          <w:szCs w:val="22"/>
          <w14:ligatures w14:val="standardContextual"/>
        </w:rPr>
      </w:pPr>
      <w:r w:rsidRPr="008D54A5">
        <w:rPr>
          <w:b w:val="0"/>
        </w:rPr>
        <w:fldChar w:fldCharType="begin"/>
      </w:r>
      <w:r w:rsidRPr="008D54A5">
        <w:rPr>
          <w:b w:val="0"/>
        </w:rPr>
        <w:instrText xml:space="preserve"> TOC \h \z \u \t "Heading 1,1,Heading 2,2,Heading 3,3" </w:instrText>
      </w:r>
      <w:r w:rsidRPr="008D54A5">
        <w:rPr>
          <w:b w:val="0"/>
        </w:rPr>
        <w:fldChar w:fldCharType="separate"/>
      </w:r>
      <w:hyperlink w:anchor="_Toc189128076" w:history="1">
        <w:r w:rsidR="00501B6F" w:rsidRPr="00D40537">
          <w:rPr>
            <w:rStyle w:val="Hyperlink"/>
          </w:rPr>
          <w:t>1. Introduction</w:t>
        </w:r>
        <w:r w:rsidR="00501B6F">
          <w:rPr>
            <w:webHidden/>
          </w:rPr>
          <w:tab/>
        </w:r>
        <w:r w:rsidR="00501B6F">
          <w:rPr>
            <w:webHidden/>
          </w:rPr>
          <w:fldChar w:fldCharType="begin"/>
        </w:r>
        <w:r w:rsidR="00501B6F">
          <w:rPr>
            <w:webHidden/>
          </w:rPr>
          <w:instrText xml:space="preserve"> PAGEREF _Toc189128076 \h </w:instrText>
        </w:r>
        <w:r w:rsidR="00501B6F">
          <w:rPr>
            <w:webHidden/>
          </w:rPr>
        </w:r>
        <w:r w:rsidR="00501B6F">
          <w:rPr>
            <w:webHidden/>
          </w:rPr>
          <w:fldChar w:fldCharType="separate"/>
        </w:r>
        <w:r w:rsidR="00501B6F">
          <w:rPr>
            <w:webHidden/>
          </w:rPr>
          <w:t>5</w:t>
        </w:r>
        <w:r w:rsidR="00501B6F">
          <w:rPr>
            <w:webHidden/>
          </w:rPr>
          <w:fldChar w:fldCharType="end"/>
        </w:r>
      </w:hyperlink>
    </w:p>
    <w:p w14:paraId="34053738" w14:textId="2630B493"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077" w:history="1">
        <w:r w:rsidRPr="00D40537">
          <w:rPr>
            <w:rStyle w:val="Hyperlink"/>
          </w:rPr>
          <w:t>2. Preparing 2022 MPC Files for Editing</w:t>
        </w:r>
        <w:r>
          <w:rPr>
            <w:webHidden/>
          </w:rPr>
          <w:tab/>
        </w:r>
        <w:r>
          <w:rPr>
            <w:webHidden/>
          </w:rPr>
          <w:fldChar w:fldCharType="begin"/>
        </w:r>
        <w:r>
          <w:rPr>
            <w:webHidden/>
          </w:rPr>
          <w:instrText xml:space="preserve"> PAGEREF _Toc189128077 \h </w:instrText>
        </w:r>
        <w:r>
          <w:rPr>
            <w:webHidden/>
          </w:rPr>
        </w:r>
        <w:r>
          <w:rPr>
            <w:webHidden/>
          </w:rPr>
          <w:fldChar w:fldCharType="separate"/>
        </w:r>
        <w:r>
          <w:rPr>
            <w:webHidden/>
          </w:rPr>
          <w:t>7</w:t>
        </w:r>
        <w:r>
          <w:rPr>
            <w:webHidden/>
          </w:rPr>
          <w:fldChar w:fldCharType="end"/>
        </w:r>
      </w:hyperlink>
    </w:p>
    <w:p w14:paraId="47242ED8" w14:textId="3640C467"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78" w:history="1">
        <w:r w:rsidRPr="00D40537">
          <w:rPr>
            <w:rStyle w:val="Hyperlink"/>
          </w:rPr>
          <w:t>2.1</w:t>
        </w:r>
        <w:r>
          <w:rPr>
            <w:rFonts w:asciiTheme="minorHAnsi" w:eastAsiaTheme="minorEastAsia" w:hAnsiTheme="minorHAnsi" w:cstheme="minorBidi"/>
            <w:kern w:val="2"/>
            <w:sz w:val="22"/>
            <w14:ligatures w14:val="standardContextual"/>
          </w:rPr>
          <w:tab/>
        </w:r>
        <w:r w:rsidRPr="00D40537">
          <w:rPr>
            <w:rStyle w:val="Hyperlink"/>
          </w:rPr>
          <w:t>Merging Blaise, Control File, and Frame Data</w:t>
        </w:r>
        <w:r>
          <w:rPr>
            <w:webHidden/>
          </w:rPr>
          <w:tab/>
        </w:r>
        <w:r>
          <w:rPr>
            <w:webHidden/>
          </w:rPr>
          <w:fldChar w:fldCharType="begin"/>
        </w:r>
        <w:r>
          <w:rPr>
            <w:webHidden/>
          </w:rPr>
          <w:instrText xml:space="preserve"> PAGEREF _Toc189128078 \h </w:instrText>
        </w:r>
        <w:r>
          <w:rPr>
            <w:webHidden/>
          </w:rPr>
        </w:r>
        <w:r>
          <w:rPr>
            <w:webHidden/>
          </w:rPr>
          <w:fldChar w:fldCharType="separate"/>
        </w:r>
        <w:r>
          <w:rPr>
            <w:webHidden/>
          </w:rPr>
          <w:t>7</w:t>
        </w:r>
        <w:r>
          <w:rPr>
            <w:webHidden/>
          </w:rPr>
          <w:fldChar w:fldCharType="end"/>
        </w:r>
      </w:hyperlink>
    </w:p>
    <w:p w14:paraId="5225E398" w14:textId="0C283E19"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079" w:history="1">
        <w:r w:rsidRPr="00D40537">
          <w:rPr>
            <w:rStyle w:val="Hyperlink"/>
          </w:rPr>
          <w:t>3. Editing the 2022 MPC Medical File Data</w:t>
        </w:r>
        <w:r>
          <w:rPr>
            <w:webHidden/>
          </w:rPr>
          <w:tab/>
        </w:r>
        <w:r>
          <w:rPr>
            <w:webHidden/>
          </w:rPr>
          <w:fldChar w:fldCharType="begin"/>
        </w:r>
        <w:r>
          <w:rPr>
            <w:webHidden/>
          </w:rPr>
          <w:instrText xml:space="preserve"> PAGEREF _Toc189128079 \h </w:instrText>
        </w:r>
        <w:r>
          <w:rPr>
            <w:webHidden/>
          </w:rPr>
        </w:r>
        <w:r>
          <w:rPr>
            <w:webHidden/>
          </w:rPr>
          <w:fldChar w:fldCharType="separate"/>
        </w:r>
        <w:r>
          <w:rPr>
            <w:webHidden/>
          </w:rPr>
          <w:t>9</w:t>
        </w:r>
        <w:r>
          <w:rPr>
            <w:webHidden/>
          </w:rPr>
          <w:fldChar w:fldCharType="end"/>
        </w:r>
      </w:hyperlink>
    </w:p>
    <w:p w14:paraId="129910DE" w14:textId="15C43218"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80" w:history="1">
        <w:r w:rsidRPr="00D40537">
          <w:rPr>
            <w:rStyle w:val="Hyperlink"/>
          </w:rPr>
          <w:t>3.1</w:t>
        </w:r>
        <w:r>
          <w:rPr>
            <w:rFonts w:asciiTheme="minorHAnsi" w:eastAsiaTheme="minorEastAsia" w:hAnsiTheme="minorHAnsi" w:cstheme="minorBidi"/>
            <w:kern w:val="2"/>
            <w:sz w:val="22"/>
            <w14:ligatures w14:val="standardContextual"/>
          </w:rPr>
          <w:tab/>
        </w:r>
        <w:r w:rsidRPr="00D40537">
          <w:rPr>
            <w:rStyle w:val="Hyperlink"/>
          </w:rPr>
          <w:t>Basic Editing</w:t>
        </w:r>
        <w:r>
          <w:rPr>
            <w:webHidden/>
          </w:rPr>
          <w:tab/>
        </w:r>
        <w:r>
          <w:rPr>
            <w:webHidden/>
          </w:rPr>
          <w:fldChar w:fldCharType="begin"/>
        </w:r>
        <w:r>
          <w:rPr>
            <w:webHidden/>
          </w:rPr>
          <w:instrText xml:space="preserve"> PAGEREF _Toc189128080 \h </w:instrText>
        </w:r>
        <w:r>
          <w:rPr>
            <w:webHidden/>
          </w:rPr>
        </w:r>
        <w:r>
          <w:rPr>
            <w:webHidden/>
          </w:rPr>
          <w:fldChar w:fldCharType="separate"/>
        </w:r>
        <w:r>
          <w:rPr>
            <w:webHidden/>
          </w:rPr>
          <w:t>9</w:t>
        </w:r>
        <w:r>
          <w:rPr>
            <w:webHidden/>
          </w:rPr>
          <w:fldChar w:fldCharType="end"/>
        </w:r>
      </w:hyperlink>
    </w:p>
    <w:p w14:paraId="1528D58A" w14:textId="2BDA6836"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81" w:history="1">
        <w:r w:rsidRPr="00D40537">
          <w:rPr>
            <w:rStyle w:val="Hyperlink"/>
          </w:rPr>
          <w:t>3.2</w:t>
        </w:r>
        <w:r>
          <w:rPr>
            <w:rFonts w:asciiTheme="minorHAnsi" w:eastAsiaTheme="minorEastAsia" w:hAnsiTheme="minorHAnsi" w:cstheme="minorBidi"/>
            <w:kern w:val="2"/>
            <w:sz w:val="22"/>
            <w14:ligatures w14:val="standardContextual"/>
          </w:rPr>
          <w:tab/>
        </w:r>
        <w:r w:rsidRPr="00D40537">
          <w:rPr>
            <w:rStyle w:val="Hyperlink"/>
          </w:rPr>
          <w:t>Managerial Edits Conducted During Data Collection</w:t>
        </w:r>
        <w:r>
          <w:rPr>
            <w:webHidden/>
          </w:rPr>
          <w:tab/>
        </w:r>
        <w:r>
          <w:rPr>
            <w:webHidden/>
          </w:rPr>
          <w:fldChar w:fldCharType="begin"/>
        </w:r>
        <w:r>
          <w:rPr>
            <w:webHidden/>
          </w:rPr>
          <w:instrText xml:space="preserve"> PAGEREF _Toc189128081 \h </w:instrText>
        </w:r>
        <w:r>
          <w:rPr>
            <w:webHidden/>
          </w:rPr>
        </w:r>
        <w:r>
          <w:rPr>
            <w:webHidden/>
          </w:rPr>
          <w:fldChar w:fldCharType="separate"/>
        </w:r>
        <w:r>
          <w:rPr>
            <w:webHidden/>
          </w:rPr>
          <w:t>10</w:t>
        </w:r>
        <w:r>
          <w:rPr>
            <w:webHidden/>
          </w:rPr>
          <w:fldChar w:fldCharType="end"/>
        </w:r>
      </w:hyperlink>
    </w:p>
    <w:p w14:paraId="5A94CE25" w14:textId="02952213"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82" w:history="1">
        <w:r w:rsidRPr="00D40537">
          <w:rPr>
            <w:rStyle w:val="Hyperlink"/>
          </w:rPr>
          <w:t>3.3</w:t>
        </w:r>
        <w:r>
          <w:rPr>
            <w:rFonts w:asciiTheme="minorHAnsi" w:eastAsiaTheme="minorEastAsia" w:hAnsiTheme="minorHAnsi" w:cstheme="minorBidi"/>
            <w:kern w:val="2"/>
            <w:sz w:val="22"/>
            <w14:ligatures w14:val="standardContextual"/>
          </w:rPr>
          <w:tab/>
        </w:r>
        <w:r w:rsidRPr="00D40537">
          <w:rPr>
            <w:rStyle w:val="Hyperlink"/>
          </w:rPr>
          <w:t>Identification and Resolution of Duplicate Events</w:t>
        </w:r>
        <w:r>
          <w:rPr>
            <w:webHidden/>
          </w:rPr>
          <w:tab/>
        </w:r>
        <w:r>
          <w:rPr>
            <w:webHidden/>
          </w:rPr>
          <w:fldChar w:fldCharType="begin"/>
        </w:r>
        <w:r>
          <w:rPr>
            <w:webHidden/>
          </w:rPr>
          <w:instrText xml:space="preserve"> PAGEREF _Toc189128082 \h </w:instrText>
        </w:r>
        <w:r>
          <w:rPr>
            <w:webHidden/>
          </w:rPr>
        </w:r>
        <w:r>
          <w:rPr>
            <w:webHidden/>
          </w:rPr>
          <w:fldChar w:fldCharType="separate"/>
        </w:r>
        <w:r>
          <w:rPr>
            <w:webHidden/>
          </w:rPr>
          <w:t>14</w:t>
        </w:r>
        <w:r>
          <w:rPr>
            <w:webHidden/>
          </w:rPr>
          <w:fldChar w:fldCharType="end"/>
        </w:r>
      </w:hyperlink>
    </w:p>
    <w:p w14:paraId="19B5586E" w14:textId="348E52B7"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83" w:history="1">
        <w:r w:rsidRPr="00D40537">
          <w:rPr>
            <w:rStyle w:val="Hyperlink"/>
          </w:rPr>
          <w:t>3.4</w:t>
        </w:r>
        <w:r>
          <w:rPr>
            <w:rFonts w:asciiTheme="minorHAnsi" w:eastAsiaTheme="minorEastAsia" w:hAnsiTheme="minorHAnsi" w:cstheme="minorBidi"/>
            <w:kern w:val="2"/>
            <w:sz w:val="22"/>
            <w14:ligatures w14:val="standardContextual"/>
          </w:rPr>
          <w:tab/>
        </w:r>
        <w:r w:rsidRPr="00D40537">
          <w:rPr>
            <w:rStyle w:val="Hyperlink"/>
          </w:rPr>
          <w:t>Coding Text Responses</w:t>
        </w:r>
        <w:r>
          <w:rPr>
            <w:webHidden/>
          </w:rPr>
          <w:tab/>
        </w:r>
        <w:r>
          <w:rPr>
            <w:webHidden/>
          </w:rPr>
          <w:fldChar w:fldCharType="begin"/>
        </w:r>
        <w:r>
          <w:rPr>
            <w:webHidden/>
          </w:rPr>
          <w:instrText xml:space="preserve"> PAGEREF _Toc189128083 \h </w:instrText>
        </w:r>
        <w:r>
          <w:rPr>
            <w:webHidden/>
          </w:rPr>
        </w:r>
        <w:r>
          <w:rPr>
            <w:webHidden/>
          </w:rPr>
          <w:fldChar w:fldCharType="separate"/>
        </w:r>
        <w:r>
          <w:rPr>
            <w:webHidden/>
          </w:rPr>
          <w:t>16</w:t>
        </w:r>
        <w:r>
          <w:rPr>
            <w:webHidden/>
          </w:rPr>
          <w:fldChar w:fldCharType="end"/>
        </w:r>
      </w:hyperlink>
    </w:p>
    <w:p w14:paraId="5D0E3885" w14:textId="77CEE3CC"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84" w:history="1">
        <w:r w:rsidRPr="00D40537">
          <w:rPr>
            <w:rStyle w:val="Hyperlink"/>
          </w:rPr>
          <w:t>3.5</w:t>
        </w:r>
        <w:r>
          <w:rPr>
            <w:rFonts w:asciiTheme="minorHAnsi" w:eastAsiaTheme="minorEastAsia" w:hAnsiTheme="minorHAnsi" w:cstheme="minorBidi"/>
            <w:kern w:val="2"/>
            <w:sz w:val="22"/>
            <w14:ligatures w14:val="standardContextual"/>
          </w:rPr>
          <w:tab/>
        </w:r>
        <w:r w:rsidRPr="00D40537">
          <w:rPr>
            <w:rStyle w:val="Hyperlink"/>
          </w:rPr>
          <w:t>SBD–OBD Overlap</w:t>
        </w:r>
        <w:r>
          <w:rPr>
            <w:webHidden/>
          </w:rPr>
          <w:tab/>
        </w:r>
        <w:r>
          <w:rPr>
            <w:webHidden/>
          </w:rPr>
          <w:fldChar w:fldCharType="begin"/>
        </w:r>
        <w:r>
          <w:rPr>
            <w:webHidden/>
          </w:rPr>
          <w:instrText xml:space="preserve"> PAGEREF _Toc189128084 \h </w:instrText>
        </w:r>
        <w:r>
          <w:rPr>
            <w:webHidden/>
          </w:rPr>
        </w:r>
        <w:r>
          <w:rPr>
            <w:webHidden/>
          </w:rPr>
          <w:fldChar w:fldCharType="separate"/>
        </w:r>
        <w:r>
          <w:rPr>
            <w:webHidden/>
          </w:rPr>
          <w:t>16</w:t>
        </w:r>
        <w:r>
          <w:rPr>
            <w:webHidden/>
          </w:rPr>
          <w:fldChar w:fldCharType="end"/>
        </w:r>
      </w:hyperlink>
    </w:p>
    <w:p w14:paraId="059B27E0" w14:textId="746D663B"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85" w:history="1">
        <w:r w:rsidRPr="00D40537">
          <w:rPr>
            <w:rStyle w:val="Hyperlink"/>
            <w:rFonts w:eastAsiaTheme="minorHAnsi"/>
          </w:rPr>
          <w:t>3.6</w:t>
        </w:r>
        <w:r>
          <w:rPr>
            <w:rFonts w:asciiTheme="minorHAnsi" w:eastAsiaTheme="minorEastAsia" w:hAnsiTheme="minorHAnsi" w:cstheme="minorBidi"/>
            <w:kern w:val="2"/>
            <w:sz w:val="22"/>
            <w14:ligatures w14:val="standardContextual"/>
          </w:rPr>
          <w:tab/>
        </w:r>
        <w:r w:rsidRPr="00D40537">
          <w:rPr>
            <w:rStyle w:val="Hyperlink"/>
            <w:rFonts w:eastAsiaTheme="minorHAnsi"/>
          </w:rPr>
          <w:t>Process to Determine Whether an OBD Was an SBD During Editing</w:t>
        </w:r>
        <w:r>
          <w:rPr>
            <w:webHidden/>
          </w:rPr>
          <w:tab/>
        </w:r>
        <w:r>
          <w:rPr>
            <w:webHidden/>
          </w:rPr>
          <w:fldChar w:fldCharType="begin"/>
        </w:r>
        <w:r>
          <w:rPr>
            <w:webHidden/>
          </w:rPr>
          <w:instrText xml:space="preserve"> PAGEREF _Toc189128085 \h </w:instrText>
        </w:r>
        <w:r>
          <w:rPr>
            <w:webHidden/>
          </w:rPr>
        </w:r>
        <w:r>
          <w:rPr>
            <w:webHidden/>
          </w:rPr>
          <w:fldChar w:fldCharType="separate"/>
        </w:r>
        <w:r>
          <w:rPr>
            <w:webHidden/>
          </w:rPr>
          <w:t>17</w:t>
        </w:r>
        <w:r>
          <w:rPr>
            <w:webHidden/>
          </w:rPr>
          <w:fldChar w:fldCharType="end"/>
        </w:r>
      </w:hyperlink>
    </w:p>
    <w:p w14:paraId="2C5582E2" w14:textId="6CC48C1F"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86" w:history="1">
        <w:r w:rsidRPr="00D40537">
          <w:rPr>
            <w:rStyle w:val="Hyperlink"/>
          </w:rPr>
          <w:t>3.7</w:t>
        </w:r>
        <w:r>
          <w:rPr>
            <w:rFonts w:asciiTheme="minorHAnsi" w:eastAsiaTheme="minorEastAsia" w:hAnsiTheme="minorHAnsi" w:cstheme="minorBidi"/>
            <w:kern w:val="2"/>
            <w:sz w:val="22"/>
            <w14:ligatures w14:val="standardContextual"/>
          </w:rPr>
          <w:tab/>
        </w:r>
        <w:r w:rsidRPr="00D40537">
          <w:rPr>
            <w:rStyle w:val="Hyperlink"/>
          </w:rPr>
          <w:t>Editing SBD Data</w:t>
        </w:r>
        <w:r>
          <w:rPr>
            <w:webHidden/>
          </w:rPr>
          <w:tab/>
        </w:r>
        <w:r>
          <w:rPr>
            <w:webHidden/>
          </w:rPr>
          <w:fldChar w:fldCharType="begin"/>
        </w:r>
        <w:r>
          <w:rPr>
            <w:webHidden/>
          </w:rPr>
          <w:instrText xml:space="preserve"> PAGEREF _Toc189128086 \h </w:instrText>
        </w:r>
        <w:r>
          <w:rPr>
            <w:webHidden/>
          </w:rPr>
        </w:r>
        <w:r>
          <w:rPr>
            <w:webHidden/>
          </w:rPr>
          <w:fldChar w:fldCharType="separate"/>
        </w:r>
        <w:r>
          <w:rPr>
            <w:webHidden/>
          </w:rPr>
          <w:t>18</w:t>
        </w:r>
        <w:r>
          <w:rPr>
            <w:webHidden/>
          </w:rPr>
          <w:fldChar w:fldCharType="end"/>
        </w:r>
      </w:hyperlink>
    </w:p>
    <w:p w14:paraId="678AEF04" w14:textId="2F710A2B" w:rsidR="00501B6F" w:rsidRDefault="00501B6F">
      <w:pPr>
        <w:pStyle w:val="TOC3"/>
        <w:tabs>
          <w:tab w:val="left" w:pos="1800"/>
        </w:tabs>
        <w:rPr>
          <w:rFonts w:asciiTheme="minorHAnsi" w:eastAsiaTheme="minorEastAsia" w:hAnsiTheme="minorHAnsi" w:cstheme="minorBidi"/>
          <w:kern w:val="2"/>
          <w:sz w:val="22"/>
          <w14:ligatures w14:val="standardContextual"/>
        </w:rPr>
      </w:pPr>
      <w:hyperlink w:anchor="_Toc189128087" w:history="1">
        <w:r w:rsidRPr="00D40537">
          <w:rPr>
            <w:rStyle w:val="Hyperlink"/>
            <w:rFonts w:cs="Arial"/>
            <w:bCs/>
          </w:rPr>
          <w:t>3.7.1</w:t>
        </w:r>
        <w:r>
          <w:rPr>
            <w:rFonts w:asciiTheme="minorHAnsi" w:eastAsiaTheme="minorEastAsia" w:hAnsiTheme="minorHAnsi" w:cstheme="minorBidi"/>
            <w:kern w:val="2"/>
            <w:sz w:val="22"/>
            <w14:ligatures w14:val="standardContextual"/>
          </w:rPr>
          <w:tab/>
        </w:r>
        <w:r w:rsidRPr="00D40537">
          <w:rPr>
            <w:rStyle w:val="Hyperlink"/>
            <w:rFonts w:cs="Arial"/>
          </w:rPr>
          <w:t>SBD Encounter-Level Data Edits</w:t>
        </w:r>
        <w:r>
          <w:rPr>
            <w:webHidden/>
          </w:rPr>
          <w:tab/>
        </w:r>
        <w:r>
          <w:rPr>
            <w:webHidden/>
          </w:rPr>
          <w:fldChar w:fldCharType="begin"/>
        </w:r>
        <w:r>
          <w:rPr>
            <w:webHidden/>
          </w:rPr>
          <w:instrText xml:space="preserve"> PAGEREF _Toc189128087 \h </w:instrText>
        </w:r>
        <w:r>
          <w:rPr>
            <w:webHidden/>
          </w:rPr>
        </w:r>
        <w:r>
          <w:rPr>
            <w:webHidden/>
          </w:rPr>
          <w:fldChar w:fldCharType="separate"/>
        </w:r>
        <w:r>
          <w:rPr>
            <w:webHidden/>
          </w:rPr>
          <w:t>18</w:t>
        </w:r>
        <w:r>
          <w:rPr>
            <w:webHidden/>
          </w:rPr>
          <w:fldChar w:fldCharType="end"/>
        </w:r>
      </w:hyperlink>
    </w:p>
    <w:p w14:paraId="58006144" w14:textId="40D99BCA" w:rsidR="00501B6F" w:rsidRDefault="00501B6F">
      <w:pPr>
        <w:pStyle w:val="TOC3"/>
        <w:tabs>
          <w:tab w:val="left" w:pos="1800"/>
        </w:tabs>
        <w:rPr>
          <w:rFonts w:asciiTheme="minorHAnsi" w:eastAsiaTheme="minorEastAsia" w:hAnsiTheme="minorHAnsi" w:cstheme="minorBidi"/>
          <w:kern w:val="2"/>
          <w:sz w:val="22"/>
          <w14:ligatures w14:val="standardContextual"/>
        </w:rPr>
      </w:pPr>
      <w:hyperlink w:anchor="_Toc189128088" w:history="1">
        <w:r w:rsidRPr="00D40537">
          <w:rPr>
            <w:rStyle w:val="Hyperlink"/>
            <w:rFonts w:cs="Arial"/>
            <w:bCs/>
          </w:rPr>
          <w:t>3.7.2</w:t>
        </w:r>
        <w:r>
          <w:rPr>
            <w:rFonts w:asciiTheme="minorHAnsi" w:eastAsiaTheme="minorEastAsia" w:hAnsiTheme="minorHAnsi" w:cstheme="minorBidi"/>
            <w:kern w:val="2"/>
            <w:sz w:val="22"/>
            <w14:ligatures w14:val="standardContextual"/>
          </w:rPr>
          <w:tab/>
        </w:r>
        <w:r w:rsidRPr="00D40537">
          <w:rPr>
            <w:rStyle w:val="Hyperlink"/>
            <w:rFonts w:cs="Arial"/>
          </w:rPr>
          <w:t>SBD Encounter-Level Final Disposition Code</w:t>
        </w:r>
        <w:r>
          <w:rPr>
            <w:webHidden/>
          </w:rPr>
          <w:tab/>
        </w:r>
        <w:r>
          <w:rPr>
            <w:webHidden/>
          </w:rPr>
          <w:fldChar w:fldCharType="begin"/>
        </w:r>
        <w:r>
          <w:rPr>
            <w:webHidden/>
          </w:rPr>
          <w:instrText xml:space="preserve"> PAGEREF _Toc189128088 \h </w:instrText>
        </w:r>
        <w:r>
          <w:rPr>
            <w:webHidden/>
          </w:rPr>
        </w:r>
        <w:r>
          <w:rPr>
            <w:webHidden/>
          </w:rPr>
          <w:fldChar w:fldCharType="separate"/>
        </w:r>
        <w:r>
          <w:rPr>
            <w:webHidden/>
          </w:rPr>
          <w:t>19</w:t>
        </w:r>
        <w:r>
          <w:rPr>
            <w:webHidden/>
          </w:rPr>
          <w:fldChar w:fldCharType="end"/>
        </w:r>
      </w:hyperlink>
    </w:p>
    <w:p w14:paraId="21A04E5D" w14:textId="57D09328" w:rsidR="00501B6F" w:rsidRDefault="00501B6F">
      <w:pPr>
        <w:pStyle w:val="TOC3"/>
        <w:tabs>
          <w:tab w:val="left" w:pos="1800"/>
        </w:tabs>
        <w:rPr>
          <w:rFonts w:asciiTheme="minorHAnsi" w:eastAsiaTheme="minorEastAsia" w:hAnsiTheme="minorHAnsi" w:cstheme="minorBidi"/>
          <w:kern w:val="2"/>
          <w:sz w:val="22"/>
          <w14:ligatures w14:val="standardContextual"/>
        </w:rPr>
      </w:pPr>
      <w:hyperlink w:anchor="_Toc189128089" w:history="1">
        <w:r w:rsidRPr="00D40537">
          <w:rPr>
            <w:rStyle w:val="Hyperlink"/>
            <w:rFonts w:cs="Arial"/>
            <w:bCs/>
          </w:rPr>
          <w:t>3.7.3</w:t>
        </w:r>
        <w:r>
          <w:rPr>
            <w:rFonts w:asciiTheme="minorHAnsi" w:eastAsiaTheme="minorEastAsia" w:hAnsiTheme="minorHAnsi" w:cstheme="minorBidi"/>
            <w:kern w:val="2"/>
            <w:sz w:val="22"/>
            <w14:ligatures w14:val="standardContextual"/>
          </w:rPr>
          <w:tab/>
        </w:r>
        <w:r w:rsidRPr="00D40537">
          <w:rPr>
            <w:rStyle w:val="Hyperlink"/>
          </w:rPr>
          <w:t>SBD Node-Level Data Edits</w:t>
        </w:r>
        <w:r>
          <w:rPr>
            <w:webHidden/>
          </w:rPr>
          <w:tab/>
        </w:r>
        <w:r>
          <w:rPr>
            <w:webHidden/>
          </w:rPr>
          <w:fldChar w:fldCharType="begin"/>
        </w:r>
        <w:r>
          <w:rPr>
            <w:webHidden/>
          </w:rPr>
          <w:instrText xml:space="preserve"> PAGEREF _Toc189128089 \h </w:instrText>
        </w:r>
        <w:r>
          <w:rPr>
            <w:webHidden/>
          </w:rPr>
        </w:r>
        <w:r>
          <w:rPr>
            <w:webHidden/>
          </w:rPr>
          <w:fldChar w:fldCharType="separate"/>
        </w:r>
        <w:r>
          <w:rPr>
            <w:webHidden/>
          </w:rPr>
          <w:t>21</w:t>
        </w:r>
        <w:r>
          <w:rPr>
            <w:webHidden/>
          </w:rPr>
          <w:fldChar w:fldCharType="end"/>
        </w:r>
      </w:hyperlink>
    </w:p>
    <w:p w14:paraId="1DEB0567" w14:textId="74E37C05"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90" w:history="1">
        <w:r w:rsidRPr="00D40537">
          <w:rPr>
            <w:rStyle w:val="Hyperlink"/>
          </w:rPr>
          <w:t>3.8</w:t>
        </w:r>
        <w:r>
          <w:rPr>
            <w:rFonts w:asciiTheme="minorHAnsi" w:eastAsiaTheme="minorEastAsia" w:hAnsiTheme="minorHAnsi" w:cstheme="minorBidi"/>
            <w:kern w:val="2"/>
            <w:sz w:val="22"/>
            <w14:ligatures w14:val="standardContextual"/>
          </w:rPr>
          <w:tab/>
        </w:r>
        <w:r w:rsidRPr="00D40537">
          <w:rPr>
            <w:rStyle w:val="Hyperlink"/>
          </w:rPr>
          <w:t>Indicators for INDIAN_HEALTH, CHARITY, MILITARY, or VA Type of Provider</w:t>
        </w:r>
        <w:r>
          <w:rPr>
            <w:webHidden/>
          </w:rPr>
          <w:tab/>
        </w:r>
        <w:r>
          <w:rPr>
            <w:webHidden/>
          </w:rPr>
          <w:fldChar w:fldCharType="begin"/>
        </w:r>
        <w:r>
          <w:rPr>
            <w:webHidden/>
          </w:rPr>
          <w:instrText xml:space="preserve"> PAGEREF _Toc189128090 \h </w:instrText>
        </w:r>
        <w:r>
          <w:rPr>
            <w:webHidden/>
          </w:rPr>
        </w:r>
        <w:r>
          <w:rPr>
            <w:webHidden/>
          </w:rPr>
          <w:fldChar w:fldCharType="separate"/>
        </w:r>
        <w:r>
          <w:rPr>
            <w:webHidden/>
          </w:rPr>
          <w:t>24</w:t>
        </w:r>
        <w:r>
          <w:rPr>
            <w:webHidden/>
          </w:rPr>
          <w:fldChar w:fldCharType="end"/>
        </w:r>
      </w:hyperlink>
    </w:p>
    <w:p w14:paraId="5C3AFC0F" w14:textId="48FFFCFE"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91" w:history="1">
        <w:r w:rsidRPr="00D40537">
          <w:rPr>
            <w:rStyle w:val="Hyperlink"/>
          </w:rPr>
          <w:t>3.9</w:t>
        </w:r>
        <w:r>
          <w:rPr>
            <w:rFonts w:asciiTheme="minorHAnsi" w:eastAsiaTheme="minorEastAsia" w:hAnsiTheme="minorHAnsi" w:cstheme="minorBidi"/>
            <w:kern w:val="2"/>
            <w:sz w:val="22"/>
            <w14:ligatures w14:val="standardContextual"/>
          </w:rPr>
          <w:tab/>
        </w:r>
        <w:r w:rsidRPr="00D40537">
          <w:rPr>
            <w:rStyle w:val="Hyperlink"/>
          </w:rPr>
          <w:t>Mapping of ICD-10 Codes to CCSR Codes</w:t>
        </w:r>
        <w:r>
          <w:rPr>
            <w:webHidden/>
          </w:rPr>
          <w:tab/>
        </w:r>
        <w:r>
          <w:rPr>
            <w:webHidden/>
          </w:rPr>
          <w:fldChar w:fldCharType="begin"/>
        </w:r>
        <w:r>
          <w:rPr>
            <w:webHidden/>
          </w:rPr>
          <w:instrText xml:space="preserve"> PAGEREF _Toc189128091 \h </w:instrText>
        </w:r>
        <w:r>
          <w:rPr>
            <w:webHidden/>
          </w:rPr>
        </w:r>
        <w:r>
          <w:rPr>
            <w:webHidden/>
          </w:rPr>
          <w:fldChar w:fldCharType="separate"/>
        </w:r>
        <w:r>
          <w:rPr>
            <w:webHidden/>
          </w:rPr>
          <w:t>26</w:t>
        </w:r>
        <w:r>
          <w:rPr>
            <w:webHidden/>
          </w:rPr>
          <w:fldChar w:fldCharType="end"/>
        </w:r>
      </w:hyperlink>
    </w:p>
    <w:p w14:paraId="5DE4BBC4" w14:textId="72CFB99C" w:rsidR="00501B6F" w:rsidRDefault="00501B6F">
      <w:pPr>
        <w:pStyle w:val="TOC2"/>
        <w:tabs>
          <w:tab w:val="left" w:pos="1800"/>
        </w:tabs>
        <w:rPr>
          <w:rFonts w:asciiTheme="minorHAnsi" w:eastAsiaTheme="minorEastAsia" w:hAnsiTheme="minorHAnsi" w:cstheme="minorBidi"/>
          <w:kern w:val="2"/>
          <w:sz w:val="22"/>
          <w14:ligatures w14:val="standardContextual"/>
        </w:rPr>
      </w:pPr>
      <w:hyperlink w:anchor="_Toc189128092" w:history="1">
        <w:r w:rsidRPr="00D40537">
          <w:rPr>
            <w:rStyle w:val="Hyperlink"/>
          </w:rPr>
          <w:t>3.10</w:t>
        </w:r>
        <w:r>
          <w:rPr>
            <w:rFonts w:asciiTheme="minorHAnsi" w:eastAsiaTheme="minorEastAsia" w:hAnsiTheme="minorHAnsi" w:cstheme="minorBidi"/>
            <w:kern w:val="2"/>
            <w:sz w:val="22"/>
            <w14:ligatures w14:val="standardContextual"/>
          </w:rPr>
          <w:tab/>
        </w:r>
        <w:r w:rsidRPr="00D40537">
          <w:rPr>
            <w:rStyle w:val="Hyperlink"/>
          </w:rPr>
          <w:t>Data Provided by the Department of Veterans Affairs</w:t>
        </w:r>
        <w:r>
          <w:rPr>
            <w:webHidden/>
          </w:rPr>
          <w:tab/>
        </w:r>
        <w:r>
          <w:rPr>
            <w:webHidden/>
          </w:rPr>
          <w:fldChar w:fldCharType="begin"/>
        </w:r>
        <w:r>
          <w:rPr>
            <w:webHidden/>
          </w:rPr>
          <w:instrText xml:space="preserve"> PAGEREF _Toc189128092 \h </w:instrText>
        </w:r>
        <w:r>
          <w:rPr>
            <w:webHidden/>
          </w:rPr>
        </w:r>
        <w:r>
          <w:rPr>
            <w:webHidden/>
          </w:rPr>
          <w:fldChar w:fldCharType="separate"/>
        </w:r>
        <w:r>
          <w:rPr>
            <w:webHidden/>
          </w:rPr>
          <w:t>26</w:t>
        </w:r>
        <w:r>
          <w:rPr>
            <w:webHidden/>
          </w:rPr>
          <w:fldChar w:fldCharType="end"/>
        </w:r>
      </w:hyperlink>
    </w:p>
    <w:p w14:paraId="2B0432C2" w14:textId="78475F49"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093" w:history="1">
        <w:r w:rsidRPr="00D40537">
          <w:rPr>
            <w:rStyle w:val="Hyperlink"/>
          </w:rPr>
          <w:t>4. 2022 Medical File Editing Activities— Quality Control Checks</w:t>
        </w:r>
        <w:r>
          <w:rPr>
            <w:webHidden/>
          </w:rPr>
          <w:tab/>
        </w:r>
        <w:r>
          <w:rPr>
            <w:webHidden/>
          </w:rPr>
          <w:fldChar w:fldCharType="begin"/>
        </w:r>
        <w:r>
          <w:rPr>
            <w:webHidden/>
          </w:rPr>
          <w:instrText xml:space="preserve"> PAGEREF _Toc189128093 \h </w:instrText>
        </w:r>
        <w:r>
          <w:rPr>
            <w:webHidden/>
          </w:rPr>
        </w:r>
        <w:r>
          <w:rPr>
            <w:webHidden/>
          </w:rPr>
          <w:fldChar w:fldCharType="separate"/>
        </w:r>
        <w:r>
          <w:rPr>
            <w:webHidden/>
          </w:rPr>
          <w:t>27</w:t>
        </w:r>
        <w:r>
          <w:rPr>
            <w:webHidden/>
          </w:rPr>
          <w:fldChar w:fldCharType="end"/>
        </w:r>
      </w:hyperlink>
    </w:p>
    <w:p w14:paraId="5B1C0D2C" w14:textId="4A415DF9"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94" w:history="1">
        <w:r w:rsidRPr="00D40537">
          <w:rPr>
            <w:rStyle w:val="Hyperlink"/>
          </w:rPr>
          <w:t>4.1</w:t>
        </w:r>
        <w:r>
          <w:rPr>
            <w:rFonts w:asciiTheme="minorHAnsi" w:eastAsiaTheme="minorEastAsia" w:hAnsiTheme="minorHAnsi" w:cstheme="minorBidi"/>
            <w:kern w:val="2"/>
            <w:sz w:val="22"/>
            <w14:ligatures w14:val="standardContextual"/>
          </w:rPr>
          <w:tab/>
        </w:r>
        <w:r w:rsidRPr="00D40537">
          <w:rPr>
            <w:rStyle w:val="Hyperlink"/>
          </w:rPr>
          <w:t>Internal Checking by Primary Programmer</w:t>
        </w:r>
        <w:r>
          <w:rPr>
            <w:webHidden/>
          </w:rPr>
          <w:tab/>
        </w:r>
        <w:r>
          <w:rPr>
            <w:webHidden/>
          </w:rPr>
          <w:fldChar w:fldCharType="begin"/>
        </w:r>
        <w:r>
          <w:rPr>
            <w:webHidden/>
          </w:rPr>
          <w:instrText xml:space="preserve"> PAGEREF _Toc189128094 \h </w:instrText>
        </w:r>
        <w:r>
          <w:rPr>
            <w:webHidden/>
          </w:rPr>
        </w:r>
        <w:r>
          <w:rPr>
            <w:webHidden/>
          </w:rPr>
          <w:fldChar w:fldCharType="separate"/>
        </w:r>
        <w:r>
          <w:rPr>
            <w:webHidden/>
          </w:rPr>
          <w:t>27</w:t>
        </w:r>
        <w:r>
          <w:rPr>
            <w:webHidden/>
          </w:rPr>
          <w:fldChar w:fldCharType="end"/>
        </w:r>
      </w:hyperlink>
    </w:p>
    <w:p w14:paraId="5E3242E0" w14:textId="57C58A5A"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95" w:history="1">
        <w:r w:rsidRPr="00D40537">
          <w:rPr>
            <w:rStyle w:val="Hyperlink"/>
          </w:rPr>
          <w:t>4.2</w:t>
        </w:r>
        <w:r>
          <w:rPr>
            <w:rFonts w:asciiTheme="minorHAnsi" w:eastAsiaTheme="minorEastAsia" w:hAnsiTheme="minorHAnsi" w:cstheme="minorBidi"/>
            <w:kern w:val="2"/>
            <w:sz w:val="22"/>
            <w14:ligatures w14:val="standardContextual"/>
          </w:rPr>
          <w:tab/>
        </w:r>
        <w:r w:rsidRPr="00D40537">
          <w:rPr>
            <w:rStyle w:val="Hyperlink"/>
          </w:rPr>
          <w:t>Comparison of Data Distributions with Previous Years</w:t>
        </w:r>
        <w:r>
          <w:rPr>
            <w:webHidden/>
          </w:rPr>
          <w:tab/>
        </w:r>
        <w:r>
          <w:rPr>
            <w:webHidden/>
          </w:rPr>
          <w:fldChar w:fldCharType="begin"/>
        </w:r>
        <w:r>
          <w:rPr>
            <w:webHidden/>
          </w:rPr>
          <w:instrText xml:space="preserve"> PAGEREF _Toc189128095 \h </w:instrText>
        </w:r>
        <w:r>
          <w:rPr>
            <w:webHidden/>
          </w:rPr>
        </w:r>
        <w:r>
          <w:rPr>
            <w:webHidden/>
          </w:rPr>
          <w:fldChar w:fldCharType="separate"/>
        </w:r>
        <w:r>
          <w:rPr>
            <w:webHidden/>
          </w:rPr>
          <w:t>27</w:t>
        </w:r>
        <w:r>
          <w:rPr>
            <w:webHidden/>
          </w:rPr>
          <w:fldChar w:fldCharType="end"/>
        </w:r>
      </w:hyperlink>
    </w:p>
    <w:p w14:paraId="493C68CF" w14:textId="75C20E74"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096" w:history="1">
        <w:r w:rsidRPr="00D40537">
          <w:rPr>
            <w:rStyle w:val="Hyperlink"/>
          </w:rPr>
          <w:t>5. Summary of Key 2022 MPC Medical File Variables</w:t>
        </w:r>
        <w:r>
          <w:rPr>
            <w:webHidden/>
          </w:rPr>
          <w:tab/>
        </w:r>
        <w:r>
          <w:rPr>
            <w:webHidden/>
          </w:rPr>
          <w:fldChar w:fldCharType="begin"/>
        </w:r>
        <w:r>
          <w:rPr>
            <w:webHidden/>
          </w:rPr>
          <w:instrText xml:space="preserve"> PAGEREF _Toc189128096 \h </w:instrText>
        </w:r>
        <w:r>
          <w:rPr>
            <w:webHidden/>
          </w:rPr>
        </w:r>
        <w:r>
          <w:rPr>
            <w:webHidden/>
          </w:rPr>
          <w:fldChar w:fldCharType="separate"/>
        </w:r>
        <w:r>
          <w:rPr>
            <w:webHidden/>
          </w:rPr>
          <w:t>29</w:t>
        </w:r>
        <w:r>
          <w:rPr>
            <w:webHidden/>
          </w:rPr>
          <w:fldChar w:fldCharType="end"/>
        </w:r>
      </w:hyperlink>
    </w:p>
    <w:p w14:paraId="2D8DBA72" w14:textId="366E61DE"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097" w:history="1">
        <w:r w:rsidRPr="00D40537">
          <w:rPr>
            <w:rStyle w:val="Hyperlink"/>
          </w:rPr>
          <w:t>6. 2022 Medical File Pre-Matching Activities</w:t>
        </w:r>
        <w:r>
          <w:rPr>
            <w:webHidden/>
          </w:rPr>
          <w:tab/>
        </w:r>
        <w:r>
          <w:rPr>
            <w:webHidden/>
          </w:rPr>
          <w:fldChar w:fldCharType="begin"/>
        </w:r>
        <w:r>
          <w:rPr>
            <w:webHidden/>
          </w:rPr>
          <w:instrText xml:space="preserve"> PAGEREF _Toc189128097 \h </w:instrText>
        </w:r>
        <w:r>
          <w:rPr>
            <w:webHidden/>
          </w:rPr>
        </w:r>
        <w:r>
          <w:rPr>
            <w:webHidden/>
          </w:rPr>
          <w:fldChar w:fldCharType="separate"/>
        </w:r>
        <w:r>
          <w:rPr>
            <w:webHidden/>
          </w:rPr>
          <w:t>35</w:t>
        </w:r>
        <w:r>
          <w:rPr>
            <w:webHidden/>
          </w:rPr>
          <w:fldChar w:fldCharType="end"/>
        </w:r>
      </w:hyperlink>
    </w:p>
    <w:p w14:paraId="31367ACF" w14:textId="54891622"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98" w:history="1">
        <w:r w:rsidRPr="00D40537">
          <w:rPr>
            <w:rStyle w:val="Hyperlink"/>
          </w:rPr>
          <w:t>6.1</w:t>
        </w:r>
        <w:r>
          <w:rPr>
            <w:rFonts w:asciiTheme="minorHAnsi" w:eastAsiaTheme="minorEastAsia" w:hAnsiTheme="minorHAnsi" w:cstheme="minorBidi"/>
            <w:kern w:val="2"/>
            <w:sz w:val="22"/>
            <w14:ligatures w14:val="standardContextual"/>
          </w:rPr>
          <w:tab/>
        </w:r>
        <w:r w:rsidRPr="00D40537">
          <w:rPr>
            <w:rStyle w:val="Hyperlink"/>
          </w:rPr>
          <w:t>Obtaining the Household Survey Data</w:t>
        </w:r>
        <w:r>
          <w:rPr>
            <w:webHidden/>
          </w:rPr>
          <w:tab/>
        </w:r>
        <w:r>
          <w:rPr>
            <w:webHidden/>
          </w:rPr>
          <w:fldChar w:fldCharType="begin"/>
        </w:r>
        <w:r>
          <w:rPr>
            <w:webHidden/>
          </w:rPr>
          <w:instrText xml:space="preserve"> PAGEREF _Toc189128098 \h </w:instrText>
        </w:r>
        <w:r>
          <w:rPr>
            <w:webHidden/>
          </w:rPr>
        </w:r>
        <w:r>
          <w:rPr>
            <w:webHidden/>
          </w:rPr>
          <w:fldChar w:fldCharType="separate"/>
        </w:r>
        <w:r>
          <w:rPr>
            <w:webHidden/>
          </w:rPr>
          <w:t>35</w:t>
        </w:r>
        <w:r>
          <w:rPr>
            <w:webHidden/>
          </w:rPr>
          <w:fldChar w:fldCharType="end"/>
        </w:r>
      </w:hyperlink>
    </w:p>
    <w:p w14:paraId="12123769" w14:textId="1CEEA2EF"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099" w:history="1">
        <w:r w:rsidRPr="00D40537">
          <w:rPr>
            <w:rStyle w:val="Hyperlink"/>
          </w:rPr>
          <w:t>6.2</w:t>
        </w:r>
        <w:r>
          <w:rPr>
            <w:rFonts w:asciiTheme="minorHAnsi" w:eastAsiaTheme="minorEastAsia" w:hAnsiTheme="minorHAnsi" w:cstheme="minorBidi"/>
            <w:kern w:val="2"/>
            <w:sz w:val="22"/>
            <w14:ligatures w14:val="standardContextual"/>
          </w:rPr>
          <w:tab/>
        </w:r>
        <w:r w:rsidRPr="00D40537">
          <w:rPr>
            <w:rStyle w:val="Hyperlink"/>
          </w:rPr>
          <w:t>Obtaining the MPC Data from the Edited Files</w:t>
        </w:r>
        <w:r>
          <w:rPr>
            <w:webHidden/>
          </w:rPr>
          <w:tab/>
        </w:r>
        <w:r>
          <w:rPr>
            <w:webHidden/>
          </w:rPr>
          <w:fldChar w:fldCharType="begin"/>
        </w:r>
        <w:r>
          <w:rPr>
            <w:webHidden/>
          </w:rPr>
          <w:instrText xml:space="preserve"> PAGEREF _Toc189128099 \h </w:instrText>
        </w:r>
        <w:r>
          <w:rPr>
            <w:webHidden/>
          </w:rPr>
        </w:r>
        <w:r>
          <w:rPr>
            <w:webHidden/>
          </w:rPr>
          <w:fldChar w:fldCharType="separate"/>
        </w:r>
        <w:r>
          <w:rPr>
            <w:webHidden/>
          </w:rPr>
          <w:t>35</w:t>
        </w:r>
        <w:r>
          <w:rPr>
            <w:webHidden/>
          </w:rPr>
          <w:fldChar w:fldCharType="end"/>
        </w:r>
      </w:hyperlink>
    </w:p>
    <w:p w14:paraId="5FE4734F" w14:textId="1AB9282E"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100" w:history="1">
        <w:r w:rsidRPr="00D40537">
          <w:rPr>
            <w:rStyle w:val="Hyperlink"/>
          </w:rPr>
          <w:t>6.3</w:t>
        </w:r>
        <w:r>
          <w:rPr>
            <w:rFonts w:asciiTheme="minorHAnsi" w:eastAsiaTheme="minorEastAsia" w:hAnsiTheme="minorHAnsi" w:cstheme="minorBidi"/>
            <w:kern w:val="2"/>
            <w:sz w:val="22"/>
            <w14:ligatures w14:val="standardContextual"/>
          </w:rPr>
          <w:tab/>
        </w:r>
        <w:r w:rsidRPr="00D40537">
          <w:rPr>
            <w:rStyle w:val="Hyperlink"/>
          </w:rPr>
          <w:t>Medical File Rollup Groups</w:t>
        </w:r>
        <w:r>
          <w:rPr>
            <w:webHidden/>
          </w:rPr>
          <w:tab/>
        </w:r>
        <w:r>
          <w:rPr>
            <w:webHidden/>
          </w:rPr>
          <w:fldChar w:fldCharType="begin"/>
        </w:r>
        <w:r>
          <w:rPr>
            <w:webHidden/>
          </w:rPr>
          <w:instrText xml:space="preserve"> PAGEREF _Toc189128100 \h </w:instrText>
        </w:r>
        <w:r>
          <w:rPr>
            <w:webHidden/>
          </w:rPr>
        </w:r>
        <w:r>
          <w:rPr>
            <w:webHidden/>
          </w:rPr>
          <w:fldChar w:fldCharType="separate"/>
        </w:r>
        <w:r>
          <w:rPr>
            <w:webHidden/>
          </w:rPr>
          <w:t>36</w:t>
        </w:r>
        <w:r>
          <w:rPr>
            <w:webHidden/>
          </w:rPr>
          <w:fldChar w:fldCharType="end"/>
        </w:r>
      </w:hyperlink>
    </w:p>
    <w:p w14:paraId="5A28986E" w14:textId="322726A0" w:rsidR="00501B6F" w:rsidRDefault="00501B6F">
      <w:pPr>
        <w:pStyle w:val="TOC3"/>
        <w:tabs>
          <w:tab w:val="left" w:pos="1800"/>
        </w:tabs>
        <w:rPr>
          <w:rFonts w:asciiTheme="minorHAnsi" w:eastAsiaTheme="minorEastAsia" w:hAnsiTheme="minorHAnsi" w:cstheme="minorBidi"/>
          <w:kern w:val="2"/>
          <w:sz w:val="22"/>
          <w14:ligatures w14:val="standardContextual"/>
        </w:rPr>
      </w:pPr>
      <w:hyperlink w:anchor="_Toc189128101" w:history="1">
        <w:r w:rsidRPr="00D40537">
          <w:rPr>
            <w:rStyle w:val="Hyperlink"/>
            <w:rFonts w:cs="Arial"/>
            <w:bCs/>
          </w:rPr>
          <w:t>6.3.1</w:t>
        </w:r>
        <w:r>
          <w:rPr>
            <w:rFonts w:asciiTheme="minorHAnsi" w:eastAsiaTheme="minorEastAsia" w:hAnsiTheme="minorHAnsi" w:cstheme="minorBidi"/>
            <w:kern w:val="2"/>
            <w:sz w:val="22"/>
            <w14:ligatures w14:val="standardContextual"/>
          </w:rPr>
          <w:tab/>
        </w:r>
        <w:r w:rsidRPr="00D40537">
          <w:rPr>
            <w:rStyle w:val="Hyperlink"/>
          </w:rPr>
          <w:t>Definition of Rollup Groups</w:t>
        </w:r>
        <w:r>
          <w:rPr>
            <w:webHidden/>
          </w:rPr>
          <w:tab/>
        </w:r>
        <w:r>
          <w:rPr>
            <w:webHidden/>
          </w:rPr>
          <w:fldChar w:fldCharType="begin"/>
        </w:r>
        <w:r>
          <w:rPr>
            <w:webHidden/>
          </w:rPr>
          <w:instrText xml:space="preserve"> PAGEREF _Toc189128101 \h </w:instrText>
        </w:r>
        <w:r>
          <w:rPr>
            <w:webHidden/>
          </w:rPr>
        </w:r>
        <w:r>
          <w:rPr>
            <w:webHidden/>
          </w:rPr>
          <w:fldChar w:fldCharType="separate"/>
        </w:r>
        <w:r>
          <w:rPr>
            <w:webHidden/>
          </w:rPr>
          <w:t>36</w:t>
        </w:r>
        <w:r>
          <w:rPr>
            <w:webHidden/>
          </w:rPr>
          <w:fldChar w:fldCharType="end"/>
        </w:r>
      </w:hyperlink>
    </w:p>
    <w:p w14:paraId="626CA207" w14:textId="75D96A12" w:rsidR="00501B6F" w:rsidRDefault="00501B6F">
      <w:pPr>
        <w:pStyle w:val="TOC3"/>
        <w:tabs>
          <w:tab w:val="left" w:pos="1800"/>
        </w:tabs>
        <w:rPr>
          <w:rFonts w:asciiTheme="minorHAnsi" w:eastAsiaTheme="minorEastAsia" w:hAnsiTheme="minorHAnsi" w:cstheme="minorBidi"/>
          <w:kern w:val="2"/>
          <w:sz w:val="22"/>
          <w14:ligatures w14:val="standardContextual"/>
        </w:rPr>
      </w:pPr>
      <w:hyperlink w:anchor="_Toc189128102" w:history="1">
        <w:r w:rsidRPr="00D40537">
          <w:rPr>
            <w:rStyle w:val="Hyperlink"/>
            <w:rFonts w:cs="Arial"/>
            <w:bCs/>
          </w:rPr>
          <w:t>6.3.2</w:t>
        </w:r>
        <w:r>
          <w:rPr>
            <w:rFonts w:asciiTheme="minorHAnsi" w:eastAsiaTheme="minorEastAsia" w:hAnsiTheme="minorHAnsi" w:cstheme="minorBidi"/>
            <w:kern w:val="2"/>
            <w:sz w:val="22"/>
            <w14:ligatures w14:val="standardContextual"/>
          </w:rPr>
          <w:tab/>
        </w:r>
        <w:r w:rsidRPr="00D40537">
          <w:rPr>
            <w:rStyle w:val="Hyperlink"/>
          </w:rPr>
          <w:t>Variables Created for Selected Rollup Groups</w:t>
        </w:r>
        <w:r>
          <w:rPr>
            <w:webHidden/>
          </w:rPr>
          <w:tab/>
        </w:r>
        <w:r>
          <w:rPr>
            <w:webHidden/>
          </w:rPr>
          <w:fldChar w:fldCharType="begin"/>
        </w:r>
        <w:r>
          <w:rPr>
            <w:webHidden/>
          </w:rPr>
          <w:instrText xml:space="preserve"> PAGEREF _Toc189128102 \h </w:instrText>
        </w:r>
        <w:r>
          <w:rPr>
            <w:webHidden/>
          </w:rPr>
        </w:r>
        <w:r>
          <w:rPr>
            <w:webHidden/>
          </w:rPr>
          <w:fldChar w:fldCharType="separate"/>
        </w:r>
        <w:r>
          <w:rPr>
            <w:webHidden/>
          </w:rPr>
          <w:t>41</w:t>
        </w:r>
        <w:r>
          <w:rPr>
            <w:webHidden/>
          </w:rPr>
          <w:fldChar w:fldCharType="end"/>
        </w:r>
      </w:hyperlink>
    </w:p>
    <w:p w14:paraId="7C90E039" w14:textId="57B1B334" w:rsidR="00501B6F" w:rsidRDefault="00501B6F">
      <w:pPr>
        <w:pStyle w:val="TOC3"/>
        <w:tabs>
          <w:tab w:val="left" w:pos="1800"/>
        </w:tabs>
        <w:rPr>
          <w:rFonts w:asciiTheme="minorHAnsi" w:eastAsiaTheme="minorEastAsia" w:hAnsiTheme="minorHAnsi" w:cstheme="minorBidi"/>
          <w:kern w:val="2"/>
          <w:sz w:val="22"/>
          <w14:ligatures w14:val="standardContextual"/>
        </w:rPr>
      </w:pPr>
      <w:hyperlink w:anchor="_Toc189128103" w:history="1">
        <w:r w:rsidRPr="00D40537">
          <w:rPr>
            <w:rStyle w:val="Hyperlink"/>
            <w:rFonts w:cs="Arial"/>
            <w:bCs/>
          </w:rPr>
          <w:t>6.3.3</w:t>
        </w:r>
        <w:r>
          <w:rPr>
            <w:rFonts w:asciiTheme="minorHAnsi" w:eastAsiaTheme="minorEastAsia" w:hAnsiTheme="minorHAnsi" w:cstheme="minorBidi"/>
            <w:kern w:val="2"/>
            <w:sz w:val="22"/>
            <w14:ligatures w14:val="standardContextual"/>
          </w:rPr>
          <w:tab/>
        </w:r>
        <w:r w:rsidRPr="00D40537">
          <w:rPr>
            <w:rStyle w:val="Hyperlink"/>
          </w:rPr>
          <w:t xml:space="preserve">After the rollup groups are constructed, selected variables are created that identify rollup group linkages for some of the groups. </w:t>
        </w:r>
        <w:r w:rsidRPr="00D40537">
          <w:rPr>
            <w:rStyle w:val="Hyperlink"/>
            <w:rFonts w:cs="Arial"/>
          </w:rPr>
          <w:t>Compound Rollups</w:t>
        </w:r>
        <w:r>
          <w:rPr>
            <w:webHidden/>
          </w:rPr>
          <w:tab/>
        </w:r>
        <w:r>
          <w:rPr>
            <w:webHidden/>
          </w:rPr>
          <w:fldChar w:fldCharType="begin"/>
        </w:r>
        <w:r>
          <w:rPr>
            <w:webHidden/>
          </w:rPr>
          <w:instrText xml:space="preserve"> PAGEREF _Toc189128103 \h </w:instrText>
        </w:r>
        <w:r>
          <w:rPr>
            <w:webHidden/>
          </w:rPr>
        </w:r>
        <w:r>
          <w:rPr>
            <w:webHidden/>
          </w:rPr>
          <w:fldChar w:fldCharType="separate"/>
        </w:r>
        <w:r>
          <w:rPr>
            <w:webHidden/>
          </w:rPr>
          <w:t>41</w:t>
        </w:r>
        <w:r>
          <w:rPr>
            <w:webHidden/>
          </w:rPr>
          <w:fldChar w:fldCharType="end"/>
        </w:r>
      </w:hyperlink>
    </w:p>
    <w:p w14:paraId="5CF6EA4F" w14:textId="724C5113"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104" w:history="1">
        <w:r w:rsidRPr="00D40537">
          <w:rPr>
            <w:rStyle w:val="Hyperlink"/>
          </w:rPr>
          <w:t>6.4</w:t>
        </w:r>
        <w:r>
          <w:rPr>
            <w:rFonts w:asciiTheme="minorHAnsi" w:eastAsiaTheme="minorEastAsia" w:hAnsiTheme="minorHAnsi" w:cstheme="minorBidi"/>
            <w:kern w:val="2"/>
            <w:sz w:val="22"/>
            <w14:ligatures w14:val="standardContextual"/>
          </w:rPr>
          <w:tab/>
        </w:r>
        <w:r w:rsidRPr="00D40537">
          <w:rPr>
            <w:rStyle w:val="Hyperlink"/>
          </w:rPr>
          <w:t>Dealing with Rollup Groups During Matching</w:t>
        </w:r>
        <w:r>
          <w:rPr>
            <w:webHidden/>
          </w:rPr>
          <w:tab/>
        </w:r>
        <w:r>
          <w:rPr>
            <w:webHidden/>
          </w:rPr>
          <w:fldChar w:fldCharType="begin"/>
        </w:r>
        <w:r>
          <w:rPr>
            <w:webHidden/>
          </w:rPr>
          <w:instrText xml:space="preserve"> PAGEREF _Toc189128104 \h </w:instrText>
        </w:r>
        <w:r>
          <w:rPr>
            <w:webHidden/>
          </w:rPr>
        </w:r>
        <w:r>
          <w:rPr>
            <w:webHidden/>
          </w:rPr>
          <w:fldChar w:fldCharType="separate"/>
        </w:r>
        <w:r>
          <w:rPr>
            <w:webHidden/>
          </w:rPr>
          <w:t>43</w:t>
        </w:r>
        <w:r>
          <w:rPr>
            <w:webHidden/>
          </w:rPr>
          <w:fldChar w:fldCharType="end"/>
        </w:r>
      </w:hyperlink>
    </w:p>
    <w:p w14:paraId="0787BF6E" w14:textId="780DFEFA"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105" w:history="1">
        <w:r w:rsidRPr="00D40537">
          <w:rPr>
            <w:rStyle w:val="Hyperlink"/>
          </w:rPr>
          <w:t>6.5</w:t>
        </w:r>
        <w:r>
          <w:rPr>
            <w:rFonts w:asciiTheme="minorHAnsi" w:eastAsiaTheme="minorEastAsia" w:hAnsiTheme="minorHAnsi" w:cstheme="minorBidi"/>
            <w:kern w:val="2"/>
            <w:sz w:val="22"/>
            <w14:ligatures w14:val="standardContextual"/>
          </w:rPr>
          <w:tab/>
        </w:r>
        <w:r w:rsidRPr="00D40537">
          <w:rPr>
            <w:rStyle w:val="Hyperlink"/>
          </w:rPr>
          <w:t>Post-Matching Processing of Rollup Groups</w:t>
        </w:r>
        <w:r>
          <w:rPr>
            <w:webHidden/>
          </w:rPr>
          <w:tab/>
        </w:r>
        <w:r>
          <w:rPr>
            <w:webHidden/>
          </w:rPr>
          <w:fldChar w:fldCharType="begin"/>
        </w:r>
        <w:r>
          <w:rPr>
            <w:webHidden/>
          </w:rPr>
          <w:instrText xml:space="preserve"> PAGEREF _Toc189128105 \h </w:instrText>
        </w:r>
        <w:r>
          <w:rPr>
            <w:webHidden/>
          </w:rPr>
        </w:r>
        <w:r>
          <w:rPr>
            <w:webHidden/>
          </w:rPr>
          <w:fldChar w:fldCharType="separate"/>
        </w:r>
        <w:r>
          <w:rPr>
            <w:webHidden/>
          </w:rPr>
          <w:t>43</w:t>
        </w:r>
        <w:r>
          <w:rPr>
            <w:webHidden/>
          </w:rPr>
          <w:fldChar w:fldCharType="end"/>
        </w:r>
      </w:hyperlink>
    </w:p>
    <w:p w14:paraId="7DC7938F" w14:textId="0A8E0E3F"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106" w:history="1">
        <w:r w:rsidRPr="00D40537">
          <w:rPr>
            <w:rStyle w:val="Hyperlink"/>
          </w:rPr>
          <w:t>7. 2022 MPC Statistical Matching (Record Linkage) Process</w:t>
        </w:r>
        <w:r>
          <w:rPr>
            <w:webHidden/>
          </w:rPr>
          <w:tab/>
        </w:r>
        <w:r>
          <w:rPr>
            <w:webHidden/>
          </w:rPr>
          <w:fldChar w:fldCharType="begin"/>
        </w:r>
        <w:r>
          <w:rPr>
            <w:webHidden/>
          </w:rPr>
          <w:instrText xml:space="preserve"> PAGEREF _Toc189128106 \h </w:instrText>
        </w:r>
        <w:r>
          <w:rPr>
            <w:webHidden/>
          </w:rPr>
        </w:r>
        <w:r>
          <w:rPr>
            <w:webHidden/>
          </w:rPr>
          <w:fldChar w:fldCharType="separate"/>
        </w:r>
        <w:r>
          <w:rPr>
            <w:webHidden/>
          </w:rPr>
          <w:t>46</w:t>
        </w:r>
        <w:r>
          <w:rPr>
            <w:webHidden/>
          </w:rPr>
          <w:fldChar w:fldCharType="end"/>
        </w:r>
      </w:hyperlink>
    </w:p>
    <w:p w14:paraId="6C74C26B" w14:textId="4E058D7F"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107" w:history="1">
        <w:r w:rsidRPr="00D40537">
          <w:rPr>
            <w:rStyle w:val="Hyperlink"/>
          </w:rPr>
          <w:t>7.1</w:t>
        </w:r>
        <w:r>
          <w:rPr>
            <w:rFonts w:asciiTheme="minorHAnsi" w:eastAsiaTheme="minorEastAsia" w:hAnsiTheme="minorHAnsi" w:cstheme="minorBidi"/>
            <w:kern w:val="2"/>
            <w:sz w:val="22"/>
            <w14:ligatures w14:val="standardContextual"/>
          </w:rPr>
          <w:tab/>
        </w:r>
        <w:r w:rsidRPr="00D40537">
          <w:rPr>
            <w:rStyle w:val="Hyperlink"/>
          </w:rPr>
          <w:t>The Matching Algorithm</w:t>
        </w:r>
        <w:r>
          <w:rPr>
            <w:webHidden/>
          </w:rPr>
          <w:tab/>
        </w:r>
        <w:r>
          <w:rPr>
            <w:webHidden/>
          </w:rPr>
          <w:fldChar w:fldCharType="begin"/>
        </w:r>
        <w:r>
          <w:rPr>
            <w:webHidden/>
          </w:rPr>
          <w:instrText xml:space="preserve"> PAGEREF _Toc189128107 \h </w:instrText>
        </w:r>
        <w:r>
          <w:rPr>
            <w:webHidden/>
          </w:rPr>
        </w:r>
        <w:r>
          <w:rPr>
            <w:webHidden/>
          </w:rPr>
          <w:fldChar w:fldCharType="separate"/>
        </w:r>
        <w:r>
          <w:rPr>
            <w:webHidden/>
          </w:rPr>
          <w:t>46</w:t>
        </w:r>
        <w:r>
          <w:rPr>
            <w:webHidden/>
          </w:rPr>
          <w:fldChar w:fldCharType="end"/>
        </w:r>
      </w:hyperlink>
    </w:p>
    <w:p w14:paraId="56536B3F" w14:textId="46813715"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108" w:history="1">
        <w:r w:rsidRPr="00D40537">
          <w:rPr>
            <w:rStyle w:val="Hyperlink"/>
          </w:rPr>
          <w:t>7.2</w:t>
        </w:r>
        <w:r>
          <w:rPr>
            <w:rFonts w:asciiTheme="minorHAnsi" w:eastAsiaTheme="minorEastAsia" w:hAnsiTheme="minorHAnsi" w:cstheme="minorBidi"/>
            <w:kern w:val="2"/>
            <w:sz w:val="22"/>
            <w14:ligatures w14:val="standardContextual"/>
          </w:rPr>
          <w:tab/>
        </w:r>
        <w:r w:rsidRPr="00D40537">
          <w:rPr>
            <w:rStyle w:val="Hyperlink"/>
          </w:rPr>
          <w:t>Matching in Two Passes</w:t>
        </w:r>
        <w:r>
          <w:rPr>
            <w:webHidden/>
          </w:rPr>
          <w:tab/>
        </w:r>
        <w:r>
          <w:rPr>
            <w:webHidden/>
          </w:rPr>
          <w:fldChar w:fldCharType="begin"/>
        </w:r>
        <w:r>
          <w:rPr>
            <w:webHidden/>
          </w:rPr>
          <w:instrText xml:space="preserve"> PAGEREF _Toc189128108 \h </w:instrText>
        </w:r>
        <w:r>
          <w:rPr>
            <w:webHidden/>
          </w:rPr>
        </w:r>
        <w:r>
          <w:rPr>
            <w:webHidden/>
          </w:rPr>
          <w:fldChar w:fldCharType="separate"/>
        </w:r>
        <w:r>
          <w:rPr>
            <w:webHidden/>
          </w:rPr>
          <w:t>48</w:t>
        </w:r>
        <w:r>
          <w:rPr>
            <w:webHidden/>
          </w:rPr>
          <w:fldChar w:fldCharType="end"/>
        </w:r>
      </w:hyperlink>
    </w:p>
    <w:p w14:paraId="59462AC6" w14:textId="045009A7"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109" w:history="1">
        <w:r w:rsidRPr="00D40537">
          <w:rPr>
            <w:rStyle w:val="Hyperlink"/>
          </w:rPr>
          <w:t>8. Variables Used in the 2022 Medical File Matching</w:t>
        </w:r>
        <w:r>
          <w:rPr>
            <w:webHidden/>
          </w:rPr>
          <w:tab/>
        </w:r>
        <w:r>
          <w:rPr>
            <w:webHidden/>
          </w:rPr>
          <w:fldChar w:fldCharType="begin"/>
        </w:r>
        <w:r>
          <w:rPr>
            <w:webHidden/>
          </w:rPr>
          <w:instrText xml:space="preserve"> PAGEREF _Toc189128109 \h </w:instrText>
        </w:r>
        <w:r>
          <w:rPr>
            <w:webHidden/>
          </w:rPr>
        </w:r>
        <w:r>
          <w:rPr>
            <w:webHidden/>
          </w:rPr>
          <w:fldChar w:fldCharType="separate"/>
        </w:r>
        <w:r>
          <w:rPr>
            <w:webHidden/>
          </w:rPr>
          <w:t>50</w:t>
        </w:r>
        <w:r>
          <w:rPr>
            <w:webHidden/>
          </w:rPr>
          <w:fldChar w:fldCharType="end"/>
        </w:r>
      </w:hyperlink>
    </w:p>
    <w:p w14:paraId="73E3D46E" w14:textId="0D8CD3B1"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110" w:history="1">
        <w:r w:rsidRPr="00D40537">
          <w:rPr>
            <w:rStyle w:val="Hyperlink"/>
          </w:rPr>
          <w:t>8.1</w:t>
        </w:r>
        <w:r>
          <w:rPr>
            <w:rFonts w:asciiTheme="minorHAnsi" w:eastAsiaTheme="minorEastAsia" w:hAnsiTheme="minorHAnsi" w:cstheme="minorBidi"/>
            <w:kern w:val="2"/>
            <w:sz w:val="22"/>
            <w14:ligatures w14:val="standardContextual"/>
          </w:rPr>
          <w:tab/>
        </w:r>
        <w:r w:rsidRPr="00D40537">
          <w:rPr>
            <w:rStyle w:val="Hyperlink"/>
          </w:rPr>
          <w:t>Blocking Variables</w:t>
        </w:r>
        <w:r>
          <w:rPr>
            <w:webHidden/>
          </w:rPr>
          <w:tab/>
        </w:r>
        <w:r>
          <w:rPr>
            <w:webHidden/>
          </w:rPr>
          <w:fldChar w:fldCharType="begin"/>
        </w:r>
        <w:r>
          <w:rPr>
            <w:webHidden/>
          </w:rPr>
          <w:instrText xml:space="preserve"> PAGEREF _Toc189128110 \h </w:instrText>
        </w:r>
        <w:r>
          <w:rPr>
            <w:webHidden/>
          </w:rPr>
        </w:r>
        <w:r>
          <w:rPr>
            <w:webHidden/>
          </w:rPr>
          <w:fldChar w:fldCharType="separate"/>
        </w:r>
        <w:r>
          <w:rPr>
            <w:webHidden/>
          </w:rPr>
          <w:t>50</w:t>
        </w:r>
        <w:r>
          <w:rPr>
            <w:webHidden/>
          </w:rPr>
          <w:fldChar w:fldCharType="end"/>
        </w:r>
      </w:hyperlink>
    </w:p>
    <w:p w14:paraId="06596C63" w14:textId="29E6C7E7"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111" w:history="1">
        <w:r w:rsidRPr="00D40537">
          <w:rPr>
            <w:rStyle w:val="Hyperlink"/>
          </w:rPr>
          <w:t>8.2</w:t>
        </w:r>
        <w:r>
          <w:rPr>
            <w:rFonts w:asciiTheme="minorHAnsi" w:eastAsiaTheme="minorEastAsia" w:hAnsiTheme="minorHAnsi" w:cstheme="minorBidi"/>
            <w:kern w:val="2"/>
            <w:sz w:val="22"/>
            <w14:ligatures w14:val="standardContextual"/>
          </w:rPr>
          <w:tab/>
        </w:r>
        <w:r w:rsidRPr="00D40537">
          <w:rPr>
            <w:rStyle w:val="Hyperlink"/>
          </w:rPr>
          <w:t>Construction of Collapsed Contact Groups for Matching in 2022</w:t>
        </w:r>
        <w:r>
          <w:rPr>
            <w:webHidden/>
          </w:rPr>
          <w:tab/>
        </w:r>
        <w:r>
          <w:rPr>
            <w:webHidden/>
          </w:rPr>
          <w:fldChar w:fldCharType="begin"/>
        </w:r>
        <w:r>
          <w:rPr>
            <w:webHidden/>
          </w:rPr>
          <w:instrText xml:space="preserve"> PAGEREF _Toc189128111 \h </w:instrText>
        </w:r>
        <w:r>
          <w:rPr>
            <w:webHidden/>
          </w:rPr>
        </w:r>
        <w:r>
          <w:rPr>
            <w:webHidden/>
          </w:rPr>
          <w:fldChar w:fldCharType="separate"/>
        </w:r>
        <w:r>
          <w:rPr>
            <w:webHidden/>
          </w:rPr>
          <w:t>51</w:t>
        </w:r>
        <w:r>
          <w:rPr>
            <w:webHidden/>
          </w:rPr>
          <w:fldChar w:fldCharType="end"/>
        </w:r>
      </w:hyperlink>
    </w:p>
    <w:p w14:paraId="2F9FBF26" w14:textId="0959B70D" w:rsidR="00501B6F" w:rsidRDefault="00501B6F">
      <w:pPr>
        <w:pStyle w:val="TOC2"/>
        <w:tabs>
          <w:tab w:val="left" w:pos="1080"/>
        </w:tabs>
        <w:rPr>
          <w:rFonts w:asciiTheme="minorHAnsi" w:eastAsiaTheme="minorEastAsia" w:hAnsiTheme="minorHAnsi" w:cstheme="minorBidi"/>
          <w:kern w:val="2"/>
          <w:sz w:val="22"/>
          <w14:ligatures w14:val="standardContextual"/>
        </w:rPr>
      </w:pPr>
      <w:hyperlink w:anchor="_Toc189128112" w:history="1">
        <w:r w:rsidRPr="00D40537">
          <w:rPr>
            <w:rStyle w:val="Hyperlink"/>
          </w:rPr>
          <w:t>8.3</w:t>
        </w:r>
        <w:r>
          <w:rPr>
            <w:rFonts w:asciiTheme="minorHAnsi" w:eastAsiaTheme="minorEastAsia" w:hAnsiTheme="minorHAnsi" w:cstheme="minorBidi"/>
            <w:kern w:val="2"/>
            <w:sz w:val="22"/>
            <w14:ligatures w14:val="standardContextual"/>
          </w:rPr>
          <w:tab/>
        </w:r>
        <w:r w:rsidRPr="00D40537">
          <w:rPr>
            <w:rStyle w:val="Hyperlink"/>
          </w:rPr>
          <w:t>Matching Fields (Variables)</w:t>
        </w:r>
        <w:r>
          <w:rPr>
            <w:webHidden/>
          </w:rPr>
          <w:tab/>
        </w:r>
        <w:r>
          <w:rPr>
            <w:webHidden/>
          </w:rPr>
          <w:fldChar w:fldCharType="begin"/>
        </w:r>
        <w:r>
          <w:rPr>
            <w:webHidden/>
          </w:rPr>
          <w:instrText xml:space="preserve"> PAGEREF _Toc189128112 \h </w:instrText>
        </w:r>
        <w:r>
          <w:rPr>
            <w:webHidden/>
          </w:rPr>
        </w:r>
        <w:r>
          <w:rPr>
            <w:webHidden/>
          </w:rPr>
          <w:fldChar w:fldCharType="separate"/>
        </w:r>
        <w:r>
          <w:rPr>
            <w:webHidden/>
          </w:rPr>
          <w:t>53</w:t>
        </w:r>
        <w:r>
          <w:rPr>
            <w:webHidden/>
          </w:rPr>
          <w:fldChar w:fldCharType="end"/>
        </w:r>
      </w:hyperlink>
    </w:p>
    <w:p w14:paraId="1E74DC97" w14:textId="0669D52D"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113" w:history="1">
        <w:r w:rsidRPr="00D40537">
          <w:rPr>
            <w:rStyle w:val="Hyperlink"/>
          </w:rPr>
          <w:t>9. 2022 Medical File Matching Process—Quality Control Checks</w:t>
        </w:r>
        <w:r>
          <w:rPr>
            <w:webHidden/>
          </w:rPr>
          <w:tab/>
        </w:r>
        <w:r>
          <w:rPr>
            <w:webHidden/>
          </w:rPr>
          <w:fldChar w:fldCharType="begin"/>
        </w:r>
        <w:r>
          <w:rPr>
            <w:webHidden/>
          </w:rPr>
          <w:instrText xml:space="preserve"> PAGEREF _Toc189128113 \h </w:instrText>
        </w:r>
        <w:r>
          <w:rPr>
            <w:webHidden/>
          </w:rPr>
        </w:r>
        <w:r>
          <w:rPr>
            <w:webHidden/>
          </w:rPr>
          <w:fldChar w:fldCharType="separate"/>
        </w:r>
        <w:r>
          <w:rPr>
            <w:webHidden/>
          </w:rPr>
          <w:t>64</w:t>
        </w:r>
        <w:r>
          <w:rPr>
            <w:webHidden/>
          </w:rPr>
          <w:fldChar w:fldCharType="end"/>
        </w:r>
      </w:hyperlink>
    </w:p>
    <w:p w14:paraId="043F40C9" w14:textId="309BC7C0"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114" w:history="1">
        <w:r w:rsidRPr="00D40537">
          <w:rPr>
            <w:rStyle w:val="Hyperlink"/>
          </w:rPr>
          <w:t>10. 2022 MPC Home Health and Home Non-Health Data</w:t>
        </w:r>
        <w:r>
          <w:rPr>
            <w:webHidden/>
          </w:rPr>
          <w:tab/>
        </w:r>
        <w:r>
          <w:rPr>
            <w:webHidden/>
          </w:rPr>
          <w:fldChar w:fldCharType="begin"/>
        </w:r>
        <w:r>
          <w:rPr>
            <w:webHidden/>
          </w:rPr>
          <w:instrText xml:space="preserve"> PAGEREF _Toc189128114 \h </w:instrText>
        </w:r>
        <w:r>
          <w:rPr>
            <w:webHidden/>
          </w:rPr>
        </w:r>
        <w:r>
          <w:rPr>
            <w:webHidden/>
          </w:rPr>
          <w:fldChar w:fldCharType="separate"/>
        </w:r>
        <w:r>
          <w:rPr>
            <w:webHidden/>
          </w:rPr>
          <w:t>66</w:t>
        </w:r>
        <w:r>
          <w:rPr>
            <w:webHidden/>
          </w:rPr>
          <w:fldChar w:fldCharType="end"/>
        </w:r>
      </w:hyperlink>
    </w:p>
    <w:p w14:paraId="09A50DC7" w14:textId="467BC42B" w:rsidR="00501B6F" w:rsidRDefault="00501B6F">
      <w:pPr>
        <w:pStyle w:val="TOC2"/>
        <w:tabs>
          <w:tab w:val="left" w:pos="1800"/>
        </w:tabs>
        <w:rPr>
          <w:rFonts w:asciiTheme="minorHAnsi" w:eastAsiaTheme="minorEastAsia" w:hAnsiTheme="minorHAnsi" w:cstheme="minorBidi"/>
          <w:kern w:val="2"/>
          <w:sz w:val="22"/>
          <w14:ligatures w14:val="standardContextual"/>
        </w:rPr>
      </w:pPr>
      <w:hyperlink w:anchor="_Toc189128115" w:history="1">
        <w:r w:rsidRPr="00D40537">
          <w:rPr>
            <w:rStyle w:val="Hyperlink"/>
          </w:rPr>
          <w:t>10.1</w:t>
        </w:r>
        <w:r>
          <w:rPr>
            <w:rFonts w:asciiTheme="minorHAnsi" w:eastAsiaTheme="minorEastAsia" w:hAnsiTheme="minorHAnsi" w:cstheme="minorBidi"/>
            <w:kern w:val="2"/>
            <w:sz w:val="22"/>
            <w14:ligatures w14:val="standardContextual"/>
          </w:rPr>
          <w:tab/>
        </w:r>
        <w:r w:rsidRPr="00D40537">
          <w:rPr>
            <w:rStyle w:val="Hyperlink"/>
          </w:rPr>
          <w:t>Preparing the HH and NHH Data for Editing</w:t>
        </w:r>
        <w:r>
          <w:rPr>
            <w:webHidden/>
          </w:rPr>
          <w:tab/>
        </w:r>
        <w:r>
          <w:rPr>
            <w:webHidden/>
          </w:rPr>
          <w:fldChar w:fldCharType="begin"/>
        </w:r>
        <w:r>
          <w:rPr>
            <w:webHidden/>
          </w:rPr>
          <w:instrText xml:space="preserve"> PAGEREF _Toc189128115 \h </w:instrText>
        </w:r>
        <w:r>
          <w:rPr>
            <w:webHidden/>
          </w:rPr>
        </w:r>
        <w:r>
          <w:rPr>
            <w:webHidden/>
          </w:rPr>
          <w:fldChar w:fldCharType="separate"/>
        </w:r>
        <w:r>
          <w:rPr>
            <w:webHidden/>
          </w:rPr>
          <w:t>66</w:t>
        </w:r>
        <w:r>
          <w:rPr>
            <w:webHidden/>
          </w:rPr>
          <w:fldChar w:fldCharType="end"/>
        </w:r>
      </w:hyperlink>
    </w:p>
    <w:p w14:paraId="1C0E4BF5" w14:textId="77D77C38" w:rsidR="00501B6F" w:rsidRDefault="00501B6F">
      <w:pPr>
        <w:pStyle w:val="TOC2"/>
        <w:tabs>
          <w:tab w:val="left" w:pos="1800"/>
        </w:tabs>
        <w:rPr>
          <w:rFonts w:asciiTheme="minorHAnsi" w:eastAsiaTheme="minorEastAsia" w:hAnsiTheme="minorHAnsi" w:cstheme="minorBidi"/>
          <w:kern w:val="2"/>
          <w:sz w:val="22"/>
          <w14:ligatures w14:val="standardContextual"/>
        </w:rPr>
      </w:pPr>
      <w:hyperlink w:anchor="_Toc189128116" w:history="1">
        <w:r w:rsidRPr="00D40537">
          <w:rPr>
            <w:rStyle w:val="Hyperlink"/>
          </w:rPr>
          <w:t>10.2</w:t>
        </w:r>
        <w:r>
          <w:rPr>
            <w:rFonts w:asciiTheme="minorHAnsi" w:eastAsiaTheme="minorEastAsia" w:hAnsiTheme="minorHAnsi" w:cstheme="minorBidi"/>
            <w:kern w:val="2"/>
            <w:sz w:val="22"/>
            <w14:ligatures w14:val="standardContextual"/>
          </w:rPr>
          <w:tab/>
        </w:r>
        <w:r w:rsidRPr="00D40537">
          <w:rPr>
            <w:rStyle w:val="Hyperlink"/>
          </w:rPr>
          <w:t>Editing HH and NHH Data</w:t>
        </w:r>
        <w:r>
          <w:rPr>
            <w:webHidden/>
          </w:rPr>
          <w:tab/>
        </w:r>
        <w:r>
          <w:rPr>
            <w:webHidden/>
          </w:rPr>
          <w:fldChar w:fldCharType="begin"/>
        </w:r>
        <w:r>
          <w:rPr>
            <w:webHidden/>
          </w:rPr>
          <w:instrText xml:space="preserve"> PAGEREF _Toc189128116 \h </w:instrText>
        </w:r>
        <w:r>
          <w:rPr>
            <w:webHidden/>
          </w:rPr>
        </w:r>
        <w:r>
          <w:rPr>
            <w:webHidden/>
          </w:rPr>
          <w:fldChar w:fldCharType="separate"/>
        </w:r>
        <w:r>
          <w:rPr>
            <w:webHidden/>
          </w:rPr>
          <w:t>66</w:t>
        </w:r>
        <w:r>
          <w:rPr>
            <w:webHidden/>
          </w:rPr>
          <w:fldChar w:fldCharType="end"/>
        </w:r>
      </w:hyperlink>
    </w:p>
    <w:p w14:paraId="6B84C679" w14:textId="5C728620" w:rsidR="00501B6F" w:rsidRDefault="00501B6F">
      <w:pPr>
        <w:pStyle w:val="TOC2"/>
        <w:tabs>
          <w:tab w:val="left" w:pos="1800"/>
        </w:tabs>
        <w:rPr>
          <w:rFonts w:asciiTheme="minorHAnsi" w:eastAsiaTheme="minorEastAsia" w:hAnsiTheme="minorHAnsi" w:cstheme="minorBidi"/>
          <w:kern w:val="2"/>
          <w:sz w:val="22"/>
          <w14:ligatures w14:val="standardContextual"/>
        </w:rPr>
      </w:pPr>
      <w:hyperlink w:anchor="_Toc189128117" w:history="1">
        <w:r w:rsidRPr="00D40537">
          <w:rPr>
            <w:rStyle w:val="Hyperlink"/>
          </w:rPr>
          <w:t>10.3</w:t>
        </w:r>
        <w:r>
          <w:rPr>
            <w:rFonts w:asciiTheme="minorHAnsi" w:eastAsiaTheme="minorEastAsia" w:hAnsiTheme="minorHAnsi" w:cstheme="minorBidi"/>
            <w:kern w:val="2"/>
            <w:sz w:val="22"/>
            <w14:ligatures w14:val="standardContextual"/>
          </w:rPr>
          <w:tab/>
        </w:r>
        <w:r w:rsidRPr="00D40537">
          <w:rPr>
            <w:rStyle w:val="Hyperlink"/>
          </w:rPr>
          <w:t>Matching of the HH Data</w:t>
        </w:r>
        <w:r>
          <w:rPr>
            <w:webHidden/>
          </w:rPr>
          <w:tab/>
        </w:r>
        <w:r>
          <w:rPr>
            <w:webHidden/>
          </w:rPr>
          <w:fldChar w:fldCharType="begin"/>
        </w:r>
        <w:r>
          <w:rPr>
            <w:webHidden/>
          </w:rPr>
          <w:instrText xml:space="preserve"> PAGEREF _Toc189128117 \h </w:instrText>
        </w:r>
        <w:r>
          <w:rPr>
            <w:webHidden/>
          </w:rPr>
        </w:r>
        <w:r>
          <w:rPr>
            <w:webHidden/>
          </w:rPr>
          <w:fldChar w:fldCharType="separate"/>
        </w:r>
        <w:r>
          <w:rPr>
            <w:webHidden/>
          </w:rPr>
          <w:t>67</w:t>
        </w:r>
        <w:r>
          <w:rPr>
            <w:webHidden/>
          </w:rPr>
          <w:fldChar w:fldCharType="end"/>
        </w:r>
      </w:hyperlink>
    </w:p>
    <w:p w14:paraId="5FBF134E" w14:textId="6D7A48A2" w:rsidR="00501B6F" w:rsidRDefault="00501B6F">
      <w:pPr>
        <w:pStyle w:val="TOC2"/>
        <w:tabs>
          <w:tab w:val="left" w:pos="1800"/>
        </w:tabs>
        <w:rPr>
          <w:rFonts w:asciiTheme="minorHAnsi" w:eastAsiaTheme="minorEastAsia" w:hAnsiTheme="minorHAnsi" w:cstheme="minorBidi"/>
          <w:kern w:val="2"/>
          <w:sz w:val="22"/>
          <w14:ligatures w14:val="standardContextual"/>
        </w:rPr>
      </w:pPr>
      <w:hyperlink w:anchor="_Toc189128118" w:history="1">
        <w:r w:rsidRPr="00D40537">
          <w:rPr>
            <w:rStyle w:val="Hyperlink"/>
          </w:rPr>
          <w:t>10.4</w:t>
        </w:r>
        <w:r>
          <w:rPr>
            <w:rFonts w:asciiTheme="minorHAnsi" w:eastAsiaTheme="minorEastAsia" w:hAnsiTheme="minorHAnsi" w:cstheme="minorBidi"/>
            <w:kern w:val="2"/>
            <w:sz w:val="22"/>
            <w14:ligatures w14:val="standardContextual"/>
          </w:rPr>
          <w:tab/>
        </w:r>
        <w:r w:rsidRPr="00D40537">
          <w:rPr>
            <w:rStyle w:val="Hyperlink"/>
          </w:rPr>
          <w:t>Summary of Key 2022 MPC HH and NHH Variables</w:t>
        </w:r>
        <w:r>
          <w:rPr>
            <w:webHidden/>
          </w:rPr>
          <w:tab/>
        </w:r>
        <w:r>
          <w:rPr>
            <w:webHidden/>
          </w:rPr>
          <w:fldChar w:fldCharType="begin"/>
        </w:r>
        <w:r>
          <w:rPr>
            <w:webHidden/>
          </w:rPr>
          <w:instrText xml:space="preserve"> PAGEREF _Toc189128118 \h </w:instrText>
        </w:r>
        <w:r>
          <w:rPr>
            <w:webHidden/>
          </w:rPr>
        </w:r>
        <w:r>
          <w:rPr>
            <w:webHidden/>
          </w:rPr>
          <w:fldChar w:fldCharType="separate"/>
        </w:r>
        <w:r>
          <w:rPr>
            <w:webHidden/>
          </w:rPr>
          <w:t>69</w:t>
        </w:r>
        <w:r>
          <w:rPr>
            <w:webHidden/>
          </w:rPr>
          <w:fldChar w:fldCharType="end"/>
        </w:r>
      </w:hyperlink>
    </w:p>
    <w:p w14:paraId="40548136" w14:textId="10509162"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119" w:history="1">
        <w:r w:rsidRPr="00D40537">
          <w:rPr>
            <w:rStyle w:val="Hyperlink"/>
          </w:rPr>
          <w:t>11. 2022 MPC File Delivery and Preparing Codebooks</w:t>
        </w:r>
        <w:r>
          <w:rPr>
            <w:webHidden/>
          </w:rPr>
          <w:tab/>
        </w:r>
        <w:r>
          <w:rPr>
            <w:webHidden/>
          </w:rPr>
          <w:fldChar w:fldCharType="begin"/>
        </w:r>
        <w:r>
          <w:rPr>
            <w:webHidden/>
          </w:rPr>
          <w:instrText xml:space="preserve"> PAGEREF _Toc189128119 \h </w:instrText>
        </w:r>
        <w:r>
          <w:rPr>
            <w:webHidden/>
          </w:rPr>
        </w:r>
        <w:r>
          <w:rPr>
            <w:webHidden/>
          </w:rPr>
          <w:fldChar w:fldCharType="separate"/>
        </w:r>
        <w:r>
          <w:rPr>
            <w:webHidden/>
          </w:rPr>
          <w:t>70</w:t>
        </w:r>
        <w:r>
          <w:rPr>
            <w:webHidden/>
          </w:rPr>
          <w:fldChar w:fldCharType="end"/>
        </w:r>
      </w:hyperlink>
    </w:p>
    <w:p w14:paraId="04EDC159" w14:textId="075EDE0D" w:rsidR="00501B6F" w:rsidRDefault="00501B6F">
      <w:pPr>
        <w:pStyle w:val="TOC1"/>
        <w:rPr>
          <w:rFonts w:asciiTheme="minorHAnsi" w:eastAsiaTheme="minorEastAsia" w:hAnsiTheme="minorHAnsi" w:cstheme="minorBidi"/>
          <w:b w:val="0"/>
          <w:kern w:val="2"/>
          <w:sz w:val="22"/>
          <w:szCs w:val="22"/>
          <w14:ligatures w14:val="standardContextual"/>
        </w:rPr>
      </w:pPr>
      <w:hyperlink w:anchor="_Toc189128120" w:history="1">
        <w:r w:rsidRPr="00D40537">
          <w:rPr>
            <w:rStyle w:val="Hyperlink"/>
          </w:rPr>
          <w:t>12. Editing and Matching Procedures for the 2023 MPC</w:t>
        </w:r>
        <w:r>
          <w:rPr>
            <w:webHidden/>
          </w:rPr>
          <w:tab/>
        </w:r>
        <w:r>
          <w:rPr>
            <w:webHidden/>
          </w:rPr>
          <w:fldChar w:fldCharType="begin"/>
        </w:r>
        <w:r>
          <w:rPr>
            <w:webHidden/>
          </w:rPr>
          <w:instrText xml:space="preserve"> PAGEREF _Toc189128120 \h </w:instrText>
        </w:r>
        <w:r>
          <w:rPr>
            <w:webHidden/>
          </w:rPr>
        </w:r>
        <w:r>
          <w:rPr>
            <w:webHidden/>
          </w:rPr>
          <w:fldChar w:fldCharType="separate"/>
        </w:r>
        <w:r>
          <w:rPr>
            <w:webHidden/>
          </w:rPr>
          <w:t>71</w:t>
        </w:r>
        <w:r>
          <w:rPr>
            <w:webHidden/>
          </w:rPr>
          <w:fldChar w:fldCharType="end"/>
        </w:r>
      </w:hyperlink>
    </w:p>
    <w:p w14:paraId="301F26CF" w14:textId="6A892948" w:rsidR="00501B6F" w:rsidRDefault="00501B6F">
      <w:pPr>
        <w:pStyle w:val="TOC2"/>
        <w:tabs>
          <w:tab w:val="left" w:pos="1800"/>
        </w:tabs>
        <w:rPr>
          <w:rFonts w:asciiTheme="minorHAnsi" w:eastAsiaTheme="minorEastAsia" w:hAnsiTheme="minorHAnsi" w:cstheme="minorBidi"/>
          <w:kern w:val="2"/>
          <w:sz w:val="22"/>
          <w14:ligatures w14:val="standardContextual"/>
        </w:rPr>
      </w:pPr>
      <w:hyperlink w:anchor="_Toc189128121" w:history="1">
        <w:r w:rsidRPr="00D40537">
          <w:rPr>
            <w:rStyle w:val="Hyperlink"/>
          </w:rPr>
          <w:t>12.1</w:t>
        </w:r>
        <w:r>
          <w:rPr>
            <w:rFonts w:asciiTheme="minorHAnsi" w:eastAsiaTheme="minorEastAsia" w:hAnsiTheme="minorHAnsi" w:cstheme="minorBidi"/>
            <w:kern w:val="2"/>
            <w:sz w:val="22"/>
            <w14:ligatures w14:val="standardContextual"/>
          </w:rPr>
          <w:tab/>
        </w:r>
        <w:r w:rsidRPr="00D40537">
          <w:rPr>
            <w:rStyle w:val="Hyperlink"/>
          </w:rPr>
          <w:t>Plans for Editing</w:t>
        </w:r>
        <w:r>
          <w:rPr>
            <w:webHidden/>
          </w:rPr>
          <w:tab/>
        </w:r>
        <w:r>
          <w:rPr>
            <w:webHidden/>
          </w:rPr>
          <w:fldChar w:fldCharType="begin"/>
        </w:r>
        <w:r>
          <w:rPr>
            <w:webHidden/>
          </w:rPr>
          <w:instrText xml:space="preserve"> PAGEREF _Toc189128121 \h </w:instrText>
        </w:r>
        <w:r>
          <w:rPr>
            <w:webHidden/>
          </w:rPr>
        </w:r>
        <w:r>
          <w:rPr>
            <w:webHidden/>
          </w:rPr>
          <w:fldChar w:fldCharType="separate"/>
        </w:r>
        <w:r>
          <w:rPr>
            <w:webHidden/>
          </w:rPr>
          <w:t>71</w:t>
        </w:r>
        <w:r>
          <w:rPr>
            <w:webHidden/>
          </w:rPr>
          <w:fldChar w:fldCharType="end"/>
        </w:r>
      </w:hyperlink>
    </w:p>
    <w:p w14:paraId="11B8D5B8" w14:textId="3620A4DF" w:rsidR="00C035A5" w:rsidRPr="008D54A5" w:rsidRDefault="00C035A5" w:rsidP="00C035A5">
      <w:r w:rsidRPr="008D54A5">
        <w:rPr>
          <w:b/>
          <w:noProof/>
          <w:sz w:val="28"/>
          <w:szCs w:val="24"/>
        </w:rPr>
        <w:fldChar w:fldCharType="end"/>
      </w:r>
    </w:p>
    <w:p w14:paraId="029CCDAC" w14:textId="5C5D0D5F" w:rsidR="00BD09AF" w:rsidRPr="008D54A5" w:rsidRDefault="007D04F9" w:rsidP="00BD09AF">
      <w:pPr>
        <w:pStyle w:val="TOC0"/>
      </w:pPr>
      <w:r w:rsidRPr="008D54A5">
        <w:rPr>
          <w:szCs w:val="24"/>
        </w:rPr>
        <w:br w:type="page"/>
      </w:r>
      <w:r w:rsidR="00BD09AF" w:rsidRPr="008D54A5">
        <w:lastRenderedPageBreak/>
        <w:t>Acronyms</w:t>
      </w:r>
    </w:p>
    <w:tbl>
      <w:tblPr>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7774"/>
      </w:tblGrid>
      <w:tr w:rsidR="005966CE" w:rsidRPr="008D54A5" w14:paraId="374CDEB0" w14:textId="77777777" w:rsidTr="00E129F5">
        <w:trPr>
          <w:cantSplit/>
          <w:tblHeader/>
        </w:trPr>
        <w:tc>
          <w:tcPr>
            <w:tcW w:w="1560" w:type="dxa"/>
            <w:shd w:val="clear" w:color="auto" w:fill="BFBFBF"/>
          </w:tcPr>
          <w:p w14:paraId="22947D26" w14:textId="77777777" w:rsidR="005966CE" w:rsidRPr="008D54A5" w:rsidRDefault="005966CE" w:rsidP="00E517C1">
            <w:pPr>
              <w:spacing w:before="20" w:after="20"/>
              <w:rPr>
                <w:b/>
              </w:rPr>
            </w:pPr>
            <w:r w:rsidRPr="008D54A5">
              <w:rPr>
                <w:b/>
              </w:rPr>
              <w:t>Acronym</w:t>
            </w:r>
          </w:p>
        </w:tc>
        <w:tc>
          <w:tcPr>
            <w:tcW w:w="7774" w:type="dxa"/>
            <w:shd w:val="clear" w:color="auto" w:fill="BFBFBF"/>
          </w:tcPr>
          <w:p w14:paraId="3591D95F" w14:textId="77777777" w:rsidR="005966CE" w:rsidRPr="008D54A5" w:rsidRDefault="005966CE" w:rsidP="00E517C1">
            <w:pPr>
              <w:spacing w:before="20" w:after="20"/>
              <w:rPr>
                <w:b/>
              </w:rPr>
            </w:pPr>
            <w:r w:rsidRPr="008D54A5">
              <w:rPr>
                <w:b/>
              </w:rPr>
              <w:t>Definition</w:t>
            </w:r>
          </w:p>
        </w:tc>
      </w:tr>
      <w:tr w:rsidR="005966CE" w:rsidRPr="008D54A5" w14:paraId="08593218" w14:textId="77777777" w:rsidTr="00E129F5">
        <w:tc>
          <w:tcPr>
            <w:tcW w:w="1560" w:type="dxa"/>
          </w:tcPr>
          <w:p w14:paraId="1B07E33A" w14:textId="77777777" w:rsidR="005966CE" w:rsidRPr="008D54A5" w:rsidRDefault="00F66AD2" w:rsidP="00E517C1">
            <w:pPr>
              <w:spacing w:before="20" w:after="20"/>
            </w:pPr>
            <w:r w:rsidRPr="008D54A5">
              <w:t>AO</w:t>
            </w:r>
          </w:p>
        </w:tc>
        <w:tc>
          <w:tcPr>
            <w:tcW w:w="7774" w:type="dxa"/>
          </w:tcPr>
          <w:p w14:paraId="18A4E105" w14:textId="2C492FFF" w:rsidR="005966CE" w:rsidRPr="008D54A5" w:rsidRDefault="00F66AD2" w:rsidP="00E517C1">
            <w:pPr>
              <w:spacing w:before="20" w:after="20"/>
            </w:pPr>
            <w:r w:rsidRPr="008D54A5">
              <w:t>Administrative Office</w:t>
            </w:r>
          </w:p>
        </w:tc>
      </w:tr>
      <w:tr w:rsidR="002F52B1" w:rsidRPr="008D54A5" w14:paraId="0BF8D6C6" w14:textId="77777777" w:rsidTr="00E129F5">
        <w:tc>
          <w:tcPr>
            <w:tcW w:w="1560" w:type="dxa"/>
          </w:tcPr>
          <w:p w14:paraId="03962A8F" w14:textId="653D4B56" w:rsidR="002F52B1" w:rsidRPr="008D54A5" w:rsidRDefault="002F52B1" w:rsidP="00E517C1">
            <w:pPr>
              <w:spacing w:before="20" w:after="20"/>
            </w:pPr>
            <w:r w:rsidRPr="008D54A5">
              <w:t>AHRQ</w:t>
            </w:r>
          </w:p>
        </w:tc>
        <w:tc>
          <w:tcPr>
            <w:tcW w:w="7774" w:type="dxa"/>
          </w:tcPr>
          <w:p w14:paraId="32EB67C6" w14:textId="32866569" w:rsidR="002F52B1" w:rsidRPr="008D54A5" w:rsidRDefault="002F52B1" w:rsidP="00E517C1">
            <w:pPr>
              <w:spacing w:before="20" w:after="20"/>
            </w:pPr>
            <w:r w:rsidRPr="008D54A5">
              <w:t>Agency for Healthcare Research and Quality</w:t>
            </w:r>
          </w:p>
        </w:tc>
      </w:tr>
      <w:tr w:rsidR="005966CE" w:rsidRPr="008D54A5" w14:paraId="4E9E49EE" w14:textId="77777777" w:rsidTr="00E129F5">
        <w:tc>
          <w:tcPr>
            <w:tcW w:w="1560" w:type="dxa"/>
          </w:tcPr>
          <w:p w14:paraId="60E37BD0" w14:textId="77777777" w:rsidR="005966CE" w:rsidRPr="008D54A5" w:rsidRDefault="00F66AD2" w:rsidP="00E517C1">
            <w:pPr>
              <w:spacing w:before="20" w:after="20"/>
            </w:pPr>
            <w:r w:rsidRPr="008D54A5">
              <w:t>BETOS</w:t>
            </w:r>
          </w:p>
        </w:tc>
        <w:tc>
          <w:tcPr>
            <w:tcW w:w="7774" w:type="dxa"/>
          </w:tcPr>
          <w:p w14:paraId="1211C424" w14:textId="77777777" w:rsidR="005966CE" w:rsidRPr="008D54A5" w:rsidRDefault="00F66AD2" w:rsidP="00E517C1">
            <w:pPr>
              <w:spacing w:before="20" w:after="20"/>
            </w:pPr>
            <w:r w:rsidRPr="008D54A5">
              <w:t>Berenson-Eggers Type of Service</w:t>
            </w:r>
          </w:p>
        </w:tc>
      </w:tr>
      <w:tr w:rsidR="005966CE" w:rsidRPr="008D54A5" w14:paraId="116B9CB6" w14:textId="77777777" w:rsidTr="00E129F5">
        <w:tc>
          <w:tcPr>
            <w:tcW w:w="1560" w:type="dxa"/>
          </w:tcPr>
          <w:p w14:paraId="41207EB7" w14:textId="33E52826" w:rsidR="005966CE" w:rsidRPr="008D54A5" w:rsidRDefault="00F66AD2" w:rsidP="00E517C1">
            <w:pPr>
              <w:spacing w:before="20" w:after="20"/>
            </w:pPr>
            <w:r w:rsidRPr="008D54A5">
              <w:t>CCS</w:t>
            </w:r>
            <w:r w:rsidR="00712379" w:rsidRPr="008D54A5">
              <w:t>R</w:t>
            </w:r>
          </w:p>
        </w:tc>
        <w:tc>
          <w:tcPr>
            <w:tcW w:w="7774" w:type="dxa"/>
          </w:tcPr>
          <w:p w14:paraId="16A9F6BE" w14:textId="6DC2FE97" w:rsidR="005966CE" w:rsidRPr="008D54A5" w:rsidRDefault="00F66AD2" w:rsidP="00E517C1">
            <w:pPr>
              <w:spacing w:before="20" w:after="20"/>
            </w:pPr>
            <w:r w:rsidRPr="008D54A5">
              <w:t>Clinical Classifications Software</w:t>
            </w:r>
            <w:r w:rsidR="00712379" w:rsidRPr="008D54A5">
              <w:t xml:space="preserve"> Refined</w:t>
            </w:r>
          </w:p>
        </w:tc>
      </w:tr>
      <w:tr w:rsidR="005966CE" w:rsidRPr="008D54A5" w14:paraId="7A6B115F" w14:textId="77777777" w:rsidTr="00E129F5">
        <w:tc>
          <w:tcPr>
            <w:tcW w:w="1560" w:type="dxa"/>
          </w:tcPr>
          <w:p w14:paraId="6867A2BE" w14:textId="77777777" w:rsidR="005966CE" w:rsidRPr="008D54A5" w:rsidRDefault="00F66AD2" w:rsidP="00E517C1">
            <w:pPr>
              <w:spacing w:before="20" w:after="20"/>
            </w:pPr>
            <w:r w:rsidRPr="008D54A5">
              <w:t>CPT-4</w:t>
            </w:r>
          </w:p>
        </w:tc>
        <w:tc>
          <w:tcPr>
            <w:tcW w:w="7774" w:type="dxa"/>
          </w:tcPr>
          <w:p w14:paraId="6ADB4ECD" w14:textId="77777777" w:rsidR="005966CE" w:rsidRPr="008D54A5" w:rsidRDefault="00F66AD2" w:rsidP="00E517C1">
            <w:pPr>
              <w:spacing w:before="20" w:after="20"/>
            </w:pPr>
            <w:r w:rsidRPr="008D54A5">
              <w:t>Current Procedural Terminology</w:t>
            </w:r>
            <w:r w:rsidR="00443422" w:rsidRPr="008D54A5">
              <w:t>—</w:t>
            </w:r>
            <w:r w:rsidRPr="008D54A5">
              <w:t>codes developed by the American Medical Association to describe medical, surgical, and diagnostic services</w:t>
            </w:r>
          </w:p>
        </w:tc>
      </w:tr>
      <w:tr w:rsidR="005966CE" w:rsidRPr="008D54A5" w14:paraId="77573E1D" w14:textId="77777777" w:rsidTr="00E129F5">
        <w:tc>
          <w:tcPr>
            <w:tcW w:w="1560" w:type="dxa"/>
          </w:tcPr>
          <w:p w14:paraId="78864FF0" w14:textId="77777777" w:rsidR="005966CE" w:rsidRPr="008D54A5" w:rsidRDefault="00F66AD2" w:rsidP="00E517C1">
            <w:pPr>
              <w:spacing w:before="20" w:after="20"/>
            </w:pPr>
            <w:r w:rsidRPr="008D54A5">
              <w:t>DCS</w:t>
            </w:r>
          </w:p>
        </w:tc>
        <w:tc>
          <w:tcPr>
            <w:tcW w:w="7774" w:type="dxa"/>
          </w:tcPr>
          <w:p w14:paraId="53B58FB7" w14:textId="361853E0" w:rsidR="005966CE" w:rsidRPr="008D54A5" w:rsidRDefault="00F66AD2" w:rsidP="00E517C1">
            <w:pPr>
              <w:spacing w:before="20" w:after="20"/>
            </w:pPr>
            <w:r w:rsidRPr="008D54A5">
              <w:t>Data Collection Staff</w:t>
            </w:r>
          </w:p>
        </w:tc>
      </w:tr>
      <w:tr w:rsidR="005966CE" w:rsidRPr="008D54A5" w14:paraId="395936EC" w14:textId="77777777" w:rsidTr="00E129F5">
        <w:tc>
          <w:tcPr>
            <w:tcW w:w="1560" w:type="dxa"/>
          </w:tcPr>
          <w:p w14:paraId="68F6C82F" w14:textId="77777777" w:rsidR="005966CE" w:rsidRPr="008D54A5" w:rsidRDefault="00F66AD2" w:rsidP="00E517C1">
            <w:pPr>
              <w:spacing w:before="20" w:after="20"/>
            </w:pPr>
            <w:r w:rsidRPr="008D54A5">
              <w:t>DRG</w:t>
            </w:r>
          </w:p>
        </w:tc>
        <w:tc>
          <w:tcPr>
            <w:tcW w:w="7774" w:type="dxa"/>
          </w:tcPr>
          <w:p w14:paraId="5E6A9168" w14:textId="2F16850B" w:rsidR="005966CE" w:rsidRPr="008D54A5" w:rsidRDefault="00BB6089" w:rsidP="00E517C1">
            <w:pPr>
              <w:spacing w:before="20" w:after="20"/>
            </w:pPr>
            <w:r w:rsidRPr="008D54A5">
              <w:t>Diagnosis</w:t>
            </w:r>
            <w:r w:rsidR="00F66AD2" w:rsidRPr="008D54A5">
              <w:t>-</w:t>
            </w:r>
            <w:r w:rsidRPr="008D54A5">
              <w:t>Related Group</w:t>
            </w:r>
          </w:p>
        </w:tc>
      </w:tr>
      <w:tr w:rsidR="005966CE" w:rsidRPr="008D54A5" w14:paraId="23F5F9E1" w14:textId="77777777" w:rsidTr="00E129F5">
        <w:tc>
          <w:tcPr>
            <w:tcW w:w="1560" w:type="dxa"/>
          </w:tcPr>
          <w:p w14:paraId="2E9CC40B" w14:textId="77777777" w:rsidR="005966CE" w:rsidRPr="008D54A5" w:rsidRDefault="00F66AD2" w:rsidP="00E517C1">
            <w:pPr>
              <w:spacing w:before="20" w:after="20"/>
            </w:pPr>
            <w:r w:rsidRPr="008D54A5">
              <w:t>ER</w:t>
            </w:r>
          </w:p>
        </w:tc>
        <w:tc>
          <w:tcPr>
            <w:tcW w:w="7774" w:type="dxa"/>
          </w:tcPr>
          <w:p w14:paraId="4F199856" w14:textId="668CDD0E" w:rsidR="005966CE" w:rsidRPr="008D54A5" w:rsidRDefault="00BB6089" w:rsidP="00E517C1">
            <w:pPr>
              <w:spacing w:before="20" w:after="20"/>
            </w:pPr>
            <w:r w:rsidRPr="008D54A5">
              <w:t>Emergency Room</w:t>
            </w:r>
          </w:p>
        </w:tc>
      </w:tr>
      <w:tr w:rsidR="005966CE" w:rsidRPr="008D54A5" w14:paraId="00D679FE" w14:textId="77777777" w:rsidTr="00E129F5">
        <w:tc>
          <w:tcPr>
            <w:tcW w:w="1560" w:type="dxa"/>
          </w:tcPr>
          <w:p w14:paraId="2E7FF006" w14:textId="77777777" w:rsidR="005966CE" w:rsidRPr="008D54A5" w:rsidRDefault="005966CE" w:rsidP="00E517C1">
            <w:pPr>
              <w:spacing w:before="20" w:after="20"/>
            </w:pPr>
            <w:r w:rsidRPr="008D54A5">
              <w:t>FFS</w:t>
            </w:r>
          </w:p>
        </w:tc>
        <w:tc>
          <w:tcPr>
            <w:tcW w:w="7774" w:type="dxa"/>
          </w:tcPr>
          <w:p w14:paraId="7D27F45C" w14:textId="5E5699C8" w:rsidR="005966CE" w:rsidRPr="008D54A5" w:rsidRDefault="005966CE" w:rsidP="00E517C1">
            <w:pPr>
              <w:spacing w:before="20" w:after="20"/>
            </w:pPr>
            <w:r w:rsidRPr="008D54A5">
              <w:t>Fee-for-service</w:t>
            </w:r>
          </w:p>
        </w:tc>
      </w:tr>
      <w:tr w:rsidR="005966CE" w:rsidRPr="008D54A5" w14:paraId="5B121CA5" w14:textId="77777777" w:rsidTr="00E129F5">
        <w:tc>
          <w:tcPr>
            <w:tcW w:w="1560" w:type="dxa"/>
          </w:tcPr>
          <w:p w14:paraId="3F12AF75" w14:textId="77777777" w:rsidR="005966CE" w:rsidRPr="008D54A5" w:rsidRDefault="00F66AD2" w:rsidP="00E517C1">
            <w:pPr>
              <w:spacing w:before="20" w:after="20"/>
            </w:pPr>
            <w:r w:rsidRPr="008D54A5">
              <w:t>GF</w:t>
            </w:r>
          </w:p>
        </w:tc>
        <w:tc>
          <w:tcPr>
            <w:tcW w:w="7774" w:type="dxa"/>
          </w:tcPr>
          <w:p w14:paraId="4AE1FF76" w14:textId="7D90BC03" w:rsidR="005966CE" w:rsidRPr="008D54A5" w:rsidRDefault="00F66AD2" w:rsidP="00E517C1">
            <w:pPr>
              <w:spacing w:before="20" w:after="20"/>
            </w:pPr>
            <w:r w:rsidRPr="008D54A5">
              <w:t>Global Fee</w:t>
            </w:r>
          </w:p>
        </w:tc>
      </w:tr>
      <w:tr w:rsidR="005966CE" w:rsidRPr="008D54A5" w14:paraId="3AF18561" w14:textId="77777777" w:rsidTr="00E129F5">
        <w:tc>
          <w:tcPr>
            <w:tcW w:w="1560" w:type="dxa"/>
          </w:tcPr>
          <w:p w14:paraId="60E1CA6B" w14:textId="77777777" w:rsidR="005966CE" w:rsidRPr="008D54A5" w:rsidRDefault="00F66AD2" w:rsidP="00E517C1">
            <w:pPr>
              <w:spacing w:before="20" w:after="20"/>
            </w:pPr>
            <w:r w:rsidRPr="008D54A5">
              <w:t>HC</w:t>
            </w:r>
          </w:p>
        </w:tc>
        <w:tc>
          <w:tcPr>
            <w:tcW w:w="7774" w:type="dxa"/>
          </w:tcPr>
          <w:p w14:paraId="511F5AF7" w14:textId="21AAC6F2" w:rsidR="005966CE" w:rsidRPr="008D54A5" w:rsidRDefault="00F66AD2" w:rsidP="00E517C1">
            <w:pPr>
              <w:spacing w:before="20" w:after="20"/>
            </w:pPr>
            <w:r w:rsidRPr="008D54A5">
              <w:t>Household Component</w:t>
            </w:r>
          </w:p>
        </w:tc>
      </w:tr>
      <w:tr w:rsidR="005966CE" w:rsidRPr="008D54A5" w14:paraId="21DA7DE1" w14:textId="77777777" w:rsidTr="00E129F5">
        <w:tc>
          <w:tcPr>
            <w:tcW w:w="1560" w:type="dxa"/>
          </w:tcPr>
          <w:p w14:paraId="5E96B74C" w14:textId="77777777" w:rsidR="005966CE" w:rsidRPr="008D54A5" w:rsidRDefault="00F66AD2" w:rsidP="00E517C1">
            <w:pPr>
              <w:spacing w:before="20" w:after="20"/>
            </w:pPr>
            <w:r w:rsidRPr="008D54A5">
              <w:t>HCH</w:t>
            </w:r>
          </w:p>
        </w:tc>
        <w:tc>
          <w:tcPr>
            <w:tcW w:w="7774" w:type="dxa"/>
          </w:tcPr>
          <w:p w14:paraId="5702CF60" w14:textId="77777777" w:rsidR="005966CE" w:rsidRPr="008D54A5" w:rsidRDefault="00F66AD2" w:rsidP="00E517C1">
            <w:pPr>
              <w:spacing w:before="20" w:after="20"/>
            </w:pPr>
            <w:r w:rsidRPr="008D54A5">
              <w:t>Home Care Health</w:t>
            </w:r>
            <w:r w:rsidR="00443422" w:rsidRPr="008D54A5">
              <w:t>—</w:t>
            </w:r>
            <w:r w:rsidRPr="008D54A5">
              <w:t>same as HH</w:t>
            </w:r>
          </w:p>
        </w:tc>
      </w:tr>
      <w:tr w:rsidR="005966CE" w:rsidRPr="008D54A5" w14:paraId="3DE4987F" w14:textId="77777777" w:rsidTr="00E129F5">
        <w:tc>
          <w:tcPr>
            <w:tcW w:w="1560" w:type="dxa"/>
          </w:tcPr>
          <w:p w14:paraId="561BD8B5" w14:textId="77777777" w:rsidR="005966CE" w:rsidRPr="008D54A5" w:rsidRDefault="00F66AD2" w:rsidP="00E517C1">
            <w:pPr>
              <w:spacing w:before="20" w:after="20"/>
            </w:pPr>
            <w:r w:rsidRPr="008D54A5">
              <w:t>HCN</w:t>
            </w:r>
          </w:p>
        </w:tc>
        <w:tc>
          <w:tcPr>
            <w:tcW w:w="7774" w:type="dxa"/>
          </w:tcPr>
          <w:p w14:paraId="05558BE6" w14:textId="77777777" w:rsidR="005966CE" w:rsidRPr="008D54A5" w:rsidRDefault="00F66AD2" w:rsidP="00E517C1">
            <w:pPr>
              <w:spacing w:before="20" w:after="20"/>
            </w:pPr>
            <w:r w:rsidRPr="008D54A5">
              <w:t>Home Care Non-Health</w:t>
            </w:r>
            <w:r w:rsidR="00443422" w:rsidRPr="008D54A5">
              <w:t>—</w:t>
            </w:r>
            <w:r w:rsidRPr="008D54A5">
              <w:t>same as NHH</w:t>
            </w:r>
          </w:p>
        </w:tc>
      </w:tr>
      <w:tr w:rsidR="005966CE" w:rsidRPr="008D54A5" w14:paraId="31517E4F" w14:textId="77777777" w:rsidTr="00E129F5">
        <w:tc>
          <w:tcPr>
            <w:tcW w:w="1560" w:type="dxa"/>
          </w:tcPr>
          <w:p w14:paraId="05BB24D8" w14:textId="77777777" w:rsidR="005966CE" w:rsidRPr="008D54A5" w:rsidRDefault="00F66AD2" w:rsidP="00E517C1">
            <w:pPr>
              <w:spacing w:before="20" w:after="20"/>
            </w:pPr>
            <w:r w:rsidRPr="008D54A5">
              <w:t>HH</w:t>
            </w:r>
          </w:p>
        </w:tc>
        <w:tc>
          <w:tcPr>
            <w:tcW w:w="7774" w:type="dxa"/>
          </w:tcPr>
          <w:p w14:paraId="77812ABD" w14:textId="77777777" w:rsidR="005966CE" w:rsidRPr="008D54A5" w:rsidRDefault="00F66AD2" w:rsidP="00E517C1">
            <w:pPr>
              <w:spacing w:before="20" w:after="20"/>
            </w:pPr>
            <w:r w:rsidRPr="008D54A5">
              <w:t>Home Health</w:t>
            </w:r>
            <w:r w:rsidR="00443422" w:rsidRPr="008D54A5">
              <w:t>—</w:t>
            </w:r>
            <w:r w:rsidRPr="008D54A5">
              <w:t>same as HCH</w:t>
            </w:r>
          </w:p>
        </w:tc>
      </w:tr>
      <w:tr w:rsidR="005966CE" w:rsidRPr="008D54A5" w14:paraId="130B52AB" w14:textId="77777777" w:rsidTr="00E129F5">
        <w:tc>
          <w:tcPr>
            <w:tcW w:w="1560" w:type="dxa"/>
          </w:tcPr>
          <w:p w14:paraId="1E677B09" w14:textId="77777777" w:rsidR="005966CE" w:rsidRPr="008D54A5" w:rsidRDefault="00F66AD2" w:rsidP="00E517C1">
            <w:pPr>
              <w:spacing w:before="20" w:after="20"/>
            </w:pPr>
            <w:r w:rsidRPr="008D54A5">
              <w:t>HHA</w:t>
            </w:r>
          </w:p>
        </w:tc>
        <w:tc>
          <w:tcPr>
            <w:tcW w:w="7774" w:type="dxa"/>
          </w:tcPr>
          <w:p w14:paraId="02E7D60D" w14:textId="77777777" w:rsidR="005966CE" w:rsidRPr="008D54A5" w:rsidRDefault="00F66AD2" w:rsidP="00E517C1">
            <w:pPr>
              <w:spacing w:before="20" w:after="20"/>
            </w:pPr>
            <w:r w:rsidRPr="008D54A5">
              <w:t>Home Health Agency</w:t>
            </w:r>
          </w:p>
        </w:tc>
      </w:tr>
      <w:tr w:rsidR="00F64CD6" w:rsidRPr="008D54A5" w14:paraId="1B1FB3F6" w14:textId="77777777" w:rsidTr="00E129F5">
        <w:tc>
          <w:tcPr>
            <w:tcW w:w="1560" w:type="dxa"/>
          </w:tcPr>
          <w:p w14:paraId="5E10C7CA" w14:textId="12B5AB76" w:rsidR="00F64CD6" w:rsidRPr="008D54A5" w:rsidRDefault="00F64CD6" w:rsidP="00E517C1">
            <w:pPr>
              <w:spacing w:before="20" w:after="20"/>
            </w:pPr>
            <w:r w:rsidRPr="008D54A5">
              <w:t>HOSP</w:t>
            </w:r>
          </w:p>
        </w:tc>
        <w:tc>
          <w:tcPr>
            <w:tcW w:w="7774" w:type="dxa"/>
          </w:tcPr>
          <w:p w14:paraId="44CD82CC" w14:textId="2F9EFB58" w:rsidR="00F64CD6" w:rsidRPr="008D54A5" w:rsidRDefault="00F64CD6" w:rsidP="00E517C1">
            <w:pPr>
              <w:spacing w:before="20" w:after="20"/>
            </w:pPr>
            <w:r w:rsidRPr="008D54A5">
              <w:t>Hospital component or event form</w:t>
            </w:r>
          </w:p>
        </w:tc>
      </w:tr>
      <w:tr w:rsidR="00E02776" w:rsidRPr="008D54A5" w14:paraId="5E7CC285" w14:textId="77777777" w:rsidTr="00E129F5">
        <w:tc>
          <w:tcPr>
            <w:tcW w:w="1560" w:type="dxa"/>
          </w:tcPr>
          <w:p w14:paraId="19E084C8" w14:textId="03180C9B" w:rsidR="00E02776" w:rsidRPr="008D54A5" w:rsidRDefault="00E02776" w:rsidP="00E517C1">
            <w:pPr>
              <w:spacing w:before="20" w:after="20"/>
            </w:pPr>
            <w:r w:rsidRPr="008D54A5">
              <w:t>HS</w:t>
            </w:r>
          </w:p>
        </w:tc>
        <w:tc>
          <w:tcPr>
            <w:tcW w:w="7774" w:type="dxa"/>
          </w:tcPr>
          <w:p w14:paraId="5552A47A" w14:textId="29AC2ECD" w:rsidR="00E02776" w:rsidRPr="008D54A5" w:rsidRDefault="00E02776" w:rsidP="00E517C1">
            <w:pPr>
              <w:spacing w:before="20" w:after="20"/>
            </w:pPr>
            <w:r w:rsidRPr="008D54A5">
              <w:t>Hospital Stay (i.e., inpatient)</w:t>
            </w:r>
          </w:p>
        </w:tc>
      </w:tr>
      <w:tr w:rsidR="005966CE" w:rsidRPr="008D54A5" w14:paraId="15683173" w14:textId="1166FD20" w:rsidTr="00E129F5">
        <w:tc>
          <w:tcPr>
            <w:tcW w:w="1560" w:type="dxa"/>
          </w:tcPr>
          <w:p w14:paraId="346F2877" w14:textId="626991AB" w:rsidR="005966CE" w:rsidRPr="008D54A5" w:rsidRDefault="00F66AD2" w:rsidP="00E517C1">
            <w:pPr>
              <w:spacing w:before="20" w:after="20"/>
            </w:pPr>
            <w:r w:rsidRPr="008D54A5">
              <w:t>ICD-</w:t>
            </w:r>
            <w:r w:rsidR="00F64CD6" w:rsidRPr="008D54A5">
              <w:t>10</w:t>
            </w:r>
          </w:p>
        </w:tc>
        <w:tc>
          <w:tcPr>
            <w:tcW w:w="7774" w:type="dxa"/>
          </w:tcPr>
          <w:p w14:paraId="27702C82" w14:textId="00DE31B8" w:rsidR="005966CE" w:rsidRPr="008D54A5" w:rsidRDefault="00F66AD2" w:rsidP="00E517C1">
            <w:pPr>
              <w:spacing w:before="20" w:after="20"/>
            </w:pPr>
            <w:r w:rsidRPr="008D54A5">
              <w:t xml:space="preserve">Internal Classification of Diseases, </w:t>
            </w:r>
            <w:r w:rsidR="00F64CD6" w:rsidRPr="008D54A5">
              <w:t>10</w:t>
            </w:r>
            <w:r w:rsidR="00F64CD6" w:rsidRPr="008D54A5">
              <w:rPr>
                <w:vertAlign w:val="superscript"/>
              </w:rPr>
              <w:t>th</w:t>
            </w:r>
            <w:r w:rsidR="00F64CD6" w:rsidRPr="008D54A5">
              <w:t xml:space="preserve"> </w:t>
            </w:r>
            <w:r w:rsidRPr="008D54A5">
              <w:t>edition</w:t>
            </w:r>
          </w:p>
        </w:tc>
      </w:tr>
      <w:tr w:rsidR="0072213E" w:rsidRPr="008D54A5" w14:paraId="1D5AFAA3" w14:textId="77777777" w:rsidTr="00E129F5">
        <w:tc>
          <w:tcPr>
            <w:tcW w:w="1560" w:type="dxa"/>
          </w:tcPr>
          <w:p w14:paraId="08B25B3E" w14:textId="3B3B55BE" w:rsidR="0072213E" w:rsidRPr="008D54A5" w:rsidRDefault="0072213E" w:rsidP="00E517C1">
            <w:pPr>
              <w:spacing w:before="20" w:after="20"/>
            </w:pPr>
            <w:r w:rsidRPr="008D54A5">
              <w:t>ID</w:t>
            </w:r>
          </w:p>
        </w:tc>
        <w:tc>
          <w:tcPr>
            <w:tcW w:w="7774" w:type="dxa"/>
          </w:tcPr>
          <w:p w14:paraId="3D63164A" w14:textId="5924AE5A" w:rsidR="0072213E" w:rsidRPr="008D54A5" w:rsidDel="0072213E" w:rsidRDefault="00BB6089" w:rsidP="00E517C1">
            <w:pPr>
              <w:spacing w:before="20" w:after="20"/>
            </w:pPr>
            <w:r w:rsidRPr="008D54A5">
              <w:t>Identifier</w:t>
            </w:r>
          </w:p>
        </w:tc>
      </w:tr>
      <w:tr w:rsidR="00F64CD6" w:rsidRPr="008D54A5" w14:paraId="7F454110" w14:textId="77777777" w:rsidTr="00E129F5">
        <w:tc>
          <w:tcPr>
            <w:tcW w:w="1560" w:type="dxa"/>
          </w:tcPr>
          <w:p w14:paraId="3ADCB01F" w14:textId="7C5B9D6A" w:rsidR="00F64CD6" w:rsidRPr="008D54A5" w:rsidRDefault="00F64CD6" w:rsidP="00E517C1">
            <w:pPr>
              <w:spacing w:before="20" w:after="20"/>
            </w:pPr>
            <w:r w:rsidRPr="008D54A5">
              <w:t>INST</w:t>
            </w:r>
          </w:p>
        </w:tc>
        <w:tc>
          <w:tcPr>
            <w:tcW w:w="7774" w:type="dxa"/>
          </w:tcPr>
          <w:p w14:paraId="3F5D7459" w14:textId="6F41A1F6" w:rsidR="00F64CD6" w:rsidRPr="008D54A5" w:rsidRDefault="00F64CD6" w:rsidP="00E517C1">
            <w:pPr>
              <w:spacing w:before="20" w:after="20"/>
            </w:pPr>
            <w:r w:rsidRPr="008D54A5">
              <w:t>Institution component or event form</w:t>
            </w:r>
          </w:p>
        </w:tc>
      </w:tr>
      <w:tr w:rsidR="005966CE" w:rsidRPr="008D54A5" w14:paraId="6DC2E35D" w14:textId="77777777" w:rsidTr="00E129F5">
        <w:tc>
          <w:tcPr>
            <w:tcW w:w="1560" w:type="dxa"/>
          </w:tcPr>
          <w:p w14:paraId="593DC16C" w14:textId="77777777" w:rsidR="005966CE" w:rsidRPr="008D54A5" w:rsidRDefault="00F66AD2" w:rsidP="00E517C1">
            <w:pPr>
              <w:spacing w:before="20" w:after="20"/>
            </w:pPr>
            <w:r w:rsidRPr="008D54A5">
              <w:t>LTC</w:t>
            </w:r>
          </w:p>
        </w:tc>
        <w:tc>
          <w:tcPr>
            <w:tcW w:w="7774" w:type="dxa"/>
          </w:tcPr>
          <w:p w14:paraId="3132325D" w14:textId="646AFA56" w:rsidR="005966CE" w:rsidRPr="008D54A5" w:rsidRDefault="00BB6089" w:rsidP="00E517C1">
            <w:pPr>
              <w:spacing w:before="20" w:after="20"/>
            </w:pPr>
            <w:r w:rsidRPr="008D54A5">
              <w:t>Long-Term Care</w:t>
            </w:r>
          </w:p>
        </w:tc>
      </w:tr>
      <w:tr w:rsidR="005966CE" w:rsidRPr="008D54A5" w14:paraId="4A83E198" w14:textId="77777777" w:rsidTr="00E129F5">
        <w:tc>
          <w:tcPr>
            <w:tcW w:w="1560" w:type="dxa"/>
          </w:tcPr>
          <w:p w14:paraId="68994EDC" w14:textId="77777777" w:rsidR="005966CE" w:rsidRPr="008D54A5" w:rsidRDefault="00F66AD2" w:rsidP="00E517C1">
            <w:pPr>
              <w:spacing w:before="20" w:after="20"/>
            </w:pPr>
            <w:r w:rsidRPr="008D54A5">
              <w:t>MEPS</w:t>
            </w:r>
          </w:p>
        </w:tc>
        <w:tc>
          <w:tcPr>
            <w:tcW w:w="7774" w:type="dxa"/>
          </w:tcPr>
          <w:p w14:paraId="5C73334C" w14:textId="77777777" w:rsidR="005966CE" w:rsidRPr="008D54A5" w:rsidRDefault="00F66AD2" w:rsidP="00E517C1">
            <w:pPr>
              <w:spacing w:before="20" w:after="20"/>
            </w:pPr>
            <w:r w:rsidRPr="008D54A5">
              <w:t>Medical Expenditure Panel Survey</w:t>
            </w:r>
          </w:p>
        </w:tc>
      </w:tr>
      <w:tr w:rsidR="009021A7" w:rsidRPr="008D54A5" w14:paraId="0DF8C8BA" w14:textId="77777777" w:rsidTr="00E129F5">
        <w:tc>
          <w:tcPr>
            <w:tcW w:w="1560" w:type="dxa"/>
          </w:tcPr>
          <w:p w14:paraId="40726F24" w14:textId="77777777" w:rsidR="009021A7" w:rsidRPr="008D54A5" w:rsidRDefault="00F66AD2" w:rsidP="00E517C1">
            <w:pPr>
              <w:spacing w:before="20" w:after="20"/>
            </w:pPr>
            <w:r w:rsidRPr="008D54A5">
              <w:t>MP</w:t>
            </w:r>
          </w:p>
        </w:tc>
        <w:tc>
          <w:tcPr>
            <w:tcW w:w="7774" w:type="dxa"/>
          </w:tcPr>
          <w:p w14:paraId="011E99A4" w14:textId="15465B46" w:rsidR="009021A7" w:rsidRPr="008D54A5" w:rsidRDefault="00BB6089" w:rsidP="00E517C1">
            <w:pPr>
              <w:spacing w:before="20" w:after="20"/>
            </w:pPr>
            <w:r w:rsidRPr="008D54A5">
              <w:t>Medical Provider</w:t>
            </w:r>
          </w:p>
        </w:tc>
      </w:tr>
      <w:tr w:rsidR="005966CE" w:rsidRPr="008D54A5" w14:paraId="3E4EDFB5" w14:textId="77777777" w:rsidTr="00E129F5">
        <w:tc>
          <w:tcPr>
            <w:tcW w:w="1560" w:type="dxa"/>
          </w:tcPr>
          <w:p w14:paraId="1C393821" w14:textId="77777777" w:rsidR="005966CE" w:rsidRPr="008D54A5" w:rsidRDefault="00F66AD2" w:rsidP="00E517C1">
            <w:pPr>
              <w:spacing w:before="20" w:after="20"/>
            </w:pPr>
            <w:r w:rsidRPr="008D54A5">
              <w:t>MPC</w:t>
            </w:r>
          </w:p>
        </w:tc>
        <w:tc>
          <w:tcPr>
            <w:tcW w:w="7774" w:type="dxa"/>
          </w:tcPr>
          <w:p w14:paraId="5A2AFD93" w14:textId="725B8895" w:rsidR="005966CE" w:rsidRPr="008D54A5" w:rsidRDefault="00BB6089" w:rsidP="00E517C1">
            <w:pPr>
              <w:spacing w:before="20" w:after="20"/>
            </w:pPr>
            <w:r w:rsidRPr="008D54A5">
              <w:t>Medical Provider Component</w:t>
            </w:r>
          </w:p>
        </w:tc>
      </w:tr>
      <w:tr w:rsidR="005966CE" w:rsidRPr="008D54A5" w14:paraId="6E962C08" w14:textId="77777777" w:rsidTr="00E129F5">
        <w:tc>
          <w:tcPr>
            <w:tcW w:w="1560" w:type="dxa"/>
          </w:tcPr>
          <w:p w14:paraId="72E9091A" w14:textId="77777777" w:rsidR="005966CE" w:rsidRPr="008D54A5" w:rsidRDefault="00F66AD2" w:rsidP="00E517C1">
            <w:pPr>
              <w:spacing w:before="20" w:after="20"/>
            </w:pPr>
            <w:r w:rsidRPr="008D54A5">
              <w:t>MR</w:t>
            </w:r>
          </w:p>
        </w:tc>
        <w:tc>
          <w:tcPr>
            <w:tcW w:w="7774" w:type="dxa"/>
          </w:tcPr>
          <w:p w14:paraId="710F2F4A" w14:textId="0998E70B" w:rsidR="005966CE" w:rsidRPr="008D54A5" w:rsidRDefault="00BB6089" w:rsidP="00E517C1">
            <w:pPr>
              <w:spacing w:before="20" w:after="20"/>
            </w:pPr>
            <w:r w:rsidRPr="008D54A5">
              <w:t>Medical Records</w:t>
            </w:r>
          </w:p>
        </w:tc>
      </w:tr>
      <w:tr w:rsidR="005966CE" w:rsidRPr="008D54A5" w14:paraId="4C28AD10" w14:textId="77777777" w:rsidTr="00E129F5">
        <w:tc>
          <w:tcPr>
            <w:tcW w:w="1560" w:type="dxa"/>
          </w:tcPr>
          <w:p w14:paraId="12241C61" w14:textId="77777777" w:rsidR="005966CE" w:rsidRPr="008D54A5" w:rsidRDefault="00F66AD2" w:rsidP="00E517C1">
            <w:pPr>
              <w:spacing w:before="20" w:after="20"/>
            </w:pPr>
            <w:r w:rsidRPr="008D54A5">
              <w:t>MV</w:t>
            </w:r>
          </w:p>
        </w:tc>
        <w:tc>
          <w:tcPr>
            <w:tcW w:w="7774" w:type="dxa"/>
          </w:tcPr>
          <w:p w14:paraId="0E617741" w14:textId="57E9A7AF" w:rsidR="005966CE" w:rsidRPr="008D54A5" w:rsidRDefault="00BB6089" w:rsidP="00E517C1">
            <w:pPr>
              <w:spacing w:before="20" w:after="20"/>
            </w:pPr>
            <w:r w:rsidRPr="008D54A5">
              <w:t>Medical Visit</w:t>
            </w:r>
          </w:p>
        </w:tc>
      </w:tr>
      <w:tr w:rsidR="005966CE" w:rsidRPr="008D54A5" w14:paraId="2F3FA2B0" w14:textId="77777777" w:rsidTr="00E129F5">
        <w:tc>
          <w:tcPr>
            <w:tcW w:w="1560" w:type="dxa"/>
          </w:tcPr>
          <w:p w14:paraId="4F841E58" w14:textId="77777777" w:rsidR="005966CE" w:rsidRPr="008D54A5" w:rsidRDefault="00F66AD2" w:rsidP="00E517C1">
            <w:pPr>
              <w:spacing w:before="20" w:after="20"/>
            </w:pPr>
            <w:r w:rsidRPr="008D54A5">
              <w:t>NHH</w:t>
            </w:r>
          </w:p>
        </w:tc>
        <w:tc>
          <w:tcPr>
            <w:tcW w:w="7774" w:type="dxa"/>
          </w:tcPr>
          <w:p w14:paraId="1A8D0683" w14:textId="36340C9C" w:rsidR="005966CE" w:rsidRPr="008D54A5" w:rsidRDefault="00F66AD2" w:rsidP="00E517C1">
            <w:pPr>
              <w:spacing w:before="20" w:after="20"/>
            </w:pPr>
            <w:r w:rsidRPr="008D54A5">
              <w:t xml:space="preserve">Home </w:t>
            </w:r>
            <w:r w:rsidR="007258E9" w:rsidRPr="008D54A5">
              <w:t>Non-</w:t>
            </w:r>
            <w:r w:rsidRPr="008D54A5">
              <w:t>Health</w:t>
            </w:r>
            <w:r w:rsidR="00443422" w:rsidRPr="008D54A5">
              <w:t>—</w:t>
            </w:r>
            <w:r w:rsidRPr="008D54A5">
              <w:t>same as HCN</w:t>
            </w:r>
          </w:p>
        </w:tc>
      </w:tr>
      <w:tr w:rsidR="005966CE" w:rsidRPr="008D54A5" w14:paraId="239F4880" w14:textId="77777777" w:rsidTr="00E129F5">
        <w:tc>
          <w:tcPr>
            <w:tcW w:w="1560" w:type="dxa"/>
          </w:tcPr>
          <w:p w14:paraId="3750FE46" w14:textId="77777777" w:rsidR="005966CE" w:rsidRPr="008D54A5" w:rsidRDefault="00F66AD2" w:rsidP="00E517C1">
            <w:pPr>
              <w:spacing w:before="20" w:after="20"/>
            </w:pPr>
            <w:r w:rsidRPr="008D54A5">
              <w:t>NPI</w:t>
            </w:r>
          </w:p>
        </w:tc>
        <w:tc>
          <w:tcPr>
            <w:tcW w:w="7774" w:type="dxa"/>
          </w:tcPr>
          <w:p w14:paraId="39379015" w14:textId="77777777" w:rsidR="005966CE" w:rsidRPr="008D54A5" w:rsidRDefault="00F66AD2" w:rsidP="00E517C1">
            <w:pPr>
              <w:spacing w:before="20" w:after="20"/>
            </w:pPr>
            <w:r w:rsidRPr="008D54A5">
              <w:t>National Provider Index</w:t>
            </w:r>
          </w:p>
        </w:tc>
      </w:tr>
      <w:tr w:rsidR="005966CE" w:rsidRPr="008D54A5" w14:paraId="6B8E6616" w14:textId="77777777" w:rsidTr="00E129F5">
        <w:tc>
          <w:tcPr>
            <w:tcW w:w="1560" w:type="dxa"/>
          </w:tcPr>
          <w:p w14:paraId="30AD2C4B" w14:textId="77777777" w:rsidR="005966CE" w:rsidRPr="008D54A5" w:rsidRDefault="00F66AD2" w:rsidP="00E517C1">
            <w:pPr>
              <w:spacing w:before="20" w:after="20"/>
            </w:pPr>
            <w:r w:rsidRPr="008D54A5">
              <w:t>OBD</w:t>
            </w:r>
          </w:p>
        </w:tc>
        <w:tc>
          <w:tcPr>
            <w:tcW w:w="7774" w:type="dxa"/>
          </w:tcPr>
          <w:p w14:paraId="7E891242" w14:textId="259714E4" w:rsidR="005966CE" w:rsidRPr="008D54A5" w:rsidRDefault="00BB6089" w:rsidP="00E517C1">
            <w:pPr>
              <w:spacing w:before="20" w:after="20"/>
            </w:pPr>
            <w:r w:rsidRPr="008D54A5">
              <w:t>Office-Based Doctor</w:t>
            </w:r>
          </w:p>
        </w:tc>
      </w:tr>
      <w:tr w:rsidR="005966CE" w:rsidRPr="008D54A5" w14:paraId="380AC65D" w14:textId="77777777" w:rsidTr="00E129F5">
        <w:tc>
          <w:tcPr>
            <w:tcW w:w="1560" w:type="dxa"/>
          </w:tcPr>
          <w:p w14:paraId="50EF3A6D" w14:textId="77777777" w:rsidR="005966CE" w:rsidRPr="008D54A5" w:rsidRDefault="00F66AD2" w:rsidP="00E517C1">
            <w:pPr>
              <w:spacing w:before="20" w:after="20"/>
            </w:pPr>
            <w:r w:rsidRPr="008D54A5">
              <w:t>OP</w:t>
            </w:r>
          </w:p>
        </w:tc>
        <w:tc>
          <w:tcPr>
            <w:tcW w:w="7774" w:type="dxa"/>
          </w:tcPr>
          <w:p w14:paraId="04A138C0" w14:textId="08EA990E" w:rsidR="005966CE" w:rsidRPr="008D54A5" w:rsidRDefault="00BB6089" w:rsidP="00E517C1">
            <w:pPr>
              <w:spacing w:before="20" w:after="20"/>
            </w:pPr>
            <w:r w:rsidRPr="008D54A5">
              <w:t>Outpatient</w:t>
            </w:r>
          </w:p>
        </w:tc>
      </w:tr>
      <w:tr w:rsidR="005966CE" w:rsidRPr="008D54A5" w14:paraId="2E6D3455" w14:textId="77777777" w:rsidTr="00E129F5">
        <w:tc>
          <w:tcPr>
            <w:tcW w:w="1560" w:type="dxa"/>
          </w:tcPr>
          <w:p w14:paraId="1068A27F" w14:textId="3C441C8C" w:rsidR="005966CE" w:rsidRPr="008D54A5" w:rsidRDefault="00F66AD2" w:rsidP="00E517C1">
            <w:pPr>
              <w:spacing w:before="20" w:after="20"/>
            </w:pPr>
            <w:r w:rsidRPr="008D54A5">
              <w:t>O</w:t>
            </w:r>
            <w:r w:rsidR="0082294B" w:rsidRPr="008D54A5">
              <w:t>P</w:t>
            </w:r>
            <w:r w:rsidRPr="008D54A5">
              <w:t>1</w:t>
            </w:r>
          </w:p>
        </w:tc>
        <w:tc>
          <w:tcPr>
            <w:tcW w:w="7774" w:type="dxa"/>
          </w:tcPr>
          <w:p w14:paraId="192EAB45" w14:textId="481D6B92" w:rsidR="005966CE" w:rsidRPr="008D54A5" w:rsidRDefault="00F66AD2">
            <w:pPr>
              <w:spacing w:before="20" w:after="20"/>
            </w:pPr>
            <w:r w:rsidRPr="008D54A5">
              <w:t xml:space="preserve">Option </w:t>
            </w:r>
            <w:r w:rsidR="0082294B" w:rsidRPr="008D54A5">
              <w:t xml:space="preserve">Period </w:t>
            </w:r>
            <w:r w:rsidRPr="008D54A5">
              <w:t xml:space="preserve">1. MEPS MPC Contract Term. </w:t>
            </w:r>
            <w:r w:rsidR="00632BAC" w:rsidRPr="008D54A5">
              <w:t>Also,</w:t>
            </w:r>
            <w:r w:rsidRPr="008D54A5">
              <w:t xml:space="preserve"> referred to as </w:t>
            </w:r>
            <w:r w:rsidR="00B246A7" w:rsidRPr="008D54A5">
              <w:t>2021</w:t>
            </w:r>
            <w:r w:rsidRPr="008D54A5">
              <w:t>.</w:t>
            </w:r>
          </w:p>
        </w:tc>
      </w:tr>
      <w:tr w:rsidR="00E15BB3" w:rsidRPr="008D54A5" w14:paraId="6D0FA0BD" w14:textId="77777777" w:rsidTr="00E129F5">
        <w:tc>
          <w:tcPr>
            <w:tcW w:w="1560" w:type="dxa"/>
          </w:tcPr>
          <w:p w14:paraId="2C9E482C" w14:textId="78194E9A" w:rsidR="00E15BB3" w:rsidRPr="008D54A5" w:rsidRDefault="00E15BB3" w:rsidP="00E517C1">
            <w:pPr>
              <w:spacing w:before="20" w:after="20"/>
            </w:pPr>
            <w:r w:rsidRPr="008D54A5">
              <w:t>OP2</w:t>
            </w:r>
          </w:p>
        </w:tc>
        <w:tc>
          <w:tcPr>
            <w:tcW w:w="7774" w:type="dxa"/>
          </w:tcPr>
          <w:p w14:paraId="4F4389F0" w14:textId="5B8CC178" w:rsidR="00E15BB3" w:rsidRPr="008D54A5" w:rsidRDefault="00E15BB3">
            <w:pPr>
              <w:spacing w:before="20" w:after="20"/>
            </w:pPr>
            <w:r w:rsidRPr="008D54A5">
              <w:t>Option Period 2. MEPS MPC Contract Term. Also, referred to as 2022.</w:t>
            </w:r>
          </w:p>
        </w:tc>
      </w:tr>
      <w:tr w:rsidR="00741541" w:rsidRPr="008D54A5" w14:paraId="39F22A02" w14:textId="77777777" w:rsidTr="00E129F5">
        <w:tc>
          <w:tcPr>
            <w:tcW w:w="1560" w:type="dxa"/>
          </w:tcPr>
          <w:p w14:paraId="1A07BFBD" w14:textId="77777777" w:rsidR="00741541" w:rsidRPr="008D54A5" w:rsidRDefault="00741541" w:rsidP="00741541">
            <w:pPr>
              <w:spacing w:before="20" w:after="20"/>
            </w:pPr>
            <w:r w:rsidRPr="008D54A5">
              <w:t>PA</w:t>
            </w:r>
          </w:p>
        </w:tc>
        <w:tc>
          <w:tcPr>
            <w:tcW w:w="7774" w:type="dxa"/>
          </w:tcPr>
          <w:p w14:paraId="36536FBB" w14:textId="187E1A9B" w:rsidR="00741541" w:rsidRPr="008D54A5" w:rsidRDefault="00741541" w:rsidP="00741541">
            <w:pPr>
              <w:spacing w:before="20" w:after="20"/>
            </w:pPr>
            <w:r w:rsidRPr="008D54A5">
              <w:t>Patient Accounts</w:t>
            </w:r>
          </w:p>
        </w:tc>
      </w:tr>
      <w:tr w:rsidR="00741541" w:rsidRPr="008D54A5" w14:paraId="6F87C47F" w14:textId="77777777" w:rsidTr="00E129F5">
        <w:tc>
          <w:tcPr>
            <w:tcW w:w="1560" w:type="dxa"/>
          </w:tcPr>
          <w:p w14:paraId="122F3FDC" w14:textId="66DECC33" w:rsidR="00741541" w:rsidRPr="008D54A5" w:rsidRDefault="00741541" w:rsidP="00741541">
            <w:pPr>
              <w:spacing w:before="20" w:after="20"/>
            </w:pPr>
            <w:r w:rsidRPr="008D54A5">
              <w:t>PHAR</w:t>
            </w:r>
          </w:p>
        </w:tc>
        <w:tc>
          <w:tcPr>
            <w:tcW w:w="7774" w:type="dxa"/>
          </w:tcPr>
          <w:p w14:paraId="39B1A806" w14:textId="3C7F26B8" w:rsidR="00741541" w:rsidRPr="008D54A5" w:rsidRDefault="00741541" w:rsidP="00741541">
            <w:pPr>
              <w:spacing w:before="20" w:after="20"/>
            </w:pPr>
            <w:r w:rsidRPr="008D54A5">
              <w:t>Pharmacy component or event form</w:t>
            </w:r>
          </w:p>
        </w:tc>
      </w:tr>
      <w:tr w:rsidR="00741541" w:rsidRPr="008D54A5" w14:paraId="4EE441BE" w14:textId="77777777" w:rsidTr="00E129F5">
        <w:tc>
          <w:tcPr>
            <w:tcW w:w="1560" w:type="dxa"/>
          </w:tcPr>
          <w:p w14:paraId="1A4256BC" w14:textId="77777777" w:rsidR="00741541" w:rsidRPr="008D54A5" w:rsidRDefault="00741541" w:rsidP="00741541">
            <w:pPr>
              <w:spacing w:before="20" w:after="20"/>
            </w:pPr>
            <w:r w:rsidRPr="008D54A5">
              <w:t>POC</w:t>
            </w:r>
          </w:p>
        </w:tc>
        <w:tc>
          <w:tcPr>
            <w:tcW w:w="7774" w:type="dxa"/>
          </w:tcPr>
          <w:p w14:paraId="7E063320" w14:textId="4E579A67" w:rsidR="00741541" w:rsidRPr="008D54A5" w:rsidRDefault="00741541" w:rsidP="00741541">
            <w:pPr>
              <w:spacing w:before="20" w:after="20"/>
            </w:pPr>
            <w:r w:rsidRPr="008D54A5">
              <w:t>Point of Contact</w:t>
            </w:r>
          </w:p>
        </w:tc>
      </w:tr>
      <w:tr w:rsidR="00741541" w:rsidRPr="008D54A5" w14:paraId="3D829BF2" w14:textId="77777777" w:rsidTr="00E129F5">
        <w:tc>
          <w:tcPr>
            <w:tcW w:w="1560" w:type="dxa"/>
          </w:tcPr>
          <w:p w14:paraId="6D28B789" w14:textId="2307DCC3" w:rsidR="00741541" w:rsidRPr="008D54A5" w:rsidRDefault="00741541" w:rsidP="00741541">
            <w:pPr>
              <w:spacing w:before="20" w:after="20"/>
            </w:pPr>
            <w:r w:rsidRPr="008D54A5">
              <w:lastRenderedPageBreak/>
              <w:t>QC</w:t>
            </w:r>
          </w:p>
        </w:tc>
        <w:tc>
          <w:tcPr>
            <w:tcW w:w="7774" w:type="dxa"/>
          </w:tcPr>
          <w:p w14:paraId="4E16031F" w14:textId="2A0972BD" w:rsidR="00741541" w:rsidRPr="008D54A5" w:rsidRDefault="00741541" w:rsidP="00741541">
            <w:pPr>
              <w:spacing w:before="20" w:after="20"/>
            </w:pPr>
            <w:r w:rsidRPr="008D54A5">
              <w:t>Quality Control</w:t>
            </w:r>
          </w:p>
        </w:tc>
      </w:tr>
      <w:tr w:rsidR="00741541" w:rsidRPr="008D54A5" w14:paraId="74637566" w14:textId="77777777" w:rsidTr="00E129F5">
        <w:tc>
          <w:tcPr>
            <w:tcW w:w="1560" w:type="dxa"/>
          </w:tcPr>
          <w:p w14:paraId="25BAFE40" w14:textId="77777777" w:rsidR="00741541" w:rsidRPr="008D54A5" w:rsidRDefault="00741541" w:rsidP="00741541">
            <w:pPr>
              <w:spacing w:before="20" w:after="20"/>
            </w:pPr>
            <w:r w:rsidRPr="008D54A5">
              <w:t>RAPS</w:t>
            </w:r>
          </w:p>
        </w:tc>
        <w:tc>
          <w:tcPr>
            <w:tcW w:w="7774" w:type="dxa"/>
          </w:tcPr>
          <w:p w14:paraId="11B8AA21" w14:textId="118709C1" w:rsidR="00741541" w:rsidRPr="008D54A5" w:rsidRDefault="00741541" w:rsidP="00741541">
            <w:pPr>
              <w:spacing w:before="20" w:after="20"/>
            </w:pPr>
            <w:r w:rsidRPr="008D54A5">
              <w:t>Radiologist, Anesthesiologist, Pathologist, Surgeon</w:t>
            </w:r>
          </w:p>
        </w:tc>
      </w:tr>
      <w:tr w:rsidR="00741541" w:rsidRPr="008D54A5" w14:paraId="057A7EA5" w14:textId="77777777" w:rsidTr="00E129F5">
        <w:tc>
          <w:tcPr>
            <w:tcW w:w="1560" w:type="dxa"/>
          </w:tcPr>
          <w:p w14:paraId="269BB9D9" w14:textId="77777777" w:rsidR="00741541" w:rsidRPr="008D54A5" w:rsidRDefault="00741541" w:rsidP="00741541">
            <w:pPr>
              <w:spacing w:before="20" w:after="20"/>
            </w:pPr>
            <w:r w:rsidRPr="008D54A5">
              <w:t>SBD</w:t>
            </w:r>
          </w:p>
        </w:tc>
        <w:tc>
          <w:tcPr>
            <w:tcW w:w="7774" w:type="dxa"/>
          </w:tcPr>
          <w:p w14:paraId="3F3593F9" w14:textId="656124BF" w:rsidR="00741541" w:rsidRPr="008D54A5" w:rsidRDefault="00741541" w:rsidP="00741541">
            <w:pPr>
              <w:spacing w:before="20" w:after="20"/>
            </w:pPr>
            <w:r w:rsidRPr="008D54A5">
              <w:t>Separately Billing Doctor</w:t>
            </w:r>
          </w:p>
        </w:tc>
      </w:tr>
      <w:tr w:rsidR="00741541" w:rsidRPr="008D54A5" w14:paraId="4F7F6F98" w14:textId="77777777" w:rsidTr="00E129F5">
        <w:tc>
          <w:tcPr>
            <w:tcW w:w="1560" w:type="dxa"/>
          </w:tcPr>
          <w:p w14:paraId="4759227C" w14:textId="3793E2C2" w:rsidR="00741541" w:rsidRPr="008D54A5" w:rsidRDefault="00741541" w:rsidP="00741541">
            <w:pPr>
              <w:spacing w:before="20" w:after="20"/>
            </w:pPr>
            <w:r w:rsidRPr="008D54A5">
              <w:t>SOP</w:t>
            </w:r>
          </w:p>
        </w:tc>
        <w:tc>
          <w:tcPr>
            <w:tcW w:w="7774" w:type="dxa"/>
          </w:tcPr>
          <w:p w14:paraId="418CBEC5" w14:textId="51489576" w:rsidR="00741541" w:rsidRPr="008D54A5" w:rsidRDefault="00741541" w:rsidP="00741541">
            <w:pPr>
              <w:spacing w:before="20" w:after="20"/>
            </w:pPr>
            <w:r w:rsidRPr="008D54A5">
              <w:t>Sources of Payment</w:t>
            </w:r>
          </w:p>
        </w:tc>
      </w:tr>
      <w:tr w:rsidR="00741541" w:rsidRPr="008D54A5" w14:paraId="5B5FE966" w14:textId="77777777" w:rsidTr="00E129F5">
        <w:tc>
          <w:tcPr>
            <w:tcW w:w="1560" w:type="dxa"/>
          </w:tcPr>
          <w:p w14:paraId="75C6F2A0" w14:textId="06F1606B" w:rsidR="00741541" w:rsidRPr="008D54A5" w:rsidRDefault="00741541" w:rsidP="00741541">
            <w:pPr>
              <w:spacing w:before="20" w:after="20"/>
            </w:pPr>
            <w:r w:rsidRPr="008D54A5">
              <w:t>VA</w:t>
            </w:r>
          </w:p>
        </w:tc>
        <w:tc>
          <w:tcPr>
            <w:tcW w:w="7774" w:type="dxa"/>
          </w:tcPr>
          <w:p w14:paraId="6C56DCC2" w14:textId="0780DA7E" w:rsidR="00741541" w:rsidRPr="008D54A5" w:rsidRDefault="00741541" w:rsidP="00741541">
            <w:pPr>
              <w:spacing w:before="20" w:after="20"/>
            </w:pPr>
            <w:r w:rsidRPr="008D54A5">
              <w:t>Veterans Affairs</w:t>
            </w:r>
          </w:p>
        </w:tc>
      </w:tr>
    </w:tbl>
    <w:p w14:paraId="66E906DD" w14:textId="0658F4B2" w:rsidR="00B513F2" w:rsidRPr="008D54A5" w:rsidRDefault="00B513F2" w:rsidP="00E517C1">
      <w:bookmarkStart w:id="1" w:name="_Toc256582624"/>
    </w:p>
    <w:p w14:paraId="1DB000D8" w14:textId="7523F36C" w:rsidR="00B14F7F" w:rsidRPr="008D54A5" w:rsidRDefault="00B14F7F">
      <w:r w:rsidRPr="008D54A5">
        <w:br w:type="page"/>
      </w:r>
    </w:p>
    <w:p w14:paraId="14B934AA" w14:textId="587D3CF4" w:rsidR="005B3FDF" w:rsidRPr="008D54A5" w:rsidRDefault="00F66AD2" w:rsidP="00975A4F">
      <w:pPr>
        <w:pStyle w:val="Heading1"/>
      </w:pPr>
      <w:bookmarkStart w:id="2" w:name="_Toc127287262"/>
      <w:bookmarkStart w:id="3" w:name="_Toc160529588"/>
      <w:bookmarkStart w:id="4" w:name="_Hlk36199717"/>
      <w:bookmarkStart w:id="5" w:name="_Toc189128076"/>
      <w:r w:rsidRPr="008D54A5">
        <w:lastRenderedPageBreak/>
        <w:t>Introduction</w:t>
      </w:r>
      <w:bookmarkEnd w:id="1"/>
      <w:bookmarkEnd w:id="2"/>
      <w:bookmarkEnd w:id="3"/>
      <w:bookmarkEnd w:id="5"/>
    </w:p>
    <w:p w14:paraId="20261236" w14:textId="0A139B6A" w:rsidR="00443422" w:rsidRPr="008D54A5" w:rsidRDefault="00F66AD2" w:rsidP="00E75D33">
      <w:pPr>
        <w:pStyle w:val="BodyText"/>
      </w:pPr>
      <w:r w:rsidRPr="008D54A5">
        <w:t xml:space="preserve">The Medical Expenditure Panel Survey (MEPS) Household Component (HC) collects detailed medical information about each person in the household, including the use of medical services. During the </w:t>
      </w:r>
      <w:r w:rsidR="00F42DDE" w:rsidRPr="008D54A5">
        <w:t xml:space="preserve">survey </w:t>
      </w:r>
      <w:r w:rsidRPr="008D54A5">
        <w:t>interview, information about medical providers is collected along with authorization to contact these providers in the Medical Provider Component (MPC) of the MEPS. The HC also collects additional information about services provided and information on the cost.</w:t>
      </w:r>
    </w:p>
    <w:p w14:paraId="6F955AC9" w14:textId="0A8968D6" w:rsidR="007F577A" w:rsidRPr="008D54A5" w:rsidRDefault="00F66AD2" w:rsidP="00E75D33">
      <w:pPr>
        <w:pStyle w:val="BodyText"/>
      </w:pPr>
      <w:r w:rsidRPr="008D54A5">
        <w:t xml:space="preserve">The MPC portion of MEPS is particularly important to estimating </w:t>
      </w:r>
      <w:r w:rsidR="003F504F" w:rsidRPr="008D54A5">
        <w:t>the</w:t>
      </w:r>
      <w:r w:rsidRPr="008D54A5">
        <w:t xml:space="preserve"> country</w:t>
      </w:r>
      <w:r w:rsidR="00356CD1" w:rsidRPr="008D54A5">
        <w:t>’</w:t>
      </w:r>
      <w:r w:rsidR="0037683A" w:rsidRPr="008D54A5">
        <w:t>s</w:t>
      </w:r>
      <w:r w:rsidRPr="008D54A5">
        <w:t xml:space="preserve"> healthcare costs because </w:t>
      </w:r>
      <w:r w:rsidR="00F42DDE" w:rsidRPr="008D54A5">
        <w:t>this</w:t>
      </w:r>
      <w:r w:rsidRPr="008D54A5">
        <w:t xml:space="preserve"> component of MEPS collect</w:t>
      </w:r>
      <w:r w:rsidR="00F42DDE" w:rsidRPr="008D54A5">
        <w:t>s</w:t>
      </w:r>
      <w:r w:rsidRPr="008D54A5">
        <w:t xml:space="preserve"> information on the charges and payments associated with each medical event for a sample of </w:t>
      </w:r>
      <w:r w:rsidR="000B724D" w:rsidRPr="008D54A5">
        <w:t>people</w:t>
      </w:r>
      <w:r w:rsidRPr="008D54A5">
        <w:t xml:space="preserve"> responding to the HC. Data from the MPC </w:t>
      </w:r>
      <w:r w:rsidR="005541AB" w:rsidRPr="008D54A5">
        <w:t>are</w:t>
      </w:r>
      <w:r w:rsidRPr="008D54A5">
        <w:t xml:space="preserve"> more accurate since the data come directly from provider files.</w:t>
      </w:r>
      <w:r w:rsidR="00452362" w:rsidRPr="008D54A5">
        <w:t xml:space="preserve"> </w:t>
      </w:r>
      <w:r w:rsidR="0037683A" w:rsidRPr="008D54A5">
        <w:t xml:space="preserve">This information is collected from the provider to </w:t>
      </w:r>
      <w:r w:rsidR="00D53F8B" w:rsidRPr="008D54A5">
        <w:t>minimize</w:t>
      </w:r>
      <w:r w:rsidR="0037683A" w:rsidRPr="008D54A5">
        <w:t xml:space="preserve"> the non</w:t>
      </w:r>
      <w:r w:rsidR="00167207" w:rsidRPr="008D54A5">
        <w:t>-</w:t>
      </w:r>
      <w:r w:rsidR="0037683A" w:rsidRPr="008D54A5">
        <w:t>sampling error (e.g.</w:t>
      </w:r>
      <w:r w:rsidR="00131970" w:rsidRPr="008D54A5">
        <w:t>,</w:t>
      </w:r>
      <w:r w:rsidRPr="008D54A5">
        <w:t xml:space="preserve"> recall error) that could exist if these data were collected solely from household respondents. Further</w:t>
      </w:r>
      <w:r w:rsidR="00952D6D" w:rsidRPr="008D54A5">
        <w:t>more</w:t>
      </w:r>
      <w:r w:rsidRPr="008D54A5">
        <w:t>, for most medical events, a person might not know or pay attention to the total charges and payments associated with a medical service, particularly since many payments come from other sources such as Medicare, Medicaid, and private insurance companies.</w:t>
      </w:r>
    </w:p>
    <w:p w14:paraId="4FC8C190" w14:textId="00114664" w:rsidR="007F577A" w:rsidRPr="008D54A5" w:rsidRDefault="00F66AD2" w:rsidP="00E75D33">
      <w:pPr>
        <w:pStyle w:val="BodyText"/>
      </w:pPr>
      <w:r w:rsidRPr="008D54A5">
        <w:t xml:space="preserve">After the MPC data are collected, the data are subjected to numerous edits and quality control (QC) checks before they are combined with the HC data. This stage of the processing helps to ensure the integrity and accuracy of the final estimates produced from MEPS. This process includes conducting basic edit checks and fill-ins, such as assigning missing codes to variables when appropriate, and cleaning the data to accurately reflect skip patterns in the instrument. Additionally, this process includes checking the distribution of key payment and charge variables. This check on the distributions is conducted to identify outliers and anomalous data, typically by comparing distributions against what was observed in previous MEPS </w:t>
      </w:r>
      <w:r w:rsidR="003D6A7B" w:rsidRPr="008D54A5">
        <w:t xml:space="preserve">MPC </w:t>
      </w:r>
      <w:r w:rsidR="004E081E" w:rsidRPr="008D54A5">
        <w:t>efforts</w:t>
      </w:r>
      <w:r w:rsidRPr="008D54A5">
        <w:t>. When outlier or anomalous data are detected, they are either edited programmatically or sent back to the data collection and abstraction staff for clarification.</w:t>
      </w:r>
    </w:p>
    <w:p w14:paraId="63B6848E" w14:textId="46216BE6" w:rsidR="00443422" w:rsidRPr="008D54A5" w:rsidRDefault="004E081E" w:rsidP="00E75D33">
      <w:pPr>
        <w:pStyle w:val="BodyText"/>
      </w:pPr>
      <w:r w:rsidRPr="008D54A5">
        <w:t>T</w:t>
      </w:r>
      <w:r w:rsidR="00F66AD2" w:rsidRPr="008D54A5">
        <w:t xml:space="preserve">o minimize the burden on providers, data are collected on all medical events for the survey reference year that are associated with each person in the HC subsample. A record matching process then occurs after the HC and MPC data are collected. The HC medical events for each patient are compared with complementary MPC medical events </w:t>
      </w:r>
      <w:r w:rsidRPr="008D54A5">
        <w:t xml:space="preserve">reported by the providers </w:t>
      </w:r>
      <w:r w:rsidR="00F66AD2" w:rsidRPr="008D54A5">
        <w:t xml:space="preserve">for the same patient. The </w:t>
      </w:r>
      <w:r w:rsidR="005541AB" w:rsidRPr="008D54A5">
        <w:t>goal</w:t>
      </w:r>
      <w:r w:rsidR="00F66AD2" w:rsidRPr="008D54A5">
        <w:t xml:space="preserve"> is to correctly link provider data with data collected in the HC by patient and medical event.</w:t>
      </w:r>
    </w:p>
    <w:p w14:paraId="6C083438" w14:textId="03A6B482" w:rsidR="00443422" w:rsidRPr="008D54A5" w:rsidRDefault="00F66AD2" w:rsidP="00E75D33">
      <w:pPr>
        <w:pStyle w:val="BodyText"/>
      </w:pPr>
      <w:r w:rsidRPr="008D54A5">
        <w:t xml:space="preserve">Unique identifiers that would allow a direct merge of the HC and MPC files do not exist. For example, </w:t>
      </w:r>
      <w:r w:rsidR="00742A37" w:rsidRPr="008D54A5">
        <w:t>because of</w:t>
      </w:r>
      <w:r w:rsidRPr="008D54A5">
        <w:t xml:space="preserve"> respondent recall error, the date of a particular medical event reported on the HC may differ slightly from the date </w:t>
      </w:r>
      <w:r w:rsidR="004E081E" w:rsidRPr="008D54A5">
        <w:t xml:space="preserve">the provider </w:t>
      </w:r>
      <w:r w:rsidRPr="008D54A5">
        <w:t>reported. Since unique identifiers of the reported events do not exist in a way that allow</w:t>
      </w:r>
      <w:r w:rsidR="004E081E" w:rsidRPr="008D54A5">
        <w:t>s</w:t>
      </w:r>
      <w:r w:rsidRPr="008D54A5">
        <w:t xml:space="preserve"> a direct linkage of HC and MPC records, a probabilistic matching approach is implemented. Several pre-matching steps are incorporated in the process to clean the data to facilitate matching. The likelihood of a match for each record is estimated, and a pair is classified as a match if the estimated likelihood exceeds a preset threshold.</w:t>
      </w:r>
    </w:p>
    <w:p w14:paraId="07F6905C" w14:textId="14FC2DAF" w:rsidR="00B45790" w:rsidRPr="008D54A5" w:rsidRDefault="00F66AD2" w:rsidP="00B45790">
      <w:pPr>
        <w:pStyle w:val="CommentText"/>
      </w:pPr>
      <w:r w:rsidRPr="008D54A5">
        <w:rPr>
          <w:sz w:val="24"/>
          <w:szCs w:val="24"/>
        </w:rPr>
        <w:lastRenderedPageBreak/>
        <w:t>Th</w:t>
      </w:r>
      <w:r w:rsidR="00351BF9" w:rsidRPr="008D54A5">
        <w:rPr>
          <w:sz w:val="24"/>
          <w:szCs w:val="24"/>
        </w:rPr>
        <w:t>is</w:t>
      </w:r>
      <w:r w:rsidRPr="008D54A5">
        <w:rPr>
          <w:sz w:val="24"/>
          <w:szCs w:val="24"/>
        </w:rPr>
        <w:t xml:space="preserve"> report serves two purposes. It summar</w:t>
      </w:r>
      <w:r w:rsidR="004E081E" w:rsidRPr="008D54A5">
        <w:rPr>
          <w:sz w:val="24"/>
          <w:szCs w:val="24"/>
        </w:rPr>
        <w:t>izes</w:t>
      </w:r>
      <w:r w:rsidRPr="008D54A5">
        <w:rPr>
          <w:sz w:val="24"/>
          <w:szCs w:val="24"/>
        </w:rPr>
        <w:t xml:space="preserve"> the data editing and matching processes conducted for the </w:t>
      </w:r>
      <w:r w:rsidR="00B246A7" w:rsidRPr="008D54A5">
        <w:rPr>
          <w:sz w:val="24"/>
          <w:szCs w:val="24"/>
        </w:rPr>
        <w:t>202</w:t>
      </w:r>
      <w:r w:rsidR="00B0786C" w:rsidRPr="008D54A5">
        <w:rPr>
          <w:sz w:val="24"/>
          <w:szCs w:val="24"/>
        </w:rPr>
        <w:t>2</w:t>
      </w:r>
      <w:r w:rsidR="00B246A7" w:rsidRPr="008D54A5">
        <w:rPr>
          <w:sz w:val="24"/>
          <w:szCs w:val="24"/>
        </w:rPr>
        <w:t xml:space="preserve"> </w:t>
      </w:r>
      <w:r w:rsidRPr="008D54A5">
        <w:rPr>
          <w:sz w:val="24"/>
          <w:szCs w:val="24"/>
        </w:rPr>
        <w:t>MPC. It also discuss</w:t>
      </w:r>
      <w:r w:rsidR="00841BF6" w:rsidRPr="008D54A5">
        <w:rPr>
          <w:sz w:val="24"/>
          <w:szCs w:val="24"/>
        </w:rPr>
        <w:t>es</w:t>
      </w:r>
      <w:r w:rsidRPr="008D54A5">
        <w:rPr>
          <w:sz w:val="24"/>
          <w:szCs w:val="24"/>
        </w:rPr>
        <w:t xml:space="preserve"> the plans for implementing these procedures for the </w:t>
      </w:r>
      <w:r w:rsidR="00BD6A70" w:rsidRPr="008D54A5">
        <w:rPr>
          <w:sz w:val="24"/>
          <w:szCs w:val="24"/>
        </w:rPr>
        <w:t>202</w:t>
      </w:r>
      <w:r w:rsidR="00B0786C" w:rsidRPr="008D54A5">
        <w:rPr>
          <w:sz w:val="24"/>
          <w:szCs w:val="24"/>
        </w:rPr>
        <w:t>3</w:t>
      </w:r>
      <w:r w:rsidR="00BD6A70" w:rsidRPr="008D54A5">
        <w:rPr>
          <w:sz w:val="24"/>
          <w:szCs w:val="24"/>
        </w:rPr>
        <w:t xml:space="preserve"> </w:t>
      </w:r>
      <w:r w:rsidRPr="008D54A5">
        <w:rPr>
          <w:sz w:val="24"/>
          <w:szCs w:val="24"/>
        </w:rPr>
        <w:t xml:space="preserve">MPC. With </w:t>
      </w:r>
      <w:r w:rsidR="00841BF6" w:rsidRPr="008D54A5">
        <w:rPr>
          <w:sz w:val="24"/>
          <w:szCs w:val="24"/>
        </w:rPr>
        <w:t xml:space="preserve">a </w:t>
      </w:r>
      <w:r w:rsidRPr="008D54A5">
        <w:rPr>
          <w:sz w:val="24"/>
          <w:szCs w:val="24"/>
        </w:rPr>
        <w:t xml:space="preserve">few exceptions, the </w:t>
      </w:r>
      <w:r w:rsidR="00BD6A70" w:rsidRPr="008D54A5">
        <w:rPr>
          <w:sz w:val="24"/>
          <w:szCs w:val="24"/>
        </w:rPr>
        <w:t>202</w:t>
      </w:r>
      <w:r w:rsidR="00B0786C" w:rsidRPr="008D54A5">
        <w:rPr>
          <w:sz w:val="24"/>
          <w:szCs w:val="24"/>
        </w:rPr>
        <w:t>3</w:t>
      </w:r>
      <w:r w:rsidR="00BD6A70" w:rsidRPr="008D54A5">
        <w:rPr>
          <w:sz w:val="24"/>
          <w:szCs w:val="24"/>
        </w:rPr>
        <w:t xml:space="preserve">2 </w:t>
      </w:r>
      <w:r w:rsidRPr="008D54A5">
        <w:rPr>
          <w:sz w:val="24"/>
          <w:szCs w:val="24"/>
        </w:rPr>
        <w:t xml:space="preserve">MPC </w:t>
      </w:r>
      <w:r w:rsidR="00841BF6" w:rsidRPr="008D54A5">
        <w:rPr>
          <w:sz w:val="24"/>
          <w:szCs w:val="24"/>
        </w:rPr>
        <w:t>will</w:t>
      </w:r>
      <w:r w:rsidRPr="008D54A5">
        <w:rPr>
          <w:sz w:val="24"/>
          <w:szCs w:val="24"/>
        </w:rPr>
        <w:t xml:space="preserve"> replicate the processes conducted </w:t>
      </w:r>
      <w:r w:rsidR="003664E2" w:rsidRPr="008D54A5">
        <w:rPr>
          <w:sz w:val="24"/>
          <w:szCs w:val="24"/>
        </w:rPr>
        <w:t>for</w:t>
      </w:r>
      <w:r w:rsidRPr="008D54A5">
        <w:rPr>
          <w:sz w:val="24"/>
          <w:szCs w:val="24"/>
        </w:rPr>
        <w:t xml:space="preserve"> the </w:t>
      </w:r>
      <w:r w:rsidR="00BD6A70" w:rsidRPr="008D54A5">
        <w:rPr>
          <w:sz w:val="24"/>
          <w:szCs w:val="24"/>
        </w:rPr>
        <w:t xml:space="preserve">2022 </w:t>
      </w:r>
      <w:r w:rsidRPr="008D54A5">
        <w:rPr>
          <w:sz w:val="24"/>
          <w:szCs w:val="24"/>
        </w:rPr>
        <w:t>MPC</w:t>
      </w:r>
      <w:r w:rsidR="003664E2" w:rsidRPr="008D54A5">
        <w:rPr>
          <w:sz w:val="24"/>
          <w:szCs w:val="24"/>
        </w:rPr>
        <w:t>,</w:t>
      </w:r>
      <w:r w:rsidRPr="008D54A5">
        <w:rPr>
          <w:sz w:val="24"/>
          <w:szCs w:val="24"/>
        </w:rPr>
        <w:t xml:space="preserve"> to preserve comparability between years and to keep the editing and matching processes as efficient as possible.</w:t>
      </w:r>
      <w:r w:rsidR="00A7788F" w:rsidRPr="008D54A5">
        <w:rPr>
          <w:sz w:val="24"/>
          <w:szCs w:val="24"/>
        </w:rPr>
        <w:t xml:space="preserve"> </w:t>
      </w:r>
      <w:r w:rsidR="00B45790" w:rsidRPr="008D54A5">
        <w:rPr>
          <w:sz w:val="24"/>
          <w:szCs w:val="24"/>
        </w:rPr>
        <w:t>In the 202</w:t>
      </w:r>
      <w:r w:rsidR="0033157C" w:rsidRPr="008D54A5">
        <w:rPr>
          <w:sz w:val="24"/>
          <w:szCs w:val="24"/>
        </w:rPr>
        <w:t>2</w:t>
      </w:r>
      <w:r w:rsidR="00B45790" w:rsidRPr="008D54A5">
        <w:rPr>
          <w:sz w:val="24"/>
          <w:szCs w:val="24"/>
        </w:rPr>
        <w:t xml:space="preserve"> MPC</w:t>
      </w:r>
      <w:r w:rsidR="0033157C" w:rsidRPr="008D54A5">
        <w:rPr>
          <w:sz w:val="24"/>
          <w:szCs w:val="24"/>
        </w:rPr>
        <w:t xml:space="preserve"> (as in the 202</w:t>
      </w:r>
      <w:r w:rsidR="00B0786C" w:rsidRPr="008D54A5">
        <w:rPr>
          <w:sz w:val="24"/>
          <w:szCs w:val="24"/>
        </w:rPr>
        <w:t>1</w:t>
      </w:r>
      <w:r w:rsidR="0033157C" w:rsidRPr="008D54A5">
        <w:rPr>
          <w:sz w:val="24"/>
          <w:szCs w:val="24"/>
        </w:rPr>
        <w:t xml:space="preserve"> MPC)</w:t>
      </w:r>
      <w:r w:rsidR="00B45790" w:rsidRPr="008D54A5">
        <w:rPr>
          <w:sz w:val="24"/>
          <w:szCs w:val="24"/>
        </w:rPr>
        <w:t xml:space="preserve">, when the only services received for an event were COVID-1 vaccines or test, any -1’s in the total charge were set to 0, and a flag was added to the file to indicate this edit. RTI will consult with </w:t>
      </w:r>
      <w:r w:rsidR="00163E7F" w:rsidRPr="008D54A5">
        <w:rPr>
          <w:sz w:val="24"/>
          <w:szCs w:val="24"/>
        </w:rPr>
        <w:t>A</w:t>
      </w:r>
      <w:r w:rsidR="00163E7F">
        <w:rPr>
          <w:sz w:val="24"/>
          <w:szCs w:val="24"/>
        </w:rPr>
        <w:t>HR</w:t>
      </w:r>
      <w:r w:rsidR="00163E7F" w:rsidRPr="008D54A5">
        <w:rPr>
          <w:sz w:val="24"/>
          <w:szCs w:val="24"/>
        </w:rPr>
        <w:t xml:space="preserve">Q </w:t>
      </w:r>
      <w:r w:rsidR="00B45790" w:rsidRPr="008D54A5">
        <w:rPr>
          <w:sz w:val="24"/>
          <w:szCs w:val="24"/>
        </w:rPr>
        <w:t xml:space="preserve">if we see similar situations in the </w:t>
      </w:r>
      <w:r w:rsidR="00ED3355" w:rsidRPr="008D54A5">
        <w:rPr>
          <w:sz w:val="24"/>
          <w:szCs w:val="24"/>
        </w:rPr>
        <w:t>202</w:t>
      </w:r>
      <w:r w:rsidR="00ED3355">
        <w:rPr>
          <w:sz w:val="24"/>
          <w:szCs w:val="24"/>
        </w:rPr>
        <w:t>3</w:t>
      </w:r>
      <w:r w:rsidR="00B45790" w:rsidRPr="008D54A5">
        <w:rPr>
          <w:sz w:val="24"/>
          <w:szCs w:val="24"/>
        </w:rPr>
        <w:t xml:space="preserve"> MPC.</w:t>
      </w:r>
      <w:r w:rsidR="00B240E6" w:rsidRPr="008D54A5">
        <w:rPr>
          <w:sz w:val="24"/>
          <w:szCs w:val="24"/>
        </w:rPr>
        <w:t xml:space="preserve"> Changes for the 2022</w:t>
      </w:r>
      <w:r w:rsidR="00AA45EE">
        <w:rPr>
          <w:sz w:val="24"/>
          <w:szCs w:val="24"/>
        </w:rPr>
        <w:t xml:space="preserve"> </w:t>
      </w:r>
      <w:r w:rsidR="0033157C" w:rsidRPr="008D54A5">
        <w:rPr>
          <w:sz w:val="24"/>
          <w:szCs w:val="24"/>
        </w:rPr>
        <w:t>MPC-HC</w:t>
      </w:r>
      <w:r w:rsidR="00B240E6" w:rsidRPr="008D54A5">
        <w:rPr>
          <w:sz w:val="24"/>
          <w:szCs w:val="24"/>
        </w:rPr>
        <w:t xml:space="preserve"> files and matching include a revision to the </w:t>
      </w:r>
      <w:r w:rsidR="0033157C" w:rsidRPr="008D54A5">
        <w:rPr>
          <w:sz w:val="24"/>
          <w:szCs w:val="24"/>
        </w:rPr>
        <w:t>CCSRMATCH variables</w:t>
      </w:r>
      <w:r w:rsidR="00907BD9" w:rsidRPr="008D54A5">
        <w:rPr>
          <w:sz w:val="24"/>
          <w:szCs w:val="24"/>
        </w:rPr>
        <w:t xml:space="preserve"> </w:t>
      </w:r>
      <w:r w:rsidR="00B240E6" w:rsidRPr="008D54A5">
        <w:rPr>
          <w:sz w:val="24"/>
          <w:szCs w:val="24"/>
        </w:rPr>
        <w:t xml:space="preserve">to expand the </w:t>
      </w:r>
      <w:r w:rsidR="00907BD9" w:rsidRPr="008D54A5">
        <w:rPr>
          <w:sz w:val="24"/>
          <w:szCs w:val="24"/>
        </w:rPr>
        <w:t>number of condition indicator</w:t>
      </w:r>
      <w:r w:rsidR="00B240E6" w:rsidRPr="008D54A5">
        <w:rPr>
          <w:sz w:val="24"/>
          <w:szCs w:val="24"/>
        </w:rPr>
        <w:t>s</w:t>
      </w:r>
      <w:r w:rsidR="00907BD9" w:rsidRPr="008D54A5">
        <w:rPr>
          <w:sz w:val="24"/>
          <w:szCs w:val="24"/>
        </w:rPr>
        <w:t xml:space="preserve"> </w:t>
      </w:r>
      <w:r w:rsidR="0033157C" w:rsidRPr="008D54A5">
        <w:rPr>
          <w:sz w:val="24"/>
          <w:szCs w:val="24"/>
        </w:rPr>
        <w:t xml:space="preserve">used </w:t>
      </w:r>
      <w:r w:rsidR="00907BD9" w:rsidRPr="008D54A5">
        <w:rPr>
          <w:sz w:val="24"/>
          <w:szCs w:val="24"/>
        </w:rPr>
        <w:t>as matching variables</w:t>
      </w:r>
      <w:r w:rsidR="00B240E6" w:rsidRPr="008D54A5">
        <w:rPr>
          <w:sz w:val="24"/>
          <w:szCs w:val="24"/>
        </w:rPr>
        <w:t xml:space="preserve"> and revisions to the arrays of BETOS variables</w:t>
      </w:r>
      <w:r w:rsidR="00533EA6">
        <w:rPr>
          <w:sz w:val="24"/>
          <w:szCs w:val="24"/>
        </w:rPr>
        <w:t>,</w:t>
      </w:r>
      <w:r w:rsidR="00B240E6" w:rsidRPr="008D54A5">
        <w:rPr>
          <w:sz w:val="24"/>
          <w:szCs w:val="24"/>
        </w:rPr>
        <w:t xml:space="preserve"> so</w:t>
      </w:r>
      <w:r w:rsidR="00533EA6">
        <w:rPr>
          <w:sz w:val="24"/>
          <w:szCs w:val="24"/>
        </w:rPr>
        <w:t xml:space="preserve"> that</w:t>
      </w:r>
      <w:r w:rsidR="00B240E6" w:rsidRPr="008D54A5">
        <w:rPr>
          <w:sz w:val="24"/>
          <w:szCs w:val="24"/>
        </w:rPr>
        <w:t xml:space="preserve"> there is a one</w:t>
      </w:r>
      <w:r w:rsidR="00AC3131">
        <w:rPr>
          <w:sz w:val="24"/>
          <w:szCs w:val="24"/>
        </w:rPr>
        <w:t>-</w:t>
      </w:r>
      <w:r w:rsidR="00B240E6" w:rsidRPr="008D54A5">
        <w:rPr>
          <w:sz w:val="24"/>
          <w:szCs w:val="24"/>
        </w:rPr>
        <w:t>to</w:t>
      </w:r>
      <w:r w:rsidR="00AC3131">
        <w:rPr>
          <w:sz w:val="24"/>
          <w:szCs w:val="24"/>
        </w:rPr>
        <w:t>-</w:t>
      </w:r>
      <w:r w:rsidR="00B240E6" w:rsidRPr="008D54A5">
        <w:rPr>
          <w:sz w:val="24"/>
          <w:szCs w:val="24"/>
        </w:rPr>
        <w:t>one correspondence with the CPT codes</w:t>
      </w:r>
      <w:r w:rsidR="00907BD9" w:rsidRPr="008D54A5">
        <w:rPr>
          <w:sz w:val="24"/>
          <w:szCs w:val="24"/>
        </w:rPr>
        <w:t>.</w:t>
      </w:r>
      <w:r w:rsidR="004E1824" w:rsidRPr="008D54A5">
        <w:rPr>
          <w:sz w:val="24"/>
          <w:szCs w:val="24"/>
        </w:rPr>
        <w:t xml:space="preserve"> </w:t>
      </w:r>
    </w:p>
    <w:p w14:paraId="485DD998" w14:textId="562984EE" w:rsidR="007F577A" w:rsidRPr="008D54A5" w:rsidRDefault="00F66AD2" w:rsidP="003664E2">
      <w:pPr>
        <w:pStyle w:val="BodyText"/>
      </w:pPr>
      <w:r w:rsidRPr="008D54A5">
        <w:t xml:space="preserve">In summary, input files from the </w:t>
      </w:r>
      <w:r w:rsidR="00FC19BF" w:rsidRPr="008D54A5">
        <w:t>data collection</w:t>
      </w:r>
      <w:r w:rsidR="001D3DB0" w:rsidRPr="008D54A5">
        <w:t xml:space="preserve"> </w:t>
      </w:r>
      <w:r w:rsidRPr="008D54A5">
        <w:t>software</w:t>
      </w:r>
      <w:r w:rsidR="00FC19BF" w:rsidRPr="008D54A5">
        <w:t xml:space="preserve"> system</w:t>
      </w:r>
      <w:r w:rsidRPr="008D54A5">
        <w:t xml:space="preserve">, </w:t>
      </w:r>
      <w:r w:rsidR="00841BF6" w:rsidRPr="008D54A5">
        <w:t>c</w:t>
      </w:r>
      <w:r w:rsidRPr="008D54A5">
        <w:t xml:space="preserve">ontrol </w:t>
      </w:r>
      <w:r w:rsidR="00841BF6" w:rsidRPr="008D54A5">
        <w:t>s</w:t>
      </w:r>
      <w:r w:rsidRPr="008D54A5">
        <w:t xml:space="preserve">ystem, and various frame files are </w:t>
      </w:r>
      <w:r w:rsidR="002C718B" w:rsidRPr="008D54A5">
        <w:t>read,</w:t>
      </w:r>
      <w:r w:rsidRPr="008D54A5">
        <w:t xml:space="preserve"> and an initial set of raw data files are constructed. </w:t>
      </w:r>
      <w:bookmarkStart w:id="6" w:name="_Hlk36123317"/>
      <w:r w:rsidRPr="008D54A5">
        <w:t>The raw data are partitioned into the Medical File data (</w:t>
      </w:r>
      <w:r w:rsidR="003D6A7B" w:rsidRPr="008D54A5">
        <w:t>H</w:t>
      </w:r>
      <w:r w:rsidR="00FD100B" w:rsidRPr="008D54A5">
        <w:t xml:space="preserve">ospital, </w:t>
      </w:r>
      <w:r w:rsidR="003D6A7B" w:rsidRPr="008D54A5">
        <w:t>I</w:t>
      </w:r>
      <w:r w:rsidR="00FD100B" w:rsidRPr="008D54A5">
        <w:t xml:space="preserve">nstitution, </w:t>
      </w:r>
      <w:r w:rsidR="00FD4B25" w:rsidRPr="008D54A5">
        <w:t>office-based doctor [</w:t>
      </w:r>
      <w:r w:rsidRPr="008D54A5">
        <w:t>OBD</w:t>
      </w:r>
      <w:r w:rsidR="00FD4B25" w:rsidRPr="008D54A5">
        <w:t>]</w:t>
      </w:r>
      <w:r w:rsidRPr="008D54A5">
        <w:t xml:space="preserve">, and </w:t>
      </w:r>
      <w:r w:rsidR="00FD100B" w:rsidRPr="008D54A5">
        <w:t>separately bill</w:t>
      </w:r>
      <w:r w:rsidR="0004314B" w:rsidRPr="008D54A5">
        <w:t>ing</w:t>
      </w:r>
      <w:r w:rsidR="00FD100B" w:rsidRPr="008D54A5">
        <w:t xml:space="preserve"> doctor</w:t>
      </w:r>
      <w:r w:rsidR="00DC2014" w:rsidRPr="008D54A5">
        <w:t xml:space="preserve"> [</w:t>
      </w:r>
      <w:r w:rsidRPr="008D54A5">
        <w:t>SBD</w:t>
      </w:r>
      <w:r w:rsidR="00DC2014" w:rsidRPr="008D54A5">
        <w:t>]</w:t>
      </w:r>
      <w:r w:rsidRPr="008D54A5">
        <w:t>) and Home Health/</w:t>
      </w:r>
      <w:r w:rsidR="00A71DA9" w:rsidRPr="008D54A5" w:rsidDel="00A71DA9">
        <w:t xml:space="preserve"> </w:t>
      </w:r>
      <w:r w:rsidRPr="008D54A5">
        <w:t xml:space="preserve">Home </w:t>
      </w:r>
      <w:r w:rsidR="00A71DA9" w:rsidRPr="008D54A5">
        <w:t>Non-</w:t>
      </w:r>
      <w:r w:rsidRPr="008D54A5">
        <w:t xml:space="preserve">Health </w:t>
      </w:r>
      <w:r w:rsidR="002F20AA" w:rsidRPr="008D54A5">
        <w:t>(</w:t>
      </w:r>
      <w:r w:rsidR="00841BF6" w:rsidRPr="008D54A5">
        <w:t>HH/NHH</w:t>
      </w:r>
      <w:r w:rsidR="002F20AA" w:rsidRPr="008D54A5">
        <w:t>)</w:t>
      </w:r>
      <w:r w:rsidR="00841BF6" w:rsidRPr="008D54A5">
        <w:t xml:space="preserve"> d</w:t>
      </w:r>
      <w:r w:rsidRPr="008D54A5">
        <w:t xml:space="preserve">ata files. </w:t>
      </w:r>
      <w:bookmarkEnd w:id="6"/>
      <w:r w:rsidRPr="008D54A5">
        <w:t xml:space="preserve">This </w:t>
      </w:r>
      <w:r w:rsidR="00841BF6" w:rsidRPr="008D54A5">
        <w:t xml:space="preserve">partitioning </w:t>
      </w:r>
      <w:r w:rsidRPr="008D54A5">
        <w:t>is done for efficiency purposes</w:t>
      </w:r>
      <w:r w:rsidR="00443422" w:rsidRPr="008D54A5">
        <w:t>—</w:t>
      </w:r>
      <w:r w:rsidRPr="008D54A5">
        <w:t xml:space="preserve">similar data are kept together </w:t>
      </w:r>
      <w:r w:rsidR="00841BF6" w:rsidRPr="008D54A5">
        <w:t>i</w:t>
      </w:r>
      <w:r w:rsidRPr="008D54A5">
        <w:t xml:space="preserve">n the same file since they need to </w:t>
      </w:r>
      <w:r w:rsidR="00841BF6" w:rsidRPr="008D54A5">
        <w:t>undergo</w:t>
      </w:r>
      <w:r w:rsidRPr="008D54A5">
        <w:t xml:space="preserve"> similar phases of editing. For example, the </w:t>
      </w:r>
      <w:r w:rsidR="003D6A7B" w:rsidRPr="008D54A5">
        <w:t>H</w:t>
      </w:r>
      <w:r w:rsidR="00F82465" w:rsidRPr="008D54A5">
        <w:t xml:space="preserve">ospital, </w:t>
      </w:r>
      <w:r w:rsidR="003D6A7B" w:rsidRPr="008D54A5">
        <w:t>I</w:t>
      </w:r>
      <w:r w:rsidR="00F82465" w:rsidRPr="008D54A5">
        <w:t>nstitution</w:t>
      </w:r>
      <w:r w:rsidRPr="008D54A5">
        <w:t xml:space="preserve">, OBD, and SBD event forms ask for the same data </w:t>
      </w:r>
      <w:r w:rsidR="00241514" w:rsidRPr="008D54A5">
        <w:t>(</w:t>
      </w:r>
      <w:r w:rsidRPr="008D54A5">
        <w:t>i.e., charges, payment, and reasons</w:t>
      </w:r>
      <w:r w:rsidR="00F165BF" w:rsidRPr="008D54A5">
        <w:t xml:space="preserve"> </w:t>
      </w:r>
      <w:r w:rsidRPr="008D54A5">
        <w:t>for</w:t>
      </w:r>
      <w:r w:rsidR="00F165BF" w:rsidRPr="008D54A5">
        <w:t xml:space="preserve"> </w:t>
      </w:r>
      <w:r w:rsidRPr="008D54A5">
        <w:t>discrepancy</w:t>
      </w:r>
      <w:r w:rsidR="00241514" w:rsidRPr="008D54A5">
        <w:t>)</w:t>
      </w:r>
      <w:r w:rsidRPr="008D54A5">
        <w:t xml:space="preserve">. </w:t>
      </w:r>
      <w:r w:rsidR="00841BF6" w:rsidRPr="008D54A5">
        <w:t>Thus</w:t>
      </w:r>
      <w:r w:rsidRPr="008D54A5">
        <w:t>, data from all three sources are processed together so that their charge, payment, and reason-for-discrepancy data items are edited consistent</w:t>
      </w:r>
      <w:r w:rsidR="00841BF6" w:rsidRPr="008D54A5">
        <w:t>ly</w:t>
      </w:r>
      <w:r w:rsidRPr="008D54A5">
        <w:t xml:space="preserve"> and efficient</w:t>
      </w:r>
      <w:r w:rsidR="00841BF6" w:rsidRPr="008D54A5">
        <w:t>ly</w:t>
      </w:r>
      <w:r w:rsidRPr="008D54A5">
        <w:t xml:space="preserve">. After the data are edited, they are split back into their component parts, the </w:t>
      </w:r>
      <w:r w:rsidR="002D3451" w:rsidRPr="008D54A5">
        <w:t>MPC-HC</w:t>
      </w:r>
      <w:r w:rsidRPr="008D54A5">
        <w:t xml:space="preserve"> matching phase occurs, and the final files are produced and sent to AHRQ for subsequent processing by other contractors. </w:t>
      </w:r>
    </w:p>
    <w:bookmarkEnd w:id="4"/>
    <w:p w14:paraId="537171F0" w14:textId="4BAD3E87" w:rsidR="00824A68" w:rsidRPr="008D54A5" w:rsidRDefault="00F66AD2" w:rsidP="006A7075">
      <w:pPr>
        <w:rPr>
          <w:szCs w:val="24"/>
        </w:rPr>
      </w:pPr>
      <w:r w:rsidRPr="008D54A5">
        <w:rPr>
          <w:szCs w:val="24"/>
        </w:rPr>
        <w:br w:type="page"/>
      </w:r>
    </w:p>
    <w:p w14:paraId="689806BD" w14:textId="75B0B71E" w:rsidR="00B14F7F" w:rsidRPr="008D54A5" w:rsidRDefault="00B14F7F">
      <w:pPr>
        <w:rPr>
          <w:rFonts w:eastAsia="Calibri"/>
          <w:sz w:val="18"/>
          <w:szCs w:val="24"/>
        </w:rPr>
      </w:pPr>
    </w:p>
    <w:p w14:paraId="6F52E509" w14:textId="242DD869" w:rsidR="00BF54DE" w:rsidRPr="008D54A5" w:rsidRDefault="00BF54DE" w:rsidP="00975A4F">
      <w:pPr>
        <w:pStyle w:val="Heading1"/>
      </w:pPr>
      <w:bookmarkStart w:id="7" w:name="_Toc319492908"/>
      <w:bookmarkStart w:id="8" w:name="_Toc127287263"/>
      <w:bookmarkStart w:id="9" w:name="_Toc160529589"/>
      <w:bookmarkStart w:id="10" w:name="_Hlk36199822"/>
      <w:bookmarkStart w:id="11" w:name="_Toc189128077"/>
      <w:r w:rsidRPr="008D54A5">
        <w:t xml:space="preserve">Preparing </w:t>
      </w:r>
      <w:r w:rsidR="004C372A" w:rsidRPr="008D54A5">
        <w:t>202</w:t>
      </w:r>
      <w:r w:rsidR="00374826" w:rsidRPr="008D54A5">
        <w:t>2</w:t>
      </w:r>
      <w:r w:rsidR="004C372A" w:rsidRPr="008D54A5">
        <w:t xml:space="preserve"> </w:t>
      </w:r>
      <w:r w:rsidRPr="008D54A5">
        <w:t>MPC Files for Editing</w:t>
      </w:r>
      <w:bookmarkEnd w:id="7"/>
      <w:bookmarkEnd w:id="8"/>
      <w:bookmarkEnd w:id="9"/>
      <w:bookmarkEnd w:id="11"/>
    </w:p>
    <w:p w14:paraId="5A297737" w14:textId="4CFC1B13" w:rsidR="00BF54DE" w:rsidRPr="008D54A5" w:rsidRDefault="00BF54DE" w:rsidP="00BF54DE">
      <w:pPr>
        <w:pStyle w:val="BodyText"/>
      </w:pPr>
      <w:bookmarkStart w:id="12" w:name="_Toc319492909"/>
      <w:r w:rsidRPr="008D54A5">
        <w:t xml:space="preserve">The following section discusses the process of preparing the data files for editing. </w:t>
      </w:r>
      <w:r w:rsidR="00632BAC" w:rsidRPr="008D54A5">
        <w:t>Also</w:t>
      </w:r>
      <w:r w:rsidRPr="008D54A5">
        <w:t xml:space="preserve"> included in this section is a summary of the identifier (ID) variables. </w:t>
      </w:r>
      <w:r w:rsidR="00C05988" w:rsidRPr="008D54A5">
        <w:t>Because of</w:t>
      </w:r>
      <w:r w:rsidRPr="008D54A5">
        <w:t xml:space="preserve"> the hierarch</w:t>
      </w:r>
      <w:r w:rsidR="00C05988" w:rsidRPr="008D54A5">
        <w:t>y</w:t>
      </w:r>
      <w:r w:rsidRPr="008D54A5">
        <w:t xml:space="preserve"> of the </w:t>
      </w:r>
      <w:r w:rsidR="00F61DE1" w:rsidRPr="008D54A5">
        <w:t>Medical Expenditure Panel Survey (</w:t>
      </w:r>
      <w:r w:rsidRPr="008D54A5">
        <w:t>MEPS</w:t>
      </w:r>
      <w:r w:rsidR="00F61DE1" w:rsidRPr="008D54A5">
        <w:t>)</w:t>
      </w:r>
      <w:r w:rsidRPr="008D54A5">
        <w:t xml:space="preserve"> data, IDs are assigned at the contact group,</w:t>
      </w:r>
      <w:r w:rsidRPr="008D54A5">
        <w:rPr>
          <w:rStyle w:val="FootnoteReference"/>
        </w:rPr>
        <w:footnoteReference w:id="1"/>
      </w:r>
      <w:r w:rsidRPr="008D54A5">
        <w:t xml:space="preserve"> provider, patient, event, and encounter (for </w:t>
      </w:r>
      <w:r w:rsidR="002E47C0" w:rsidRPr="008D54A5">
        <w:t>separately billing doctors [</w:t>
      </w:r>
      <w:r w:rsidRPr="008D54A5">
        <w:t>SBDs</w:t>
      </w:r>
      <w:r w:rsidR="002E47C0" w:rsidRPr="008D54A5">
        <w:t>]</w:t>
      </w:r>
      <w:r w:rsidRPr="008D54A5">
        <w:t>) levels.</w:t>
      </w:r>
    </w:p>
    <w:p w14:paraId="03CF5705" w14:textId="04F67DFA" w:rsidR="00BF54DE" w:rsidRPr="008D54A5" w:rsidRDefault="00BF54DE" w:rsidP="00DD4425">
      <w:pPr>
        <w:pStyle w:val="Heading2"/>
      </w:pPr>
      <w:bookmarkStart w:id="13" w:name="_Toc127287264"/>
      <w:bookmarkStart w:id="14" w:name="_Toc160529590"/>
      <w:bookmarkStart w:id="15" w:name="_Toc189128078"/>
      <w:r w:rsidRPr="008D54A5">
        <w:t xml:space="preserve">Merging </w:t>
      </w:r>
      <w:r w:rsidR="000A545C" w:rsidRPr="008D54A5">
        <w:t>Blaise</w:t>
      </w:r>
      <w:r w:rsidRPr="008D54A5">
        <w:t>, Control File</w:t>
      </w:r>
      <w:r w:rsidR="00C05988" w:rsidRPr="008D54A5">
        <w:t>,</w:t>
      </w:r>
      <w:r w:rsidRPr="008D54A5">
        <w:t xml:space="preserve"> and Frame Data</w:t>
      </w:r>
      <w:bookmarkEnd w:id="12"/>
      <w:bookmarkEnd w:id="13"/>
      <w:bookmarkEnd w:id="14"/>
      <w:bookmarkEnd w:id="15"/>
    </w:p>
    <w:p w14:paraId="444A0CB8" w14:textId="5DA406EF" w:rsidR="00BF54DE" w:rsidRPr="008D54A5" w:rsidRDefault="00BF54DE" w:rsidP="00BF54DE">
      <w:pPr>
        <w:pStyle w:val="BodyText"/>
      </w:pPr>
      <w:r w:rsidRPr="008D54A5">
        <w:t xml:space="preserve">The initial step in preparing the </w:t>
      </w:r>
      <w:r w:rsidR="00374826" w:rsidRPr="008D54A5">
        <w:t xml:space="preserve">2022 </w:t>
      </w:r>
      <w:r w:rsidR="00F61DE1" w:rsidRPr="008D54A5">
        <w:t>Medical Provider Component (</w:t>
      </w:r>
      <w:r w:rsidRPr="008D54A5">
        <w:t>MPC</w:t>
      </w:r>
      <w:r w:rsidR="00F61DE1" w:rsidRPr="008D54A5">
        <w:t>)</w:t>
      </w:r>
      <w:r w:rsidRPr="008D54A5">
        <w:t xml:space="preserve"> files for editing </w:t>
      </w:r>
      <w:r w:rsidR="00290097" w:rsidRPr="008D54A5">
        <w:t xml:space="preserve">was </w:t>
      </w:r>
      <w:r w:rsidRPr="008D54A5">
        <w:t>to combine various files</w:t>
      </w:r>
      <w:r w:rsidR="00FC19BF" w:rsidRPr="008D54A5">
        <w:t xml:space="preserve"> from the data collection system</w:t>
      </w:r>
      <w:r w:rsidRPr="008D54A5">
        <w:t xml:space="preserve">. </w:t>
      </w:r>
      <w:r w:rsidR="00C05988" w:rsidRPr="008D54A5">
        <w:t xml:space="preserve">Data collection staff </w:t>
      </w:r>
      <w:r w:rsidR="00200CEC" w:rsidRPr="008D54A5">
        <w:t xml:space="preserve">(DCS) </w:t>
      </w:r>
      <w:r w:rsidR="00C05988" w:rsidRPr="008D54A5">
        <w:t>use</w:t>
      </w:r>
      <w:r w:rsidR="00290097" w:rsidRPr="008D54A5">
        <w:t>d</w:t>
      </w:r>
      <w:r w:rsidR="00C05988" w:rsidRPr="008D54A5">
        <w:t xml:space="preserve"> </w:t>
      </w:r>
      <w:r w:rsidR="000A545C" w:rsidRPr="008D54A5">
        <w:rPr>
          <w:b/>
        </w:rPr>
        <w:t>Blaise</w:t>
      </w:r>
      <w:r w:rsidR="00C05988" w:rsidRPr="008D54A5">
        <w:t xml:space="preserve"> (</w:t>
      </w:r>
      <w:r w:rsidR="00FC19BF" w:rsidRPr="008D54A5">
        <w:t xml:space="preserve">the </w:t>
      </w:r>
      <w:r w:rsidRPr="008D54A5">
        <w:t>data collection system</w:t>
      </w:r>
      <w:r w:rsidR="00FC19BF" w:rsidRPr="008D54A5">
        <w:t xml:space="preserve"> used for the MEPS</w:t>
      </w:r>
      <w:r w:rsidR="00F61DE1" w:rsidRPr="008D54A5">
        <w:t xml:space="preserve"> </w:t>
      </w:r>
      <w:r w:rsidR="00FC19BF" w:rsidRPr="008D54A5">
        <w:t>MPC</w:t>
      </w:r>
      <w:r w:rsidR="00C05988" w:rsidRPr="008D54A5">
        <w:t>)</w:t>
      </w:r>
      <w:r w:rsidRPr="008D54A5">
        <w:t xml:space="preserve"> during telephone contacts with respondents and to </w:t>
      </w:r>
      <w:r w:rsidR="00204C3E" w:rsidRPr="008D54A5">
        <w:t>enter</w:t>
      </w:r>
      <w:r w:rsidRPr="008D54A5">
        <w:t xml:space="preserve"> data </w:t>
      </w:r>
      <w:r w:rsidR="00204C3E" w:rsidRPr="008D54A5">
        <w:t xml:space="preserve">from records </w:t>
      </w:r>
      <w:r w:rsidRPr="008D54A5">
        <w:t xml:space="preserve">after data abstraction. The output files from this system are </w:t>
      </w:r>
      <w:r w:rsidR="00EF3642" w:rsidRPr="008D54A5">
        <w:t>known</w:t>
      </w:r>
      <w:r w:rsidRPr="008D54A5">
        <w:t xml:space="preserve"> as the </w:t>
      </w:r>
      <w:r w:rsidR="000A545C" w:rsidRPr="008D54A5">
        <w:rPr>
          <w:b/>
        </w:rPr>
        <w:t>Blaise</w:t>
      </w:r>
      <w:r w:rsidRPr="008D54A5">
        <w:rPr>
          <w:b/>
        </w:rPr>
        <w:t xml:space="preserve"> </w:t>
      </w:r>
      <w:r w:rsidR="00431567" w:rsidRPr="008D54A5">
        <w:rPr>
          <w:b/>
        </w:rPr>
        <w:t>f</w:t>
      </w:r>
      <w:r w:rsidRPr="008D54A5">
        <w:rPr>
          <w:b/>
        </w:rPr>
        <w:t>iles</w:t>
      </w:r>
      <w:r w:rsidR="00EF3642" w:rsidRPr="008D54A5">
        <w:t>, which</w:t>
      </w:r>
      <w:r w:rsidRPr="008D54A5">
        <w:t xml:space="preserve"> include</w:t>
      </w:r>
      <w:r w:rsidR="00547C04" w:rsidRPr="008D54A5">
        <w:t xml:space="preserve"> the following: </w:t>
      </w:r>
    </w:p>
    <w:tbl>
      <w:tblPr>
        <w:tblW w:w="0" w:type="auto"/>
        <w:tblLook w:val="04A0" w:firstRow="1" w:lastRow="0" w:firstColumn="1" w:lastColumn="0" w:noHBand="0" w:noVBand="1"/>
      </w:tblPr>
      <w:tblGrid>
        <w:gridCol w:w="4675"/>
        <w:gridCol w:w="4675"/>
      </w:tblGrid>
      <w:tr w:rsidR="00DC45E7" w:rsidRPr="008D54A5" w14:paraId="0693F915" w14:textId="77777777" w:rsidTr="00A25020">
        <w:tc>
          <w:tcPr>
            <w:tcW w:w="4675" w:type="dxa"/>
          </w:tcPr>
          <w:p w14:paraId="7785D534" w14:textId="2D70195E" w:rsidR="00DC45E7" w:rsidRPr="008D54A5" w:rsidRDefault="00DC45E7" w:rsidP="00DC45E7">
            <w:pPr>
              <w:pStyle w:val="bullets"/>
            </w:pPr>
            <w:r w:rsidRPr="008D54A5">
              <w:t>Hospital file</w:t>
            </w:r>
          </w:p>
          <w:p w14:paraId="64511B75" w14:textId="496DC993" w:rsidR="00DC45E7" w:rsidRPr="008D54A5" w:rsidRDefault="00DC45E7" w:rsidP="00DC45E7">
            <w:pPr>
              <w:pStyle w:val="bullets"/>
            </w:pPr>
            <w:r w:rsidRPr="008D54A5">
              <w:t>Office-based doctor (OBD) file</w:t>
            </w:r>
          </w:p>
          <w:p w14:paraId="1697432E" w14:textId="7A9B6F14" w:rsidR="00DC45E7" w:rsidRPr="008D54A5" w:rsidRDefault="00DC45E7" w:rsidP="00DC45E7">
            <w:pPr>
              <w:pStyle w:val="bullets"/>
            </w:pPr>
            <w:r w:rsidRPr="008D54A5">
              <w:t>SBD file</w:t>
            </w:r>
          </w:p>
          <w:p w14:paraId="3DA93CAB" w14:textId="77777777" w:rsidR="00DC45E7" w:rsidRPr="008D54A5" w:rsidRDefault="00DC45E7" w:rsidP="00DC45E7">
            <w:pPr>
              <w:pStyle w:val="bullets"/>
            </w:pPr>
            <w:r w:rsidRPr="008D54A5">
              <w:t>Pharmacy file</w:t>
            </w:r>
          </w:p>
          <w:p w14:paraId="751C6BB5" w14:textId="48025CB7" w:rsidR="00DC45E7" w:rsidRPr="008D54A5" w:rsidRDefault="00DC45E7" w:rsidP="00DC45E7">
            <w:pPr>
              <w:pStyle w:val="bullets"/>
            </w:pPr>
            <w:r w:rsidRPr="008D54A5">
              <w:t>Institution file</w:t>
            </w:r>
          </w:p>
        </w:tc>
        <w:tc>
          <w:tcPr>
            <w:tcW w:w="4675" w:type="dxa"/>
          </w:tcPr>
          <w:p w14:paraId="42288294" w14:textId="39A05201" w:rsidR="00DC45E7" w:rsidRPr="008D54A5" w:rsidRDefault="00DC45E7" w:rsidP="00DC45E7">
            <w:pPr>
              <w:pStyle w:val="bullets-2col"/>
            </w:pPr>
            <w:r w:rsidRPr="008D54A5">
              <w:t>Home Health (HH) file, also referred to as the Home Care Health (HCH) file</w:t>
            </w:r>
          </w:p>
          <w:p w14:paraId="26758C4C" w14:textId="31B688ED" w:rsidR="00DC45E7" w:rsidRPr="008D54A5" w:rsidRDefault="00DC45E7" w:rsidP="00DC45E7">
            <w:pPr>
              <w:pStyle w:val="bullets-2col"/>
            </w:pPr>
            <w:r w:rsidRPr="008D54A5">
              <w:t>Home Non-Health (NHH) file, also referred to as the Home Care Non-Health (HCN) file</w:t>
            </w:r>
          </w:p>
        </w:tc>
      </w:tr>
    </w:tbl>
    <w:p w14:paraId="6A212FD6" w14:textId="60D25022" w:rsidR="00BF54DE" w:rsidRPr="008D54A5" w:rsidRDefault="00FA7694" w:rsidP="00DC45E7">
      <w:pPr>
        <w:pStyle w:val="BodyText2"/>
      </w:pPr>
      <w:r w:rsidRPr="008D54A5">
        <w:t xml:space="preserve">The </w:t>
      </w:r>
      <w:r w:rsidR="00374826" w:rsidRPr="008D54A5">
        <w:t>2022</w:t>
      </w:r>
      <w:r w:rsidRPr="008D54A5">
        <w:t xml:space="preserve"> cycle included files from the VA with cost and utilization data for pairs with VA providers</w:t>
      </w:r>
      <w:r w:rsidR="00BD6A70" w:rsidRPr="008D54A5">
        <w:t xml:space="preserve"> (as was the case in the 202</w:t>
      </w:r>
      <w:r w:rsidR="00206B73">
        <w:t>1</w:t>
      </w:r>
      <w:r w:rsidR="00BD6A70" w:rsidRPr="008D54A5">
        <w:t xml:space="preserve"> cycle)</w:t>
      </w:r>
      <w:r w:rsidRPr="008D54A5">
        <w:t xml:space="preserve">. </w:t>
      </w:r>
      <w:r w:rsidR="00BF54DE" w:rsidRPr="008D54A5">
        <w:t xml:space="preserve">After the </w:t>
      </w:r>
      <w:r w:rsidR="000A545C" w:rsidRPr="008D54A5">
        <w:t>Blaise</w:t>
      </w:r>
      <w:r w:rsidR="00BF54DE" w:rsidRPr="008D54A5">
        <w:t xml:space="preserve"> </w:t>
      </w:r>
      <w:r w:rsidR="00EF3642" w:rsidRPr="008D54A5">
        <w:t>f</w:t>
      </w:r>
      <w:r w:rsidR="00BF54DE" w:rsidRPr="008D54A5">
        <w:t xml:space="preserve">iles </w:t>
      </w:r>
      <w:r w:rsidRPr="008D54A5">
        <w:t xml:space="preserve">and VA files </w:t>
      </w:r>
      <w:r w:rsidR="00290097" w:rsidRPr="008D54A5">
        <w:t xml:space="preserve">were </w:t>
      </w:r>
      <w:r w:rsidR="00BF54DE" w:rsidRPr="008D54A5">
        <w:t xml:space="preserve">combined into one file, patient and provider demographic data </w:t>
      </w:r>
      <w:r w:rsidR="00290097" w:rsidRPr="008D54A5">
        <w:t xml:space="preserve">were </w:t>
      </w:r>
      <w:r w:rsidR="00BF54DE" w:rsidRPr="008D54A5">
        <w:t xml:space="preserve">merged onto the concatenated data file. </w:t>
      </w:r>
      <w:r w:rsidR="00EF3642" w:rsidRPr="008D54A5">
        <w:t xml:space="preserve">These </w:t>
      </w:r>
      <w:r w:rsidR="00BF54DE" w:rsidRPr="008D54A5">
        <w:t>demographic data consist</w:t>
      </w:r>
      <w:r w:rsidR="00290097" w:rsidRPr="008D54A5">
        <w:t>ed</w:t>
      </w:r>
      <w:r w:rsidR="00BF54DE" w:rsidRPr="008D54A5">
        <w:t xml:space="preserve"> of patient data</w:t>
      </w:r>
      <w:r w:rsidR="00431567" w:rsidRPr="008D54A5">
        <w:t>,</w:t>
      </w:r>
      <w:r w:rsidR="00BF54DE" w:rsidRPr="008D54A5">
        <w:t xml:space="preserve"> including name, gender, and age (as of 6/1/</w:t>
      </w:r>
      <w:r w:rsidR="004C3AD0" w:rsidRPr="008D54A5">
        <w:t>202</w:t>
      </w:r>
      <w:r w:rsidR="004C3AD0">
        <w:t>2</w:t>
      </w:r>
      <w:r w:rsidR="00BF54DE" w:rsidRPr="008D54A5">
        <w:t>), and provider data</w:t>
      </w:r>
      <w:r w:rsidR="00431567" w:rsidRPr="008D54A5">
        <w:t>,</w:t>
      </w:r>
      <w:r w:rsidR="00BF54DE" w:rsidRPr="008D54A5">
        <w:t xml:space="preserve"> including provider name and address from the sample </w:t>
      </w:r>
      <w:r w:rsidR="003664E2" w:rsidRPr="008D54A5">
        <w:t>f</w:t>
      </w:r>
      <w:r w:rsidR="00BF54DE" w:rsidRPr="008D54A5">
        <w:t xml:space="preserve">rame </w:t>
      </w:r>
      <w:r w:rsidR="00EF3642" w:rsidRPr="008D54A5">
        <w:t>f</w:t>
      </w:r>
      <w:r w:rsidR="00BF54DE" w:rsidRPr="008D54A5">
        <w:t xml:space="preserve">iles. The </w:t>
      </w:r>
      <w:r w:rsidR="005541AB" w:rsidRPr="008D54A5">
        <w:t>status</w:t>
      </w:r>
      <w:r w:rsidR="00BF54DE" w:rsidRPr="008D54A5">
        <w:t xml:space="preserve"> (respondent, refusal, etc.) and the Edit Shop status variables </w:t>
      </w:r>
      <w:r w:rsidR="00290097" w:rsidRPr="008D54A5">
        <w:t xml:space="preserve">were </w:t>
      </w:r>
      <w:r w:rsidR="00BF54DE" w:rsidRPr="008D54A5">
        <w:t xml:space="preserve">also merged onto the </w:t>
      </w:r>
      <w:r w:rsidRPr="008D54A5">
        <w:t xml:space="preserve">Blaise </w:t>
      </w:r>
      <w:r w:rsidR="00BF54DE" w:rsidRPr="008D54A5">
        <w:t xml:space="preserve">data. </w:t>
      </w:r>
      <w:r w:rsidR="00BF54DE" w:rsidRPr="008D54A5">
        <w:rPr>
          <w:b/>
        </w:rPr>
        <w:t>Edit Shop</w:t>
      </w:r>
      <w:r w:rsidR="00BF54DE" w:rsidRPr="008D54A5">
        <w:t xml:space="preserve"> is </w:t>
      </w:r>
      <w:r w:rsidR="0080600C" w:rsidRPr="008D54A5">
        <w:t>the</w:t>
      </w:r>
      <w:r w:rsidR="00D80D5B" w:rsidRPr="008D54A5">
        <w:t xml:space="preserve"> </w:t>
      </w:r>
      <w:r w:rsidR="00BF54DE" w:rsidRPr="008D54A5">
        <w:t>post</w:t>
      </w:r>
      <w:r w:rsidR="00EF3642" w:rsidRPr="008D54A5">
        <w:t>-</w:t>
      </w:r>
      <w:r w:rsidR="00BF54DE" w:rsidRPr="008D54A5">
        <w:t>data collection process</w:t>
      </w:r>
      <w:r w:rsidR="00860D15" w:rsidRPr="008D54A5">
        <w:t>, started</w:t>
      </w:r>
      <w:r w:rsidR="00BF54DE" w:rsidRPr="008D54A5">
        <w:t xml:space="preserve"> in 2011 for the 2010 MEPS MPC to identify data anomalies. </w:t>
      </w:r>
      <w:r w:rsidR="00EF3642" w:rsidRPr="008D54A5">
        <w:t>Trained editors perform</w:t>
      </w:r>
      <w:r w:rsidR="00102DA6" w:rsidRPr="008D54A5">
        <w:t>ed</w:t>
      </w:r>
      <w:r w:rsidR="00EF3642" w:rsidRPr="008D54A5">
        <w:t xml:space="preserve"> </w:t>
      </w:r>
      <w:r w:rsidR="00BF54DE" w:rsidRPr="008D54A5">
        <w:t xml:space="preserve">Edit Shop activities. When an edit </w:t>
      </w:r>
      <w:r w:rsidR="00102DA6" w:rsidRPr="008D54A5">
        <w:t xml:space="preserve">was </w:t>
      </w:r>
      <w:r w:rsidR="00BF54DE" w:rsidRPr="008D54A5">
        <w:t xml:space="preserve">triggered by an event, </w:t>
      </w:r>
      <w:r w:rsidR="00EF3642" w:rsidRPr="008D54A5">
        <w:t>an editor review</w:t>
      </w:r>
      <w:r w:rsidR="00102DA6" w:rsidRPr="008D54A5">
        <w:t>ed</w:t>
      </w:r>
      <w:r w:rsidR="00EF3642" w:rsidRPr="008D54A5">
        <w:t xml:space="preserve"> </w:t>
      </w:r>
      <w:r w:rsidR="00BF54DE" w:rsidRPr="008D54A5">
        <w:t xml:space="preserve">the event to determine if </w:t>
      </w:r>
      <w:r w:rsidR="00EF3642" w:rsidRPr="008D54A5">
        <w:t>it</w:t>
      </w:r>
      <w:r w:rsidR="00BF54DE" w:rsidRPr="008D54A5">
        <w:t xml:space="preserve"> </w:t>
      </w:r>
      <w:r w:rsidR="00102DA6" w:rsidRPr="008D54A5">
        <w:t xml:space="preserve">was </w:t>
      </w:r>
      <w:r w:rsidR="00BF54DE" w:rsidRPr="008D54A5">
        <w:t xml:space="preserve">correct or if corrections </w:t>
      </w:r>
      <w:r w:rsidR="00102DA6" w:rsidRPr="008D54A5">
        <w:t xml:space="preserve">were </w:t>
      </w:r>
      <w:r w:rsidR="00BF54DE" w:rsidRPr="008D54A5">
        <w:t xml:space="preserve">needed. If corrections </w:t>
      </w:r>
      <w:r w:rsidR="00102DA6" w:rsidRPr="008D54A5">
        <w:t xml:space="preserve">were </w:t>
      </w:r>
      <w:r w:rsidR="00BF54DE" w:rsidRPr="008D54A5">
        <w:t xml:space="preserve">needed, the editor </w:t>
      </w:r>
      <w:r w:rsidR="00102DA6" w:rsidRPr="008D54A5">
        <w:t xml:space="preserve">made </w:t>
      </w:r>
      <w:r w:rsidR="00BF54DE" w:rsidRPr="008D54A5">
        <w:t xml:space="preserve">these changes within </w:t>
      </w:r>
      <w:r w:rsidR="000A545C" w:rsidRPr="008D54A5">
        <w:t>Blaise</w:t>
      </w:r>
      <w:r w:rsidR="00BF54DE" w:rsidRPr="008D54A5">
        <w:t xml:space="preserve"> so that the corrected data appear</w:t>
      </w:r>
      <w:r w:rsidR="00102DA6" w:rsidRPr="008D54A5">
        <w:t>ed</w:t>
      </w:r>
      <w:r w:rsidR="00BF54DE" w:rsidRPr="008D54A5">
        <w:t xml:space="preserve"> on the raw data files prior to editing.</w:t>
      </w:r>
    </w:p>
    <w:p w14:paraId="16351151" w14:textId="045B63D9" w:rsidR="007F577A" w:rsidRPr="008D54A5" w:rsidRDefault="00F66AD2" w:rsidP="00EF3642">
      <w:pPr>
        <w:pStyle w:val="BodyText"/>
        <w:spacing w:after="120"/>
      </w:pPr>
      <w:bookmarkStart w:id="16" w:name="_Toc319492911"/>
      <w:r w:rsidRPr="008D54A5">
        <w:t xml:space="preserve">The Edit Shop variables that were merged onto the </w:t>
      </w:r>
      <w:r w:rsidR="000A545C" w:rsidRPr="008D54A5">
        <w:t>Blaise</w:t>
      </w:r>
      <w:r w:rsidRPr="008D54A5">
        <w:t xml:space="preserve"> data included</w:t>
      </w:r>
    </w:p>
    <w:p w14:paraId="0CE60B79" w14:textId="6AE05DF9" w:rsidR="00443422" w:rsidRPr="008D54A5" w:rsidRDefault="00F66AD2" w:rsidP="007A4CF4">
      <w:pPr>
        <w:pStyle w:val="bullets"/>
      </w:pPr>
      <w:r w:rsidRPr="008D54A5">
        <w:t xml:space="preserve">pair-level </w:t>
      </w:r>
      <w:r w:rsidR="00EF3642" w:rsidRPr="008D54A5">
        <w:t>E</w:t>
      </w:r>
      <w:r w:rsidRPr="008D54A5">
        <w:t xml:space="preserve">dit </w:t>
      </w:r>
      <w:r w:rsidR="00EF3642" w:rsidRPr="008D54A5">
        <w:t>S</w:t>
      </w:r>
      <w:r w:rsidRPr="008D54A5">
        <w:t xml:space="preserve">hop status </w:t>
      </w:r>
    </w:p>
    <w:p w14:paraId="7052D986" w14:textId="708E484D" w:rsidR="00443422" w:rsidRPr="008D54A5" w:rsidRDefault="00F66AD2" w:rsidP="007A4CF4">
      <w:pPr>
        <w:pStyle w:val="bullets"/>
      </w:pPr>
      <w:r w:rsidRPr="008D54A5">
        <w:t>number of times the event failed (i.e., number of times the edit was triggered by the event)</w:t>
      </w:r>
    </w:p>
    <w:p w14:paraId="356FEF34" w14:textId="73C4762A" w:rsidR="00443422" w:rsidRPr="008D54A5" w:rsidRDefault="00F66AD2" w:rsidP="007A4CF4">
      <w:pPr>
        <w:pStyle w:val="bullets"/>
      </w:pPr>
      <w:r w:rsidRPr="008D54A5">
        <w:t xml:space="preserve">most recent date the edit failed for the event (Edit Shop checks are run each time an event is revalidated in </w:t>
      </w:r>
      <w:r w:rsidR="000A545C" w:rsidRPr="008D54A5">
        <w:t>Blaise</w:t>
      </w:r>
      <w:r w:rsidRPr="008D54A5">
        <w:t>)</w:t>
      </w:r>
    </w:p>
    <w:p w14:paraId="22386BBE" w14:textId="500B9AD1" w:rsidR="00443422" w:rsidRPr="008D54A5" w:rsidRDefault="00F66AD2" w:rsidP="007A4CF4">
      <w:pPr>
        <w:pStyle w:val="bullets"/>
      </w:pPr>
      <w:r w:rsidRPr="008D54A5">
        <w:lastRenderedPageBreak/>
        <w:t xml:space="preserve">most recent date the edit was checked for the event (Edit Shop checks are run each time an event is revalidated in </w:t>
      </w:r>
      <w:r w:rsidR="000A545C" w:rsidRPr="008D54A5">
        <w:t>Blaise</w:t>
      </w:r>
      <w:r w:rsidRPr="008D54A5">
        <w:t>)</w:t>
      </w:r>
    </w:p>
    <w:p w14:paraId="698A274C" w14:textId="683F161F" w:rsidR="00443422" w:rsidRPr="008D54A5" w:rsidRDefault="00F66AD2" w:rsidP="007A4CF4">
      <w:pPr>
        <w:pStyle w:val="bullets"/>
      </w:pPr>
      <w:r w:rsidRPr="008D54A5">
        <w:t>event-level status of the edit (1</w:t>
      </w:r>
      <w:r w:rsidR="00F40678" w:rsidRPr="008D54A5">
        <w:t xml:space="preserve"> </w:t>
      </w:r>
      <w:r w:rsidRPr="008D54A5">
        <w:t>=</w:t>
      </w:r>
      <w:r w:rsidR="00F40678" w:rsidRPr="008D54A5">
        <w:t xml:space="preserve"> </w:t>
      </w:r>
      <w:r w:rsidRPr="008D54A5">
        <w:t>event failed edit; 8</w:t>
      </w:r>
      <w:r w:rsidR="00F40678" w:rsidRPr="008D54A5">
        <w:t xml:space="preserve"> </w:t>
      </w:r>
      <w:r w:rsidRPr="008D54A5">
        <w:t>=</w:t>
      </w:r>
      <w:r w:rsidR="00F40678" w:rsidRPr="008D54A5">
        <w:t xml:space="preserve"> </w:t>
      </w:r>
      <w:r w:rsidRPr="008D54A5">
        <w:t>event passed edit; 9</w:t>
      </w:r>
      <w:r w:rsidR="00F40678" w:rsidRPr="008D54A5">
        <w:t xml:space="preserve"> </w:t>
      </w:r>
      <w:r w:rsidRPr="008D54A5">
        <w:t>=</w:t>
      </w:r>
      <w:r w:rsidR="00F40678" w:rsidRPr="008D54A5">
        <w:t xml:space="preserve"> </w:t>
      </w:r>
      <w:r w:rsidRPr="008D54A5">
        <w:t>event failed edit</w:t>
      </w:r>
      <w:r w:rsidR="00FD2D3F" w:rsidRPr="008D54A5">
        <w:t>,</w:t>
      </w:r>
      <w:r w:rsidRPr="008D54A5">
        <w:t xml:space="preserve"> but </w:t>
      </w:r>
      <w:r w:rsidR="00EF3642" w:rsidRPr="008D54A5">
        <w:t xml:space="preserve">the editor has </w:t>
      </w:r>
      <w:r w:rsidRPr="008D54A5">
        <w:t>reviewed and finalized)</w:t>
      </w:r>
    </w:p>
    <w:p w14:paraId="74126F30" w14:textId="57408711" w:rsidR="006934EE" w:rsidRPr="008D54A5" w:rsidRDefault="00F66AD2" w:rsidP="007A4CF4">
      <w:pPr>
        <w:pStyle w:val="bullets"/>
      </w:pPr>
      <w:r w:rsidRPr="008D54A5">
        <w:t xml:space="preserve">most recent date </w:t>
      </w:r>
      <w:r w:rsidR="00EF3642" w:rsidRPr="008D54A5">
        <w:t xml:space="preserve">the editor reviewed </w:t>
      </w:r>
      <w:r w:rsidRPr="008D54A5">
        <w:t>the edit for the event (can be used to determine whether an event that failed the edit has been reviewed recently)</w:t>
      </w:r>
    </w:p>
    <w:p w14:paraId="024089D0" w14:textId="618A6EEA" w:rsidR="006934EE" w:rsidRPr="008D54A5" w:rsidRDefault="00F66AD2" w:rsidP="007A4CF4">
      <w:pPr>
        <w:pStyle w:val="bullets"/>
      </w:pPr>
      <w:r w:rsidRPr="008D54A5">
        <w:t>editor</w:t>
      </w:r>
      <w:r w:rsidR="00356CD1" w:rsidRPr="008D54A5">
        <w:t>’</w:t>
      </w:r>
      <w:r w:rsidR="006934EE" w:rsidRPr="008D54A5">
        <w:t>s comment</w:t>
      </w:r>
      <w:r w:rsidR="00F40678" w:rsidRPr="008D54A5">
        <w:t>s</w:t>
      </w:r>
      <w:r w:rsidR="006934EE" w:rsidRPr="008D54A5">
        <w:t xml:space="preserve"> for the most recent review</w:t>
      </w:r>
      <w:r w:rsidRPr="008D54A5">
        <w:t xml:space="preserve"> (comments indicate the findings of the editor)</w:t>
      </w:r>
    </w:p>
    <w:p w14:paraId="00F3B055" w14:textId="6401F64D" w:rsidR="00F66AD2" w:rsidRPr="008D54A5" w:rsidRDefault="00F66AD2" w:rsidP="000E1BFF">
      <w:pPr>
        <w:pStyle w:val="BodyText"/>
      </w:pPr>
      <w:r w:rsidRPr="008D54A5">
        <w:t xml:space="preserve">Having these Edit Shop variables on the raw and edited MPC files is useful when performing </w:t>
      </w:r>
      <w:r w:rsidR="005C3434" w:rsidRPr="008D54A5">
        <w:t>quality control (</w:t>
      </w:r>
      <w:r w:rsidR="00F40678" w:rsidRPr="008D54A5">
        <w:t>QC</w:t>
      </w:r>
      <w:r w:rsidR="005C3434" w:rsidRPr="008D54A5">
        <w:t>)</w:t>
      </w:r>
      <w:r w:rsidRPr="008D54A5">
        <w:t xml:space="preserve"> activities. For example, if an </w:t>
      </w:r>
      <w:proofErr w:type="gramStart"/>
      <w:r w:rsidRPr="008D54A5">
        <w:t>inpatient event trigger</w:t>
      </w:r>
      <w:r w:rsidR="00661319" w:rsidRPr="008D54A5">
        <w:t>s</w:t>
      </w:r>
      <w:proofErr w:type="gramEnd"/>
      <w:r w:rsidRPr="008D54A5">
        <w:t xml:space="preserve"> Edit #7 (event cost is high or low for in</w:t>
      </w:r>
      <w:r w:rsidR="00AC3131">
        <w:t>-</w:t>
      </w:r>
      <w:r w:rsidRPr="008D54A5">
        <w:t xml:space="preserve">patient duration) and </w:t>
      </w:r>
      <w:r w:rsidR="00661319" w:rsidRPr="008D54A5">
        <w:t xml:space="preserve">is </w:t>
      </w:r>
      <w:r w:rsidRPr="008D54A5">
        <w:t xml:space="preserve">reviewed by an editor, it may also appear as a data anomaly when charge data are examined during the </w:t>
      </w:r>
      <w:r w:rsidR="00F40678" w:rsidRPr="008D54A5">
        <w:t>QC</w:t>
      </w:r>
      <w:r w:rsidRPr="008D54A5">
        <w:t xml:space="preserve"> process. Data editing staff </w:t>
      </w:r>
      <w:r w:rsidR="00EF3642" w:rsidRPr="008D54A5">
        <w:t>can</w:t>
      </w:r>
      <w:r w:rsidRPr="008D54A5">
        <w:t xml:space="preserve"> look at these variables and see that the event was reviewed in Edit Shop. Sometimes it is useful to review the editor</w:t>
      </w:r>
      <w:r w:rsidR="00356CD1" w:rsidRPr="008D54A5">
        <w:t>’</w:t>
      </w:r>
      <w:r w:rsidRPr="008D54A5">
        <w:t xml:space="preserve">s comments, which explain why the event was or was not edited </w:t>
      </w:r>
      <w:r w:rsidR="00F40678" w:rsidRPr="008D54A5">
        <w:t>according to the flag triggered in</w:t>
      </w:r>
      <w:r w:rsidRPr="008D54A5">
        <w:t xml:space="preserve"> Edit Shop.</w:t>
      </w:r>
    </w:p>
    <w:p w14:paraId="1FC0501A" w14:textId="572A3965" w:rsidR="00443422" w:rsidRPr="008D54A5" w:rsidRDefault="00F66AD2" w:rsidP="0081095F">
      <w:pPr>
        <w:pStyle w:val="BodyText"/>
      </w:pPr>
      <w:r w:rsidRPr="008D54A5">
        <w:t xml:space="preserve">Pairs of records sometimes exist on the raw </w:t>
      </w:r>
      <w:r w:rsidR="000A545C" w:rsidRPr="008D54A5">
        <w:t>Blaise</w:t>
      </w:r>
      <w:r w:rsidRPr="008D54A5">
        <w:t xml:space="preserve"> files with the same MPC Person-by-Provider-by-Event ID (PMEID). In this situation, one record in the pair </w:t>
      </w:r>
      <w:r w:rsidR="00C95014" w:rsidRPr="008D54A5">
        <w:t xml:space="preserve">is </w:t>
      </w:r>
      <w:r w:rsidRPr="008D54A5">
        <w:t xml:space="preserve">coded as an </w:t>
      </w:r>
      <w:r w:rsidRPr="008D54A5">
        <w:rPr>
          <w:b/>
        </w:rPr>
        <w:t>Original Abstraction</w:t>
      </w:r>
      <w:r w:rsidR="00290097" w:rsidRPr="008D54A5">
        <w:rPr>
          <w:bCs w:val="0"/>
        </w:rPr>
        <w:t>,</w:t>
      </w:r>
      <w:r w:rsidRPr="008D54A5">
        <w:t xml:space="preserve"> and the second record in the pair was coded as a </w:t>
      </w:r>
      <w:proofErr w:type="spellStart"/>
      <w:r w:rsidRPr="008D54A5">
        <w:rPr>
          <w:b/>
        </w:rPr>
        <w:t>Reabstraction</w:t>
      </w:r>
      <w:proofErr w:type="spellEnd"/>
      <w:r w:rsidRPr="008D54A5">
        <w:t xml:space="preserve">. This duplication </w:t>
      </w:r>
      <w:r w:rsidR="00C95014" w:rsidRPr="008D54A5">
        <w:t xml:space="preserve">occurs </w:t>
      </w:r>
      <w:r w:rsidRPr="008D54A5">
        <w:t xml:space="preserve">on purpose; for data </w:t>
      </w:r>
      <w:r w:rsidR="00474FB8" w:rsidRPr="008D54A5">
        <w:t>capture</w:t>
      </w:r>
      <w:r w:rsidRPr="008D54A5">
        <w:t xml:space="preserve"> </w:t>
      </w:r>
      <w:r w:rsidR="00F40678" w:rsidRPr="008D54A5">
        <w:t>QC</w:t>
      </w:r>
      <w:r w:rsidRPr="008D54A5">
        <w:t xml:space="preserve"> purposes, a sample of the records </w:t>
      </w:r>
      <w:r w:rsidR="00C95014" w:rsidRPr="008D54A5">
        <w:t xml:space="preserve">is </w:t>
      </w:r>
      <w:proofErr w:type="spellStart"/>
      <w:r w:rsidRPr="008D54A5">
        <w:t>reabstracted</w:t>
      </w:r>
      <w:proofErr w:type="spellEnd"/>
      <w:r w:rsidRPr="008D54A5">
        <w:t xml:space="preserve"> and re</w:t>
      </w:r>
      <w:r w:rsidR="00474FB8" w:rsidRPr="008D54A5">
        <w:t>entered</w:t>
      </w:r>
      <w:r w:rsidR="00290097" w:rsidRPr="008D54A5">
        <w:t>,</w:t>
      </w:r>
      <w:r w:rsidRPr="008D54A5">
        <w:t xml:space="preserve"> and the second </w:t>
      </w:r>
      <w:r w:rsidR="00474FB8" w:rsidRPr="008D54A5">
        <w:t>entry</w:t>
      </w:r>
      <w:r w:rsidRPr="008D54A5">
        <w:t xml:space="preserve"> </w:t>
      </w:r>
      <w:r w:rsidR="00C95014" w:rsidRPr="008D54A5">
        <w:t xml:space="preserve">is </w:t>
      </w:r>
      <w:r w:rsidRPr="008D54A5">
        <w:t xml:space="preserve">compared </w:t>
      </w:r>
      <w:r w:rsidR="000B724D" w:rsidRPr="008D54A5">
        <w:t>with</w:t>
      </w:r>
      <w:r w:rsidRPr="008D54A5">
        <w:t xml:space="preserve"> the first. In these situations, the </w:t>
      </w:r>
      <w:proofErr w:type="spellStart"/>
      <w:r w:rsidRPr="008D54A5">
        <w:t>reabstracted</w:t>
      </w:r>
      <w:proofErr w:type="spellEnd"/>
      <w:r w:rsidRPr="008D54A5">
        <w:t xml:space="preserve"> record </w:t>
      </w:r>
      <w:r w:rsidR="00C95014" w:rsidRPr="008D54A5">
        <w:t xml:space="preserve">is </w:t>
      </w:r>
      <w:r w:rsidRPr="008D54A5">
        <w:t xml:space="preserve">kept on the data file and the originally abstracted record </w:t>
      </w:r>
      <w:r w:rsidR="00C95014" w:rsidRPr="008D54A5">
        <w:t xml:space="preserve">is </w:t>
      </w:r>
      <w:r w:rsidRPr="008D54A5">
        <w:t>dropped.</w:t>
      </w:r>
      <w:r w:rsidR="00443422" w:rsidRPr="008D54A5">
        <w:t xml:space="preserve"> </w:t>
      </w:r>
    </w:p>
    <w:p w14:paraId="19F44D71" w14:textId="3DDB8C7E" w:rsidR="00F40678" w:rsidRPr="008D54A5" w:rsidRDefault="00BF54DE" w:rsidP="000E1BFF">
      <w:pPr>
        <w:pStyle w:val="BodyText"/>
      </w:pPr>
      <w:r w:rsidRPr="008D54A5">
        <w:t xml:space="preserve">The </w:t>
      </w:r>
      <w:r w:rsidR="00953F38" w:rsidRPr="008D54A5">
        <w:t>H</w:t>
      </w:r>
      <w:r w:rsidRPr="008D54A5">
        <w:t>ospital, OBD, SBD</w:t>
      </w:r>
      <w:r w:rsidR="00F40678" w:rsidRPr="008D54A5">
        <w:t>,</w:t>
      </w:r>
      <w:r w:rsidRPr="008D54A5">
        <w:t xml:space="preserve"> and </w:t>
      </w:r>
      <w:r w:rsidR="00953F38" w:rsidRPr="008D54A5">
        <w:t>I</w:t>
      </w:r>
      <w:r w:rsidRPr="008D54A5">
        <w:t xml:space="preserve">nstitution data are combined (i.e., concatenated) into one file. This file </w:t>
      </w:r>
      <w:r w:rsidR="002821B3" w:rsidRPr="008D54A5">
        <w:t xml:space="preserve">is </w:t>
      </w:r>
      <w:r w:rsidRPr="008D54A5">
        <w:t xml:space="preserve">called the initial </w:t>
      </w:r>
      <w:r w:rsidRPr="008D54A5">
        <w:rPr>
          <w:b/>
        </w:rPr>
        <w:t xml:space="preserve">MPC </w:t>
      </w:r>
      <w:r w:rsidRPr="008D54A5">
        <w:rPr>
          <w:b/>
          <w:iCs/>
        </w:rPr>
        <w:t>Medical File</w:t>
      </w:r>
      <w:r w:rsidRPr="008D54A5">
        <w:t xml:space="preserve"> to distinguish it from the </w:t>
      </w:r>
      <w:r w:rsidR="00312561" w:rsidRPr="008D54A5">
        <w:t>HH</w:t>
      </w:r>
      <w:r w:rsidRPr="008D54A5">
        <w:t xml:space="preserve"> and </w:t>
      </w:r>
      <w:r w:rsidR="00312561" w:rsidRPr="008D54A5">
        <w:t>NHH</w:t>
      </w:r>
      <w:r w:rsidRPr="008D54A5">
        <w:t xml:space="preserve"> files.</w:t>
      </w:r>
      <w:r w:rsidR="00B513F2" w:rsidRPr="008D54A5">
        <w:br/>
      </w:r>
      <w:bookmarkEnd w:id="10"/>
    </w:p>
    <w:p w14:paraId="7FAADFD6" w14:textId="77777777" w:rsidR="008D65BA" w:rsidRPr="008D54A5" w:rsidRDefault="008D65BA" w:rsidP="008D65BA">
      <w:pPr>
        <w:sectPr w:rsidR="008D65BA" w:rsidRPr="008D54A5" w:rsidSect="00C035A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docGrid w:linePitch="360"/>
        </w:sectPr>
      </w:pPr>
    </w:p>
    <w:p w14:paraId="4EF0F320" w14:textId="4F9BF982" w:rsidR="005B3FDF" w:rsidRPr="008D54A5" w:rsidRDefault="00F66AD2" w:rsidP="00975A4F">
      <w:pPr>
        <w:pStyle w:val="Heading1"/>
      </w:pPr>
      <w:bookmarkStart w:id="17" w:name="_Toc127287266"/>
      <w:bookmarkStart w:id="18" w:name="_Toc160529592"/>
      <w:bookmarkStart w:id="19" w:name="_Hlk36200275"/>
      <w:bookmarkStart w:id="20" w:name="_Hlk36117329"/>
      <w:bookmarkStart w:id="21" w:name="_Toc189128079"/>
      <w:r w:rsidRPr="008D54A5">
        <w:lastRenderedPageBreak/>
        <w:t xml:space="preserve">Editing the </w:t>
      </w:r>
      <w:r w:rsidR="00374826" w:rsidRPr="008D54A5">
        <w:t>2022</w:t>
      </w:r>
      <w:r w:rsidR="00B87B67" w:rsidRPr="008D54A5">
        <w:t xml:space="preserve"> </w:t>
      </w:r>
      <w:r w:rsidRPr="008D54A5">
        <w:t>MPC Medical File Data</w:t>
      </w:r>
      <w:bookmarkEnd w:id="17"/>
      <w:bookmarkEnd w:id="18"/>
      <w:bookmarkEnd w:id="21"/>
    </w:p>
    <w:bookmarkEnd w:id="16"/>
    <w:p w14:paraId="0CABFE9A" w14:textId="0FB28C04" w:rsidR="00F47315" w:rsidRPr="008D54A5" w:rsidRDefault="00F66AD2" w:rsidP="00E75D33">
      <w:pPr>
        <w:pStyle w:val="BodyText"/>
      </w:pPr>
      <w:r w:rsidRPr="008D54A5">
        <w:t xml:space="preserve">The following section summarizes editing Medical File data for the </w:t>
      </w:r>
      <w:r w:rsidR="00374826" w:rsidRPr="008D54A5">
        <w:t>2022</w:t>
      </w:r>
      <w:r w:rsidR="00B87B67" w:rsidRPr="008D54A5">
        <w:t xml:space="preserve"> </w:t>
      </w:r>
      <w:r w:rsidR="008C7ECF" w:rsidRPr="008D54A5">
        <w:t>Medical Provider Component (</w:t>
      </w:r>
      <w:r w:rsidRPr="008D54A5">
        <w:t>MPC</w:t>
      </w:r>
      <w:r w:rsidR="008C7ECF" w:rsidRPr="008D54A5">
        <w:t>)</w:t>
      </w:r>
      <w:r w:rsidRPr="008D54A5">
        <w:t xml:space="preserve">. </w:t>
      </w:r>
      <w:bookmarkStart w:id="22" w:name="_Hlk36123342"/>
      <w:r w:rsidRPr="008D54A5">
        <w:t xml:space="preserve">The Medical File data include data from the </w:t>
      </w:r>
      <w:r w:rsidR="007A2832" w:rsidRPr="008D54A5">
        <w:t>H</w:t>
      </w:r>
      <w:r w:rsidR="00350AE3" w:rsidRPr="008D54A5">
        <w:t>ospital</w:t>
      </w:r>
      <w:r w:rsidRPr="008D54A5">
        <w:t xml:space="preserve">, </w:t>
      </w:r>
      <w:r w:rsidR="008C7ECF" w:rsidRPr="008D54A5">
        <w:t>office-based doctor (</w:t>
      </w:r>
      <w:r w:rsidRPr="008D54A5">
        <w:t>OBD</w:t>
      </w:r>
      <w:r w:rsidR="008C7ECF" w:rsidRPr="008D54A5">
        <w:t>)</w:t>
      </w:r>
      <w:r w:rsidRPr="008D54A5">
        <w:t xml:space="preserve">, </w:t>
      </w:r>
      <w:r w:rsidR="007A2832" w:rsidRPr="008D54A5">
        <w:t>I</w:t>
      </w:r>
      <w:r w:rsidRPr="008D54A5">
        <w:t xml:space="preserve">nstitution, and </w:t>
      </w:r>
      <w:r w:rsidR="008C7ECF" w:rsidRPr="008D54A5">
        <w:t>separately billing doctor (</w:t>
      </w:r>
      <w:r w:rsidRPr="008D54A5">
        <w:t>SBD</w:t>
      </w:r>
      <w:r w:rsidR="008C7ECF" w:rsidRPr="008D54A5">
        <w:t>)</w:t>
      </w:r>
      <w:r w:rsidRPr="008D54A5">
        <w:t xml:space="preserve"> data collection forms.</w:t>
      </w:r>
      <w:bookmarkEnd w:id="22"/>
    </w:p>
    <w:p w14:paraId="2A1D51C1" w14:textId="01E1FC01" w:rsidR="008A2103" w:rsidRPr="008D54A5" w:rsidRDefault="00F66AD2" w:rsidP="00E75D33">
      <w:pPr>
        <w:pStyle w:val="BodyText"/>
      </w:pPr>
      <w:r w:rsidRPr="008D54A5">
        <w:t xml:space="preserve">Editing </w:t>
      </w:r>
      <w:r w:rsidR="005701E9" w:rsidRPr="008D54A5">
        <w:t xml:space="preserve">includes </w:t>
      </w:r>
      <w:r w:rsidRPr="008D54A5">
        <w:t>assigning consistency codes</w:t>
      </w:r>
      <w:r w:rsidR="000E3AF9" w:rsidRPr="008D54A5">
        <w:t>;</w:t>
      </w:r>
      <w:r w:rsidRPr="008D54A5">
        <w:t xml:space="preserve"> </w:t>
      </w:r>
      <w:r w:rsidR="000E3AF9" w:rsidRPr="008D54A5">
        <w:t xml:space="preserve">performing </w:t>
      </w:r>
      <w:r w:rsidRPr="008D54A5">
        <w:t>a series of managerial edits for reviewing a variety of potential data issues</w:t>
      </w:r>
      <w:r w:rsidR="000E3AF9" w:rsidRPr="008D54A5">
        <w:t>,</w:t>
      </w:r>
      <w:r w:rsidR="005701E9" w:rsidRPr="008D54A5">
        <w:t xml:space="preserve"> including</w:t>
      </w:r>
      <w:r w:rsidRPr="008D54A5">
        <w:t xml:space="preserve"> identif</w:t>
      </w:r>
      <w:r w:rsidR="000E3AF9" w:rsidRPr="008D54A5">
        <w:t>ying</w:t>
      </w:r>
      <w:r w:rsidRPr="008D54A5">
        <w:t xml:space="preserve"> duplicate events</w:t>
      </w:r>
      <w:r w:rsidR="000E3AF9" w:rsidRPr="008D54A5">
        <w:t>;</w:t>
      </w:r>
      <w:r w:rsidRPr="008D54A5">
        <w:t xml:space="preserve"> coding other text responses</w:t>
      </w:r>
      <w:r w:rsidR="000E3AF9" w:rsidRPr="008D54A5">
        <w:t>;</w:t>
      </w:r>
      <w:r w:rsidRPr="008D54A5">
        <w:t xml:space="preserve"> </w:t>
      </w:r>
      <w:r w:rsidR="0009242A" w:rsidRPr="008D54A5">
        <w:t>identif</w:t>
      </w:r>
      <w:r w:rsidR="000E3AF9" w:rsidRPr="008D54A5">
        <w:t>ying</w:t>
      </w:r>
      <w:r w:rsidR="0009242A" w:rsidRPr="008D54A5">
        <w:t xml:space="preserve"> SBD</w:t>
      </w:r>
      <w:r w:rsidR="00183429" w:rsidRPr="008D54A5">
        <w:t>–</w:t>
      </w:r>
      <w:r w:rsidR="0009242A" w:rsidRPr="008D54A5">
        <w:t>OBD overlap</w:t>
      </w:r>
      <w:r w:rsidR="000E3AF9" w:rsidRPr="008D54A5">
        <w:t>;</w:t>
      </w:r>
      <w:r w:rsidR="00D96A90" w:rsidRPr="008D54A5">
        <w:t xml:space="preserve"> determin</w:t>
      </w:r>
      <w:r w:rsidR="000E3AF9" w:rsidRPr="008D54A5">
        <w:t>ing</w:t>
      </w:r>
      <w:r w:rsidR="00C70B27" w:rsidRPr="008D54A5">
        <w:t xml:space="preserve"> whether an OBD was an SBD</w:t>
      </w:r>
      <w:r w:rsidR="000E3AF9" w:rsidRPr="008D54A5">
        <w:t>;</w:t>
      </w:r>
      <w:r w:rsidR="00C70B27" w:rsidRPr="008D54A5">
        <w:t xml:space="preserve"> </w:t>
      </w:r>
      <w:r w:rsidR="000E3AF9" w:rsidRPr="008D54A5">
        <w:t xml:space="preserve">performing </w:t>
      </w:r>
      <w:r w:rsidR="005701E9" w:rsidRPr="008D54A5">
        <w:t>additional</w:t>
      </w:r>
      <w:r w:rsidRPr="008D54A5">
        <w:t xml:space="preserve"> edits for the SBD data</w:t>
      </w:r>
      <w:r w:rsidR="000E3AF9" w:rsidRPr="008D54A5">
        <w:t>;</w:t>
      </w:r>
      <w:r w:rsidR="000E4880" w:rsidRPr="008D54A5">
        <w:t xml:space="preserve"> </w:t>
      </w:r>
      <w:r w:rsidR="004B14F7" w:rsidRPr="008D54A5">
        <w:t xml:space="preserve">and </w:t>
      </w:r>
      <w:r w:rsidR="000E4880" w:rsidRPr="008D54A5">
        <w:t>coding provider-type indicators</w:t>
      </w:r>
      <w:r w:rsidR="004B14F7" w:rsidRPr="008D54A5">
        <w:t>.</w:t>
      </w:r>
    </w:p>
    <w:p w14:paraId="34BE2AD9" w14:textId="532F950B" w:rsidR="003F0A3A" w:rsidRPr="008D54A5" w:rsidRDefault="00F66AD2" w:rsidP="00DD4425">
      <w:pPr>
        <w:pStyle w:val="Heading2"/>
      </w:pPr>
      <w:bookmarkStart w:id="23" w:name="_Toc319492912"/>
      <w:bookmarkStart w:id="24" w:name="_Toc127287267"/>
      <w:bookmarkStart w:id="25" w:name="_Toc160529593"/>
      <w:bookmarkStart w:id="26" w:name="_Toc189128080"/>
      <w:r w:rsidRPr="008D54A5">
        <w:t>Basic Editing</w:t>
      </w:r>
      <w:bookmarkEnd w:id="23"/>
      <w:bookmarkEnd w:id="24"/>
      <w:bookmarkEnd w:id="25"/>
      <w:bookmarkEnd w:id="26"/>
    </w:p>
    <w:p w14:paraId="7E7EA2FE" w14:textId="43E1C69A" w:rsidR="006C1D11" w:rsidRPr="008D54A5" w:rsidRDefault="00F66AD2" w:rsidP="00037FEC">
      <w:pPr>
        <w:pStyle w:val="BodyText"/>
        <w:keepNext/>
      </w:pPr>
      <w:r w:rsidRPr="008D54A5">
        <w:t xml:space="preserve">Numerous basic edits </w:t>
      </w:r>
      <w:r w:rsidR="005701E9" w:rsidRPr="008D54A5">
        <w:t xml:space="preserve">are </w:t>
      </w:r>
      <w:r w:rsidRPr="008D54A5">
        <w:t>performed to prepare the Medical File data for matching and imputation. These edits include assign</w:t>
      </w:r>
      <w:r w:rsidR="000E3AF9" w:rsidRPr="008D54A5">
        <w:t>ing</w:t>
      </w:r>
      <w:r w:rsidRPr="008D54A5">
        <w:t xml:space="preserve"> missing codes</w:t>
      </w:r>
      <w:r w:rsidR="000E3AF9" w:rsidRPr="008D54A5">
        <w:t>, s</w:t>
      </w:r>
      <w:r w:rsidRPr="008D54A5">
        <w:t>pecifically</w:t>
      </w:r>
      <w:r w:rsidR="00216D41" w:rsidRPr="008D54A5">
        <w:t>:</w:t>
      </w:r>
    </w:p>
    <w:p w14:paraId="5B3FD425" w14:textId="77777777" w:rsidR="00443422" w:rsidRPr="008D54A5" w:rsidRDefault="00F66AD2" w:rsidP="007A4CF4">
      <w:pPr>
        <w:pStyle w:val="bullets"/>
      </w:pPr>
      <w:r w:rsidRPr="008D54A5">
        <w:t xml:space="preserve">Missing codes </w:t>
      </w:r>
      <w:r w:rsidR="005701E9" w:rsidRPr="008D54A5">
        <w:t>a</w:t>
      </w:r>
      <w:r w:rsidRPr="008D54A5">
        <w:t xml:space="preserve">re assigned to correctly identify refusals and other types of </w:t>
      </w:r>
      <w:proofErr w:type="gramStart"/>
      <w:r w:rsidRPr="008D54A5">
        <w:t>nonresponse</w:t>
      </w:r>
      <w:proofErr w:type="gramEnd"/>
      <w:r w:rsidRPr="008D54A5">
        <w:t>.</w:t>
      </w:r>
    </w:p>
    <w:p w14:paraId="3ABA829B" w14:textId="77777777" w:rsidR="00443422" w:rsidRPr="008D54A5" w:rsidRDefault="00F66AD2" w:rsidP="007A4CF4">
      <w:pPr>
        <w:pStyle w:val="bullets"/>
      </w:pPr>
      <w:r w:rsidRPr="008D54A5">
        <w:t xml:space="preserve">The code for </w:t>
      </w:r>
      <w:r w:rsidRPr="008D54A5">
        <w:rPr>
          <w:b/>
        </w:rPr>
        <w:t>Legitimate Skip</w:t>
      </w:r>
      <w:r w:rsidRPr="008D54A5">
        <w:t xml:space="preserve"> </w:t>
      </w:r>
      <w:r w:rsidR="005701E9" w:rsidRPr="008D54A5">
        <w:t>i</w:t>
      </w:r>
      <w:r w:rsidRPr="008D54A5">
        <w:t xml:space="preserve">s assigned to some variables in cases where a missing response </w:t>
      </w:r>
      <w:r w:rsidR="00DB6603" w:rsidRPr="008D54A5">
        <w:t>occurs because of</w:t>
      </w:r>
      <w:r w:rsidRPr="008D54A5">
        <w:t xml:space="preserve"> skip logic in a stem question.</w:t>
      </w:r>
    </w:p>
    <w:p w14:paraId="2031551E" w14:textId="36D72F28" w:rsidR="006C1D11" w:rsidRPr="008D54A5" w:rsidRDefault="00F66AD2" w:rsidP="007A4CF4">
      <w:pPr>
        <w:pStyle w:val="bullets"/>
      </w:pPr>
      <w:r w:rsidRPr="008D54A5">
        <w:t xml:space="preserve">Total payment and total charge </w:t>
      </w:r>
      <w:r w:rsidR="005701E9" w:rsidRPr="008D54A5">
        <w:t>a</w:t>
      </w:r>
      <w:r w:rsidRPr="008D54A5">
        <w:t xml:space="preserve">re assigned the appropriate missing codes based on the codes recorded in the individual payment and charge fields. For example, </w:t>
      </w:r>
      <w:r w:rsidR="00356CD1" w:rsidRPr="008D54A5">
        <w:t>“</w:t>
      </w:r>
      <w:r w:rsidRPr="008D54A5">
        <w:t>-5</w:t>
      </w:r>
      <w:r w:rsidR="00356CD1" w:rsidRPr="008D54A5">
        <w:t>”</w:t>
      </w:r>
      <w:r w:rsidRPr="008D54A5">
        <w:t xml:space="preserve"> indicates the charges are included in another event.</w:t>
      </w:r>
    </w:p>
    <w:p w14:paraId="1E9CCF17" w14:textId="6DE90015" w:rsidR="00443422" w:rsidRPr="008D54A5" w:rsidRDefault="00F66AD2" w:rsidP="00953016">
      <w:pPr>
        <w:pStyle w:val="BodyText"/>
        <w:keepNext/>
        <w:keepLines/>
      </w:pPr>
      <w:bookmarkStart w:id="27" w:name="_Hlk36200288"/>
      <w:bookmarkEnd w:id="19"/>
      <w:r w:rsidRPr="008D54A5">
        <w:t>In addition to assigning appropriate missing codes, basic editing of the Medical File data include</w:t>
      </w:r>
      <w:r w:rsidR="00872569" w:rsidRPr="008D54A5">
        <w:t>s</w:t>
      </w:r>
      <w:r w:rsidRPr="008D54A5">
        <w:t xml:space="preserve"> recoding some variables to prepare them for matching and imputation. Examples of these recodes include</w:t>
      </w:r>
      <w:r w:rsidR="00216D41" w:rsidRPr="008D54A5">
        <w:t xml:space="preserve"> the following:</w:t>
      </w:r>
    </w:p>
    <w:p w14:paraId="00C15AEF" w14:textId="0301622E" w:rsidR="00443422" w:rsidRPr="008D54A5" w:rsidRDefault="00216D41">
      <w:pPr>
        <w:pStyle w:val="bullets"/>
        <w:keepNext/>
        <w:keepLines/>
      </w:pPr>
      <w:r w:rsidRPr="008D54A5">
        <w:t xml:space="preserve">Resetting </w:t>
      </w:r>
      <w:r w:rsidR="00F66AD2" w:rsidRPr="008D54A5">
        <w:t>the global fee flag if any global fee data exist</w:t>
      </w:r>
    </w:p>
    <w:p w14:paraId="14CA316F" w14:textId="603B2371" w:rsidR="00443422" w:rsidRPr="008D54A5" w:rsidRDefault="00216D41" w:rsidP="007A4CF4">
      <w:pPr>
        <w:pStyle w:val="bullets"/>
      </w:pPr>
      <w:r w:rsidRPr="008D54A5">
        <w:t xml:space="preserve">Recoding </w:t>
      </w:r>
      <w:proofErr w:type="gramStart"/>
      <w:r w:rsidR="00F66AD2" w:rsidRPr="008D54A5">
        <w:rPr>
          <w:b/>
        </w:rPr>
        <w:t>other</w:t>
      </w:r>
      <w:proofErr w:type="gramEnd"/>
      <w:r w:rsidR="00F66AD2" w:rsidRPr="008D54A5">
        <w:rPr>
          <w:b/>
        </w:rPr>
        <w:t xml:space="preserve"> specify</w:t>
      </w:r>
      <w:r w:rsidR="00F66AD2" w:rsidRPr="008D54A5">
        <w:t xml:space="preserve"> strings for the sources of payment</w:t>
      </w:r>
      <w:r w:rsidR="008C215E" w:rsidRPr="008D54A5">
        <w:t xml:space="preserve"> (SOP)</w:t>
      </w:r>
      <w:r w:rsidR="00F66AD2" w:rsidRPr="008D54A5">
        <w:t xml:space="preserve"> variables into appropriate SOP codes</w:t>
      </w:r>
    </w:p>
    <w:p w14:paraId="2BD7220E" w14:textId="36ADEBB7" w:rsidR="00443422" w:rsidRPr="008D54A5" w:rsidRDefault="00216D41" w:rsidP="007A4CF4">
      <w:pPr>
        <w:pStyle w:val="bullets"/>
      </w:pPr>
      <w:r w:rsidRPr="008D54A5">
        <w:t xml:space="preserve">Setting </w:t>
      </w:r>
      <w:r w:rsidR="00F66AD2" w:rsidRPr="008D54A5">
        <w:t xml:space="preserve">any missing reasons for discrepancy fields to </w:t>
      </w:r>
      <w:r w:rsidR="00F66AD2" w:rsidRPr="008D54A5">
        <w:rPr>
          <w:b/>
        </w:rPr>
        <w:t>No</w:t>
      </w:r>
      <w:r w:rsidR="00F66AD2" w:rsidRPr="008D54A5">
        <w:t xml:space="preserve"> if one or more discrepancy items </w:t>
      </w:r>
      <w:r w:rsidR="004B1882" w:rsidRPr="008D54A5">
        <w:t xml:space="preserve">is </w:t>
      </w:r>
      <w:r w:rsidRPr="008D54A5">
        <w:t>Answered</w:t>
      </w:r>
    </w:p>
    <w:p w14:paraId="774230F0" w14:textId="49389429" w:rsidR="009869BF" w:rsidRPr="008D54A5" w:rsidRDefault="00216D41" w:rsidP="007A4CF4">
      <w:pPr>
        <w:pStyle w:val="bullets"/>
      </w:pPr>
      <w:r w:rsidRPr="008D54A5">
        <w:t xml:space="preserve">Recoding </w:t>
      </w:r>
      <w:r w:rsidR="00F66AD2" w:rsidRPr="008D54A5">
        <w:t>date variables when missing</w:t>
      </w:r>
    </w:p>
    <w:p w14:paraId="415C5213" w14:textId="77777777" w:rsidR="00443422" w:rsidRPr="008D54A5" w:rsidRDefault="00F66AD2" w:rsidP="007B19FD">
      <w:pPr>
        <w:pStyle w:val="BodyText"/>
        <w:keepNext/>
        <w:spacing w:after="120"/>
      </w:pPr>
      <w:r w:rsidRPr="008D54A5">
        <w:t xml:space="preserve">Other variables </w:t>
      </w:r>
      <w:r w:rsidR="00872569" w:rsidRPr="008D54A5">
        <w:t xml:space="preserve">are </w:t>
      </w:r>
      <w:r w:rsidRPr="008D54A5">
        <w:t>created throughout the editing process. Examples of these variables include</w:t>
      </w:r>
    </w:p>
    <w:p w14:paraId="0DC56DE9" w14:textId="1A98CA14" w:rsidR="00443422" w:rsidRPr="008D54A5" w:rsidRDefault="00216D41" w:rsidP="007A4CF4">
      <w:pPr>
        <w:pStyle w:val="bullets"/>
      </w:pPr>
      <w:r w:rsidRPr="008D54A5">
        <w:t xml:space="preserve">Event </w:t>
      </w:r>
      <w:r w:rsidR="00F66AD2" w:rsidRPr="008D54A5">
        <w:t>type</w:t>
      </w:r>
    </w:p>
    <w:p w14:paraId="6A16304D" w14:textId="728D2B4B" w:rsidR="00443422" w:rsidRPr="008D54A5" w:rsidRDefault="00DB6603" w:rsidP="007A4CF4">
      <w:pPr>
        <w:pStyle w:val="bullets"/>
      </w:pPr>
      <w:r w:rsidRPr="008D54A5">
        <w:t>Berenson-Eggers Type of Service (</w:t>
      </w:r>
      <w:r w:rsidR="00F66AD2" w:rsidRPr="008D54A5">
        <w:t>BETOS</w:t>
      </w:r>
      <w:r w:rsidRPr="008D54A5">
        <w:t>)</w:t>
      </w:r>
      <w:r w:rsidR="00F66AD2" w:rsidRPr="008D54A5">
        <w:t xml:space="preserve"> procedure codes</w:t>
      </w:r>
    </w:p>
    <w:p w14:paraId="7047DDB3" w14:textId="20180A41" w:rsidR="00443422" w:rsidRPr="008D54A5" w:rsidRDefault="00DB6603" w:rsidP="007A4CF4">
      <w:pPr>
        <w:pStyle w:val="bullets"/>
      </w:pPr>
      <w:r w:rsidRPr="008D54A5">
        <w:t>Clinical Classifications Software</w:t>
      </w:r>
      <w:r w:rsidR="001223C8" w:rsidRPr="008D54A5">
        <w:t xml:space="preserve"> Revised</w:t>
      </w:r>
      <w:r w:rsidRPr="008D54A5">
        <w:t xml:space="preserve"> (</w:t>
      </w:r>
      <w:r w:rsidR="00F66AD2" w:rsidRPr="008D54A5">
        <w:t>CCS</w:t>
      </w:r>
      <w:r w:rsidR="001223C8" w:rsidRPr="008D54A5">
        <w:t>R</w:t>
      </w:r>
      <w:r w:rsidRPr="008D54A5">
        <w:t>)</w:t>
      </w:r>
      <w:r w:rsidR="00F66AD2" w:rsidRPr="008D54A5">
        <w:t xml:space="preserve"> condition codes</w:t>
      </w:r>
    </w:p>
    <w:p w14:paraId="1011132B" w14:textId="47769D38" w:rsidR="00443422" w:rsidRPr="008D54A5" w:rsidRDefault="008C215E" w:rsidP="00722131">
      <w:pPr>
        <w:pStyle w:val="bullets"/>
        <w:spacing w:after="120"/>
      </w:pPr>
      <w:r w:rsidRPr="008D54A5">
        <w:t xml:space="preserve">Flags </w:t>
      </w:r>
      <w:r w:rsidR="00F66AD2" w:rsidRPr="008D54A5">
        <w:t>for surgery, radiology, and laboratory tests</w:t>
      </w:r>
    </w:p>
    <w:p w14:paraId="2CDDF92C" w14:textId="3D05B9DD" w:rsidR="007F577A" w:rsidRPr="008D54A5" w:rsidRDefault="00255262" w:rsidP="00E75D33">
      <w:pPr>
        <w:pStyle w:val="BodyText"/>
      </w:pPr>
      <w:r w:rsidRPr="008D54A5">
        <w:t>I</w:t>
      </w:r>
      <w:r w:rsidR="00F66AD2" w:rsidRPr="008D54A5">
        <w:t xml:space="preserve">n preparation for matching, edits </w:t>
      </w:r>
      <w:r w:rsidR="00872569" w:rsidRPr="008D54A5">
        <w:t>are</w:t>
      </w:r>
      <w:r w:rsidR="00F66AD2" w:rsidRPr="008D54A5">
        <w:t xml:space="preserve"> performed to the condition and procedure codes within each event. These fields </w:t>
      </w:r>
      <w:r w:rsidR="004B1882" w:rsidRPr="008D54A5">
        <w:t xml:space="preserve">are </w:t>
      </w:r>
      <w:r w:rsidR="00F66AD2" w:rsidRPr="008D54A5">
        <w:t xml:space="preserve">cleaned by removing duplicates, separating multiple codes that occur in the same field, and ensuring that missing or blank codes appear at the end of the array of condition/procedure codes for an event. The condition and procedure codes </w:t>
      </w:r>
      <w:r w:rsidR="00872569" w:rsidRPr="008D54A5">
        <w:t>are</w:t>
      </w:r>
      <w:r w:rsidR="00F66AD2" w:rsidRPr="008D54A5">
        <w:t xml:space="preserve"> not ordered in any specific manner</w:t>
      </w:r>
      <w:r w:rsidR="00B36E0E" w:rsidRPr="008D54A5">
        <w:t xml:space="preserve"> in the arrays</w:t>
      </w:r>
      <w:r w:rsidR="00F66AD2" w:rsidRPr="008D54A5">
        <w:t>, other than moving the codes so that any missing or blank codes are at the end of the array.</w:t>
      </w:r>
    </w:p>
    <w:p w14:paraId="5AACCC26" w14:textId="16EF8D2C" w:rsidR="00446F05" w:rsidRPr="008D54A5" w:rsidRDefault="00F66AD2" w:rsidP="00DD4425">
      <w:pPr>
        <w:pStyle w:val="Heading2"/>
      </w:pPr>
      <w:bookmarkStart w:id="28" w:name="_Toc321750165"/>
      <w:bookmarkStart w:id="29" w:name="_Toc127287268"/>
      <w:bookmarkStart w:id="30" w:name="_Toc160529594"/>
      <w:bookmarkStart w:id="31" w:name="_Toc189128081"/>
      <w:r w:rsidRPr="008D54A5">
        <w:lastRenderedPageBreak/>
        <w:t>Managerial Edits Conducted During Data Collection</w:t>
      </w:r>
      <w:bookmarkEnd w:id="28"/>
      <w:bookmarkEnd w:id="29"/>
      <w:bookmarkEnd w:id="30"/>
      <w:bookmarkEnd w:id="31"/>
    </w:p>
    <w:p w14:paraId="3220AC5E" w14:textId="6B70294B" w:rsidR="001067D4" w:rsidRPr="008D54A5" w:rsidRDefault="00F66AD2" w:rsidP="00E75D33">
      <w:pPr>
        <w:pStyle w:val="BodyText"/>
      </w:pPr>
      <w:r w:rsidRPr="008D54A5">
        <w:t xml:space="preserve">A variety of data investigations </w:t>
      </w:r>
      <w:r w:rsidR="008F36E8" w:rsidRPr="008D54A5">
        <w:t xml:space="preserve">are </w:t>
      </w:r>
      <w:r w:rsidRPr="008D54A5">
        <w:t>conducted throughout the MPC data collection</w:t>
      </w:r>
      <w:r w:rsidR="008F36E8" w:rsidRPr="008D54A5">
        <w:t xml:space="preserve">. </w:t>
      </w:r>
      <w:r w:rsidR="00DB6603" w:rsidRPr="008D54A5">
        <w:t>Data collection managers investigate and correct these issues (if necessary)</w:t>
      </w:r>
      <w:r w:rsidRPr="008D54A5">
        <w:t xml:space="preserve">. These data edits generally look across events or pairs and </w:t>
      </w:r>
      <w:r w:rsidR="008F36E8" w:rsidRPr="008D54A5">
        <w:t>a</w:t>
      </w:r>
      <w:r w:rsidRPr="008D54A5">
        <w:t>re conducted in addition to the on</w:t>
      </w:r>
      <w:r w:rsidR="00BF4775" w:rsidRPr="008D54A5">
        <w:t>-</w:t>
      </w:r>
      <w:r w:rsidRPr="008D54A5">
        <w:t xml:space="preserve">site Edit Shop run nightly during data collection. Spreadsheets that </w:t>
      </w:r>
      <w:r w:rsidR="008F36E8" w:rsidRPr="008D54A5">
        <w:t xml:space="preserve">identify </w:t>
      </w:r>
      <w:r w:rsidRPr="008D54A5">
        <w:t xml:space="preserve">the specific events </w:t>
      </w:r>
      <w:r w:rsidR="008F36E8" w:rsidRPr="008D54A5">
        <w:t>a</w:t>
      </w:r>
      <w:r w:rsidRPr="008D54A5">
        <w:t>re prepared and shared with the data collection managers, who review the records and ma</w:t>
      </w:r>
      <w:r w:rsidR="008F36E8" w:rsidRPr="008D54A5">
        <w:t>k</w:t>
      </w:r>
      <w:r w:rsidRPr="008D54A5">
        <w:t>e</w:t>
      </w:r>
      <w:r w:rsidR="008F36E8" w:rsidRPr="008D54A5">
        <w:t xml:space="preserve"> necessary</w:t>
      </w:r>
      <w:r w:rsidRPr="008D54A5">
        <w:t xml:space="preserve"> corrections to the data.</w:t>
      </w:r>
      <w:r w:rsidR="008F36E8" w:rsidRPr="008D54A5">
        <w:t xml:space="preserve"> </w:t>
      </w:r>
      <w:r w:rsidR="00356CD1" w:rsidRPr="00B53C63">
        <w:rPr>
          <w:b/>
        </w:rPr>
        <w:t>Exhibit </w:t>
      </w:r>
      <w:r w:rsidR="008F36E8" w:rsidRPr="008D54A5">
        <w:rPr>
          <w:b/>
        </w:rPr>
        <w:t>3.2</w:t>
      </w:r>
      <w:r w:rsidR="008F36E8" w:rsidRPr="008D54A5">
        <w:t xml:space="preserve"> details the managerial edits that were conducted during the </w:t>
      </w:r>
      <w:r w:rsidR="00FB649E" w:rsidRPr="008D54A5">
        <w:t>202</w:t>
      </w:r>
      <w:r w:rsidR="00374826" w:rsidRPr="008D54A5">
        <w:t>2</w:t>
      </w:r>
      <w:r w:rsidR="00FB649E" w:rsidRPr="008D54A5">
        <w:t xml:space="preserve"> </w:t>
      </w:r>
      <w:r w:rsidR="008F36E8" w:rsidRPr="008D54A5">
        <w:t>data collection.</w:t>
      </w:r>
    </w:p>
    <w:bookmarkEnd w:id="27"/>
    <w:p w14:paraId="625A3CC7" w14:textId="77777777" w:rsidR="00B513F2" w:rsidRPr="008D54A5" w:rsidRDefault="00B513F2">
      <w:pPr>
        <w:rPr>
          <w:rFonts w:ascii="Arial" w:hAnsi="Arial"/>
          <w:b/>
          <w:bCs/>
        </w:rPr>
      </w:pPr>
      <w:r w:rsidRPr="008D54A5">
        <w:br w:type="page"/>
      </w:r>
    </w:p>
    <w:p w14:paraId="2A814E78" w14:textId="48ED25F8" w:rsidR="001067D4" w:rsidRPr="008D54A5" w:rsidRDefault="00356CD1" w:rsidP="00FD4A4F">
      <w:pPr>
        <w:pStyle w:val="ExhibitTitle"/>
      </w:pPr>
      <w:bookmarkStart w:id="32" w:name="_Toc128574183"/>
      <w:bookmarkStart w:id="33" w:name="_Toc188622340"/>
      <w:r w:rsidRPr="00B53C63">
        <w:lastRenderedPageBreak/>
        <w:t>Exhibit </w:t>
      </w:r>
      <w:r w:rsidR="000F4D1A" w:rsidRPr="008D54A5">
        <w:rPr>
          <w:noProof/>
        </w:rPr>
        <w:fldChar w:fldCharType="begin"/>
      </w:r>
      <w:r w:rsidR="000F4D1A" w:rsidRPr="008D54A5">
        <w:rPr>
          <w:noProof/>
        </w:rPr>
        <w:instrText xml:space="preserve"> STYLEREF 1 \s </w:instrText>
      </w:r>
      <w:r w:rsidR="000F4D1A" w:rsidRPr="008D54A5">
        <w:rPr>
          <w:noProof/>
        </w:rPr>
        <w:fldChar w:fldCharType="separate"/>
      </w:r>
      <w:r w:rsidR="00EC2444" w:rsidRPr="008D54A5">
        <w:rPr>
          <w:noProof/>
        </w:rPr>
        <w:t>3</w:t>
      </w:r>
      <w:r w:rsidR="000F4D1A" w:rsidRPr="008D54A5">
        <w:rPr>
          <w:noProof/>
        </w:rPr>
        <w:fldChar w:fldCharType="end"/>
      </w:r>
      <w:r w:rsidR="00DC58AB" w:rsidRPr="008D54A5">
        <w:t>.</w:t>
      </w:r>
      <w:r w:rsidR="000F4D1A" w:rsidRPr="008D54A5">
        <w:rPr>
          <w:noProof/>
        </w:rPr>
        <w:fldChar w:fldCharType="begin"/>
      </w:r>
      <w:r w:rsidR="000F4D1A" w:rsidRPr="008D54A5">
        <w:rPr>
          <w:noProof/>
        </w:rPr>
        <w:instrText xml:space="preserve"> SEQ Exhibit \* ARABIC \s 1 </w:instrText>
      </w:r>
      <w:r w:rsidR="000F4D1A" w:rsidRPr="008D54A5">
        <w:rPr>
          <w:noProof/>
        </w:rPr>
        <w:fldChar w:fldCharType="separate"/>
      </w:r>
      <w:r w:rsidR="00EC2444" w:rsidRPr="008D54A5">
        <w:rPr>
          <w:noProof/>
        </w:rPr>
        <w:t>2</w:t>
      </w:r>
      <w:r w:rsidR="000F4D1A" w:rsidRPr="008D54A5">
        <w:rPr>
          <w:noProof/>
        </w:rPr>
        <w:fldChar w:fldCharType="end"/>
      </w:r>
      <w:r w:rsidR="00DC58AB" w:rsidRPr="008D54A5">
        <w:tab/>
      </w:r>
      <w:r w:rsidR="004A7BDE" w:rsidRPr="008D54A5">
        <w:t>202</w:t>
      </w:r>
      <w:r w:rsidR="00F70D53" w:rsidRPr="008D54A5">
        <w:t>2</w:t>
      </w:r>
      <w:r w:rsidR="00F66AD2" w:rsidRPr="008D54A5">
        <w:t xml:space="preserve"> MPC Managerial </w:t>
      </w:r>
      <w:r w:rsidR="00813FB5" w:rsidRPr="008D54A5">
        <w:t>Reviews</w:t>
      </w:r>
      <w:bookmarkEnd w:id="32"/>
      <w:bookmarkEnd w:id="33"/>
    </w:p>
    <w:tbl>
      <w:tblPr>
        <w:tblStyle w:val="TableGrid"/>
        <w:tblW w:w="5000" w:type="pct"/>
        <w:tblCellMar>
          <w:left w:w="72" w:type="dxa"/>
          <w:right w:w="72" w:type="dxa"/>
        </w:tblCellMar>
        <w:tblLook w:val="04A0" w:firstRow="1" w:lastRow="0" w:firstColumn="1" w:lastColumn="0" w:noHBand="0" w:noVBand="1"/>
      </w:tblPr>
      <w:tblGrid>
        <w:gridCol w:w="948"/>
        <w:gridCol w:w="8402"/>
      </w:tblGrid>
      <w:tr w:rsidR="005937FA" w:rsidRPr="008D54A5" w14:paraId="13B175EE" w14:textId="77777777" w:rsidTr="00C90C6E">
        <w:trPr>
          <w:cnfStyle w:val="100000000000" w:firstRow="1" w:lastRow="0" w:firstColumn="0" w:lastColumn="0" w:oddVBand="0" w:evenVBand="0" w:oddHBand="0" w:evenHBand="0" w:firstRowFirstColumn="0" w:firstRowLastColumn="0" w:lastRowFirstColumn="0" w:lastRowLastColumn="0"/>
          <w:trHeight w:val="20"/>
        </w:trPr>
        <w:tc>
          <w:tcPr>
            <w:tcW w:w="507" w:type="pct"/>
          </w:tcPr>
          <w:p w14:paraId="437780B4" w14:textId="77777777" w:rsidR="005937FA" w:rsidRPr="008D54A5" w:rsidRDefault="005937FA" w:rsidP="00356CD1">
            <w:pPr>
              <w:pStyle w:val="TableHeading"/>
            </w:pPr>
            <w:r w:rsidRPr="008D54A5">
              <w:t>Edit #</w:t>
            </w:r>
          </w:p>
        </w:tc>
        <w:tc>
          <w:tcPr>
            <w:tcW w:w="4493" w:type="pct"/>
          </w:tcPr>
          <w:p w14:paraId="5A914FDB" w14:textId="77777777" w:rsidR="005937FA" w:rsidRPr="008D54A5" w:rsidRDefault="005937FA" w:rsidP="00356CD1">
            <w:pPr>
              <w:pStyle w:val="TableHeading"/>
            </w:pPr>
            <w:r w:rsidRPr="008D54A5">
              <w:t>Edit</w:t>
            </w:r>
          </w:p>
        </w:tc>
      </w:tr>
      <w:tr w:rsidR="005937FA" w:rsidRPr="008D54A5" w14:paraId="42B789EC" w14:textId="77777777" w:rsidTr="00C90C6E">
        <w:trPr>
          <w:trHeight w:val="20"/>
        </w:trPr>
        <w:tc>
          <w:tcPr>
            <w:tcW w:w="507" w:type="pct"/>
            <w:vAlign w:val="center"/>
          </w:tcPr>
          <w:p w14:paraId="1A05D81F" w14:textId="77777777" w:rsidR="005937FA" w:rsidRPr="008D54A5" w:rsidRDefault="005937FA" w:rsidP="007A4CF4">
            <w:pPr>
              <w:pStyle w:val="TableText-center"/>
            </w:pPr>
            <w:r w:rsidRPr="008D54A5">
              <w:t>1</w:t>
            </w:r>
          </w:p>
        </w:tc>
        <w:tc>
          <w:tcPr>
            <w:tcW w:w="4493" w:type="pct"/>
          </w:tcPr>
          <w:p w14:paraId="6D40DAA0" w14:textId="77069E82" w:rsidR="005937FA" w:rsidRPr="008D54A5" w:rsidRDefault="005937FA" w:rsidP="007A4CF4">
            <w:pPr>
              <w:pStyle w:val="TableText"/>
            </w:pPr>
            <w:r w:rsidRPr="008D54A5">
              <w:t xml:space="preserve">By patient, compare the distribution of events between the HC and MPC. Note that </w:t>
            </w:r>
            <w:r w:rsidR="00356CD1" w:rsidRPr="008D54A5">
              <w:t>“</w:t>
            </w:r>
            <w:r w:rsidRPr="008D54A5">
              <w:t>difference</w:t>
            </w:r>
            <w:r w:rsidR="00356CD1" w:rsidRPr="008D54A5">
              <w:t>”</w:t>
            </w:r>
            <w:r w:rsidRPr="008D54A5">
              <w:t xml:space="preserve"> indicates that the number of HC events is greater than the number of MPC events. Cases are flagged if this difference exceeds a certain threshold</w:t>
            </w:r>
            <w:r w:rsidR="00607849" w:rsidRPr="008D54A5">
              <w:t>,</w:t>
            </w:r>
            <w:r w:rsidRPr="008D54A5">
              <w:t xml:space="preserve"> which varies by event type:</w:t>
            </w:r>
          </w:p>
          <w:p w14:paraId="6C102342" w14:textId="2C7C3E83" w:rsidR="005937FA" w:rsidRPr="008D54A5" w:rsidRDefault="005937FA" w:rsidP="002F0926">
            <w:pPr>
              <w:pStyle w:val="TablebulletLM"/>
            </w:pPr>
            <w:r w:rsidRPr="008D54A5">
              <w:t xml:space="preserve">If the number of </w:t>
            </w:r>
            <w:r w:rsidR="00312561" w:rsidRPr="008D54A5">
              <w:t>HH</w:t>
            </w:r>
            <w:r w:rsidRPr="008D54A5">
              <w:t xml:space="preserve"> events collected by MPC is less than half the number of </w:t>
            </w:r>
            <w:r w:rsidR="00312561" w:rsidRPr="008D54A5">
              <w:t>HH</w:t>
            </w:r>
            <w:r w:rsidRPr="008D54A5">
              <w:t xml:space="preserve"> events reported in HC, the case is flagged.</w:t>
            </w:r>
          </w:p>
          <w:p w14:paraId="422593FC" w14:textId="7FE0ABF1" w:rsidR="005937FA" w:rsidRPr="008D54A5" w:rsidRDefault="005937FA" w:rsidP="002F0926">
            <w:pPr>
              <w:pStyle w:val="TablebulletLM"/>
            </w:pPr>
            <w:r w:rsidRPr="008D54A5">
              <w:t xml:space="preserve">If HC and MPC </w:t>
            </w:r>
            <w:r w:rsidR="002B5033" w:rsidRPr="008D54A5">
              <w:t>IP</w:t>
            </w:r>
            <w:r w:rsidRPr="008D54A5">
              <w:t>/institution events have a difference of 1 or greater, the case is flagged.</w:t>
            </w:r>
          </w:p>
          <w:p w14:paraId="36AB11E0" w14:textId="77777777" w:rsidR="005937FA" w:rsidRPr="008D54A5" w:rsidRDefault="005937FA" w:rsidP="002F0926">
            <w:pPr>
              <w:pStyle w:val="TablebulletLM"/>
            </w:pPr>
            <w:r w:rsidRPr="008D54A5">
              <w:t>If HC and MPC ER events have a difference of 2 or greater, the case is flagged.</w:t>
            </w:r>
          </w:p>
          <w:p w14:paraId="5BD9845B" w14:textId="1FBE17D4" w:rsidR="005937FA" w:rsidRPr="008D54A5" w:rsidRDefault="005937FA" w:rsidP="002F0926">
            <w:pPr>
              <w:pStyle w:val="TablebulletLM"/>
            </w:pPr>
            <w:r w:rsidRPr="008D54A5">
              <w:t xml:space="preserve">If HC and MPC </w:t>
            </w:r>
            <w:r w:rsidR="001836C6" w:rsidRPr="008D54A5">
              <w:t>OP/MV</w:t>
            </w:r>
            <w:r w:rsidRPr="008D54A5">
              <w:t xml:space="preserve"> events have a difference of 10 or </w:t>
            </w:r>
            <w:r w:rsidR="00E71CD6" w:rsidRPr="008D54A5">
              <w:t>greater</w:t>
            </w:r>
            <w:r w:rsidRPr="008D54A5">
              <w:t>, the case is flagged.</w:t>
            </w:r>
          </w:p>
        </w:tc>
      </w:tr>
      <w:tr w:rsidR="005937FA" w:rsidRPr="008D54A5" w14:paraId="2C1D01B8" w14:textId="77777777" w:rsidTr="00C90C6E">
        <w:trPr>
          <w:trHeight w:val="20"/>
        </w:trPr>
        <w:tc>
          <w:tcPr>
            <w:tcW w:w="507" w:type="pct"/>
            <w:vAlign w:val="center"/>
          </w:tcPr>
          <w:p w14:paraId="16330E09" w14:textId="77777777" w:rsidR="005937FA" w:rsidRPr="008D54A5" w:rsidRDefault="005937FA" w:rsidP="007A4CF4">
            <w:pPr>
              <w:pStyle w:val="TableText-center"/>
            </w:pPr>
            <w:r w:rsidRPr="008D54A5">
              <w:t>2</w:t>
            </w:r>
          </w:p>
        </w:tc>
        <w:tc>
          <w:tcPr>
            <w:tcW w:w="4493" w:type="pct"/>
          </w:tcPr>
          <w:p w14:paraId="3FAE26F1" w14:textId="77777777" w:rsidR="005937FA" w:rsidRPr="008D54A5" w:rsidRDefault="005937FA" w:rsidP="007A4CF4">
            <w:pPr>
              <w:pStyle w:val="TableText"/>
            </w:pPr>
            <w:r w:rsidRPr="008D54A5">
              <w:t>Identify OBDs with only S-type events for the same person and provider.</w:t>
            </w:r>
          </w:p>
          <w:p w14:paraId="1718C3D2" w14:textId="45944552" w:rsidR="005937FA" w:rsidRPr="008D54A5" w:rsidRDefault="008501A7" w:rsidP="002D5489">
            <w:r w:rsidRPr="008D54A5">
              <w:rPr>
                <w:rFonts w:asciiTheme="majorBidi" w:hAnsiTheme="majorBidi" w:cstheme="majorBidi"/>
                <w:sz w:val="20"/>
              </w:rPr>
              <w:t>S</w:t>
            </w:r>
            <w:r w:rsidR="00B8064F" w:rsidRPr="008D54A5">
              <w:rPr>
                <w:rFonts w:asciiTheme="majorBidi" w:hAnsiTheme="majorBidi" w:cstheme="majorBidi"/>
                <w:sz w:val="20"/>
              </w:rPr>
              <w:t xml:space="preserve">tarting in </w:t>
            </w:r>
            <w:r w:rsidR="005937FA" w:rsidRPr="008D54A5">
              <w:rPr>
                <w:rFonts w:asciiTheme="majorBidi" w:hAnsiTheme="majorBidi" w:cstheme="majorBidi"/>
                <w:sz w:val="20"/>
              </w:rPr>
              <w:t>201</w:t>
            </w:r>
            <w:r w:rsidR="00D836F4" w:rsidRPr="008D54A5">
              <w:rPr>
                <w:rFonts w:asciiTheme="majorBidi" w:hAnsiTheme="majorBidi" w:cstheme="majorBidi"/>
                <w:sz w:val="20"/>
              </w:rPr>
              <w:t>5</w:t>
            </w:r>
            <w:r w:rsidR="005937FA" w:rsidRPr="008D54A5">
              <w:rPr>
                <w:rFonts w:asciiTheme="majorBidi" w:hAnsiTheme="majorBidi" w:cstheme="majorBidi"/>
                <w:sz w:val="20"/>
              </w:rPr>
              <w:t>,</w:t>
            </w:r>
            <w:r w:rsidR="00B8064F" w:rsidRPr="008D54A5">
              <w:rPr>
                <w:rFonts w:asciiTheme="majorBidi" w:hAnsiTheme="majorBidi" w:cstheme="majorBidi"/>
                <w:sz w:val="20"/>
              </w:rPr>
              <w:t xml:space="preserve"> the</w:t>
            </w:r>
            <w:r w:rsidR="005937FA" w:rsidRPr="008D54A5">
              <w:rPr>
                <w:rFonts w:asciiTheme="majorBidi" w:hAnsiTheme="majorBidi" w:cstheme="majorBidi"/>
                <w:sz w:val="20"/>
              </w:rPr>
              <w:t xml:space="preserve"> </w:t>
            </w:r>
            <w:r w:rsidR="005937FA" w:rsidRPr="008D54A5">
              <w:rPr>
                <w:rFonts w:asciiTheme="majorBidi" w:hAnsiTheme="majorBidi" w:cstheme="majorBidi"/>
                <w:bCs/>
                <w:sz w:val="20"/>
              </w:rPr>
              <w:t xml:space="preserve">location of service </w:t>
            </w:r>
            <w:r w:rsidR="00135DFD" w:rsidRPr="008D54A5">
              <w:rPr>
                <w:rFonts w:asciiTheme="majorBidi" w:hAnsiTheme="majorBidi" w:cstheme="majorBidi"/>
                <w:bCs/>
                <w:sz w:val="20"/>
              </w:rPr>
              <w:t>is</w:t>
            </w:r>
            <w:r w:rsidR="005937FA" w:rsidRPr="008D54A5">
              <w:rPr>
                <w:rFonts w:asciiTheme="majorBidi" w:hAnsiTheme="majorBidi" w:cstheme="majorBidi"/>
                <w:bCs/>
                <w:sz w:val="20"/>
              </w:rPr>
              <w:t xml:space="preserve"> changed </w:t>
            </w:r>
            <w:r w:rsidR="005937FA" w:rsidRPr="008D54A5">
              <w:rPr>
                <w:rFonts w:asciiTheme="majorBidi" w:hAnsiTheme="majorBidi" w:cstheme="majorBidi"/>
                <w:sz w:val="20"/>
              </w:rPr>
              <w:t>to Physician Office when each event in the pair ha</w:t>
            </w:r>
            <w:r w:rsidR="00607849" w:rsidRPr="008D54A5">
              <w:rPr>
                <w:rFonts w:asciiTheme="majorBidi" w:hAnsiTheme="majorBidi" w:cstheme="majorBidi"/>
                <w:sz w:val="20"/>
              </w:rPr>
              <w:t>s</w:t>
            </w:r>
            <w:r w:rsidR="005937FA" w:rsidRPr="008D54A5">
              <w:rPr>
                <w:rFonts w:asciiTheme="majorBidi" w:hAnsiTheme="majorBidi" w:cstheme="majorBidi"/>
                <w:sz w:val="20"/>
              </w:rPr>
              <w:t xml:space="preserve"> at least one CPT that is 99201-99205, 99211-99215, or 99381-99387</w:t>
            </w:r>
            <w:r w:rsidR="005937FA" w:rsidRPr="008D54A5">
              <w:rPr>
                <w:rFonts w:asciiTheme="majorBidi" w:hAnsiTheme="majorBidi" w:cstheme="majorBidi"/>
                <w:bCs/>
                <w:sz w:val="20"/>
              </w:rPr>
              <w:t>.</w:t>
            </w:r>
          </w:p>
        </w:tc>
      </w:tr>
      <w:tr w:rsidR="005937FA" w:rsidRPr="008D54A5" w14:paraId="5310B1F4" w14:textId="77777777" w:rsidTr="00C90C6E">
        <w:trPr>
          <w:trHeight w:val="20"/>
        </w:trPr>
        <w:tc>
          <w:tcPr>
            <w:tcW w:w="507" w:type="pct"/>
            <w:vAlign w:val="center"/>
          </w:tcPr>
          <w:p w14:paraId="6FD7ACAF" w14:textId="77777777" w:rsidR="005937FA" w:rsidRPr="008D54A5" w:rsidRDefault="005937FA" w:rsidP="007A4CF4">
            <w:pPr>
              <w:pStyle w:val="TableText-center"/>
            </w:pPr>
            <w:r w:rsidRPr="008D54A5">
              <w:t>3</w:t>
            </w:r>
          </w:p>
        </w:tc>
        <w:tc>
          <w:tcPr>
            <w:tcW w:w="4493" w:type="pct"/>
          </w:tcPr>
          <w:p w14:paraId="4008A24C" w14:textId="5AA4F116" w:rsidR="005937FA" w:rsidRPr="008D54A5" w:rsidRDefault="005937FA" w:rsidP="007A4CF4">
            <w:pPr>
              <w:pStyle w:val="TableText"/>
            </w:pPr>
            <w:r w:rsidRPr="008D54A5">
              <w:t xml:space="preserve">Identify and examine potential duplicate OBD and </w:t>
            </w:r>
            <w:r w:rsidR="00B612CA" w:rsidRPr="008D54A5">
              <w:t>H</w:t>
            </w:r>
            <w:r w:rsidRPr="008D54A5">
              <w:t>ospital events that meet one of the following criteria:</w:t>
            </w:r>
          </w:p>
          <w:p w14:paraId="264706AB" w14:textId="30398D28" w:rsidR="005937FA" w:rsidRPr="008D54A5" w:rsidRDefault="005937FA" w:rsidP="00DB3958">
            <w:pPr>
              <w:pStyle w:val="TablebulletLM"/>
            </w:pPr>
            <w:r w:rsidRPr="008D54A5">
              <w:t xml:space="preserve">OBD, </w:t>
            </w:r>
            <w:r w:rsidR="002902F6" w:rsidRPr="008D54A5">
              <w:t>HS</w:t>
            </w:r>
            <w:r w:rsidRPr="008D54A5">
              <w:t xml:space="preserve">, </w:t>
            </w:r>
            <w:r w:rsidR="002902F6" w:rsidRPr="008D54A5">
              <w:t>OP</w:t>
            </w:r>
            <w:r w:rsidRPr="008D54A5">
              <w:t>, or ER events on identical or overlapping dates for the same person with the same total charge and/or total payment</w:t>
            </w:r>
          </w:p>
          <w:p w14:paraId="0CB2C4D2" w14:textId="130A2527" w:rsidR="0065623F" w:rsidRPr="008D54A5" w:rsidRDefault="002B5033" w:rsidP="00DB3958">
            <w:pPr>
              <w:pStyle w:val="TablebulletLM"/>
            </w:pPr>
            <w:r w:rsidRPr="008D54A5">
              <w:t>IP</w:t>
            </w:r>
            <w:r w:rsidR="004857F3" w:rsidRPr="008D54A5">
              <w:t xml:space="preserve"> hospital stays</w:t>
            </w:r>
            <w:r w:rsidR="005937FA" w:rsidRPr="008D54A5">
              <w:t xml:space="preserve"> with overlapping dates</w:t>
            </w:r>
          </w:p>
          <w:p w14:paraId="07400C9B" w14:textId="7AD64963" w:rsidR="00DB3958" w:rsidRPr="008D54A5" w:rsidRDefault="00877EEF" w:rsidP="00C90C6E">
            <w:pPr>
              <w:pStyle w:val="TablebulletLM"/>
              <w:numPr>
                <w:ilvl w:val="0"/>
                <w:numId w:val="0"/>
              </w:numPr>
              <w:ind w:left="30"/>
            </w:pPr>
            <w:r w:rsidRPr="008D54A5">
              <w:t>Starting i</w:t>
            </w:r>
            <w:r w:rsidR="00DB3958" w:rsidRPr="008D54A5">
              <w:t xml:space="preserve">n the 2020 cycle, this spreadsheet was expanded to include events with overlapping dates where the total OBD charges or payments was the same as a charge or payment for a </w:t>
            </w:r>
            <w:proofErr w:type="gramStart"/>
            <w:r w:rsidR="00DB3958" w:rsidRPr="008D54A5">
              <w:t>Hospital</w:t>
            </w:r>
            <w:proofErr w:type="gramEnd"/>
            <w:r w:rsidR="00DB3958" w:rsidRPr="008D54A5">
              <w:t xml:space="preserve"> event </w:t>
            </w:r>
            <w:r w:rsidR="001E0B69" w:rsidRPr="008D54A5">
              <w:t>with</w:t>
            </w:r>
            <w:r w:rsidR="00DB3958" w:rsidRPr="008D54A5">
              <w:t xml:space="preserve"> the same set of dates. </w:t>
            </w:r>
          </w:p>
          <w:p w14:paraId="4C6B7FBF" w14:textId="67B48F30" w:rsidR="005937FA" w:rsidRPr="008D54A5" w:rsidRDefault="006C6E90">
            <w:pPr>
              <w:pStyle w:val="TableText"/>
            </w:pPr>
            <w:r w:rsidRPr="008D54A5">
              <w:t>Some</w:t>
            </w:r>
            <w:r w:rsidR="00BA3209" w:rsidRPr="008D54A5">
              <w:t xml:space="preserve"> </w:t>
            </w:r>
            <w:r w:rsidR="001A53EC" w:rsidRPr="008D54A5">
              <w:t xml:space="preserve">potential duplicate events </w:t>
            </w:r>
            <w:r w:rsidRPr="008D54A5">
              <w:t>are</w:t>
            </w:r>
            <w:r w:rsidR="001A53EC" w:rsidRPr="008D54A5">
              <w:t xml:space="preserve"> </w:t>
            </w:r>
            <w:r w:rsidR="00BA3209" w:rsidRPr="008D54A5">
              <w:t>r</w:t>
            </w:r>
            <w:r w:rsidR="005937FA" w:rsidRPr="008D54A5">
              <w:t>esolved via a computer algorithm where the dates were the same and the total charge and</w:t>
            </w:r>
            <w:r w:rsidRPr="008D54A5">
              <w:t>/or</w:t>
            </w:r>
            <w:r w:rsidR="005937FA" w:rsidRPr="008D54A5">
              <w:t xml:space="preserve"> total payments </w:t>
            </w:r>
            <w:r w:rsidRPr="008D54A5">
              <w:t>are</w:t>
            </w:r>
            <w:r w:rsidR="005937FA" w:rsidRPr="008D54A5">
              <w:t xml:space="preserve"> the same.</w:t>
            </w:r>
          </w:p>
        </w:tc>
      </w:tr>
      <w:tr w:rsidR="005937FA" w:rsidRPr="008D54A5" w14:paraId="36332935" w14:textId="77777777" w:rsidTr="00C90C6E">
        <w:trPr>
          <w:trHeight w:val="20"/>
        </w:trPr>
        <w:tc>
          <w:tcPr>
            <w:tcW w:w="507" w:type="pct"/>
            <w:vAlign w:val="center"/>
          </w:tcPr>
          <w:p w14:paraId="4287C93D" w14:textId="77777777" w:rsidR="005937FA" w:rsidRPr="008D54A5" w:rsidRDefault="005937FA" w:rsidP="007A4CF4">
            <w:pPr>
              <w:pStyle w:val="TableText-center"/>
            </w:pPr>
            <w:r w:rsidRPr="008D54A5">
              <w:t>4</w:t>
            </w:r>
          </w:p>
        </w:tc>
        <w:tc>
          <w:tcPr>
            <w:tcW w:w="4493" w:type="pct"/>
          </w:tcPr>
          <w:p w14:paraId="6E3FFCB4" w14:textId="598FF3D4" w:rsidR="005937FA" w:rsidRPr="008D54A5" w:rsidRDefault="005937FA" w:rsidP="007A4CF4">
            <w:pPr>
              <w:pStyle w:val="TableText"/>
            </w:pPr>
            <w:r w:rsidRPr="008D54A5">
              <w:t xml:space="preserve">Review OBD, </w:t>
            </w:r>
            <w:r w:rsidR="00B612CA" w:rsidRPr="008D54A5">
              <w:t>H</w:t>
            </w:r>
            <w:r w:rsidRPr="008D54A5">
              <w:t xml:space="preserve">ospital (excluding </w:t>
            </w:r>
            <w:r w:rsidR="002B5033" w:rsidRPr="008D54A5">
              <w:t>IP</w:t>
            </w:r>
            <w:r w:rsidRPr="008D54A5">
              <w:t>), and SBD events with extreme values on payment and total charge variables, particularly large payment values from unexpected sources.</w:t>
            </w:r>
          </w:p>
          <w:p w14:paraId="028A02C8" w14:textId="1EA69C9B" w:rsidR="0065623F" w:rsidRPr="008D54A5" w:rsidRDefault="00877EEF" w:rsidP="007A4CF4">
            <w:pPr>
              <w:pStyle w:val="TableText"/>
            </w:pPr>
            <w:r w:rsidRPr="008D54A5">
              <w:t xml:space="preserve">Starting in 2019, </w:t>
            </w:r>
            <w:r w:rsidR="0065623F" w:rsidRPr="008D54A5">
              <w:t>Home Health events with extreme values for total charge or payment were added to this review.</w:t>
            </w:r>
          </w:p>
          <w:p w14:paraId="27CE7389" w14:textId="2008F8F2" w:rsidR="005937FA" w:rsidRPr="008D54A5" w:rsidRDefault="005937FA" w:rsidP="007A4CF4">
            <w:pPr>
              <w:pStyle w:val="TableText"/>
            </w:pPr>
            <w:r w:rsidRPr="008D54A5">
              <w:t xml:space="preserve">Excluded from review: Global fee, OBD, or </w:t>
            </w:r>
            <w:r w:rsidR="002902F6" w:rsidRPr="008D54A5">
              <w:t>OP</w:t>
            </w:r>
            <w:r w:rsidRPr="008D54A5">
              <w:t xml:space="preserve"> events that include chemotherapy or cardiac care, </w:t>
            </w:r>
            <w:r w:rsidR="002902F6" w:rsidRPr="008D54A5">
              <w:t>OP</w:t>
            </w:r>
            <w:r w:rsidRPr="008D54A5">
              <w:t xml:space="preserve"> lab events, </w:t>
            </w:r>
            <w:r w:rsidR="001A53EC" w:rsidRPr="008D54A5">
              <w:t xml:space="preserve">and/or </w:t>
            </w:r>
            <w:r w:rsidR="002902F6" w:rsidRPr="008D54A5">
              <w:t>OP</w:t>
            </w:r>
            <w:r w:rsidRPr="008D54A5">
              <w:t xml:space="preserve"> surgeries.</w:t>
            </w:r>
          </w:p>
        </w:tc>
      </w:tr>
      <w:tr w:rsidR="005937FA" w:rsidRPr="008D54A5" w14:paraId="3FDD6845" w14:textId="77777777" w:rsidTr="00C90C6E">
        <w:trPr>
          <w:trHeight w:val="20"/>
        </w:trPr>
        <w:tc>
          <w:tcPr>
            <w:tcW w:w="507" w:type="pct"/>
            <w:vAlign w:val="center"/>
          </w:tcPr>
          <w:p w14:paraId="63C0B94F" w14:textId="77777777" w:rsidR="005937FA" w:rsidRPr="008D54A5" w:rsidRDefault="005937FA" w:rsidP="007A4CF4">
            <w:pPr>
              <w:pStyle w:val="TableText-center"/>
            </w:pPr>
            <w:r w:rsidRPr="008D54A5">
              <w:t>5</w:t>
            </w:r>
          </w:p>
        </w:tc>
        <w:tc>
          <w:tcPr>
            <w:tcW w:w="4493" w:type="pct"/>
          </w:tcPr>
          <w:p w14:paraId="7A2393ED" w14:textId="09CA4D4F" w:rsidR="00DB3958" w:rsidRPr="008D54A5" w:rsidRDefault="005937FA" w:rsidP="007A4CF4">
            <w:pPr>
              <w:pStyle w:val="TableText"/>
            </w:pPr>
            <w:r w:rsidRPr="008D54A5">
              <w:t>Examine events with missing reason for discrepancy when payment</w:t>
            </w:r>
            <w:r w:rsidR="00B011D0" w:rsidRPr="008D54A5">
              <w:t xml:space="preserve"> </w:t>
            </w:r>
            <w:r w:rsidR="001A53EC" w:rsidRPr="008D54A5">
              <w:t xml:space="preserve">is less than </w:t>
            </w:r>
            <w:r w:rsidRPr="008D54A5">
              <w:t>charge and fee-for-service</w:t>
            </w:r>
            <w:r w:rsidR="00200CEC" w:rsidRPr="008D54A5">
              <w:t xml:space="preserve"> (FFS)</w:t>
            </w:r>
            <w:r w:rsidRPr="008D54A5">
              <w:t xml:space="preserve"> events with missing charge or payment.</w:t>
            </w:r>
          </w:p>
          <w:p w14:paraId="7391EA7B" w14:textId="32FC2643" w:rsidR="00DB3958" w:rsidRPr="008D54A5" w:rsidRDefault="00DB3958" w:rsidP="00514FF9">
            <w:pPr>
              <w:pStyle w:val="bullets"/>
              <w:numPr>
                <w:ilvl w:val="0"/>
                <w:numId w:val="0"/>
              </w:numPr>
            </w:pPr>
            <w:r w:rsidRPr="008D54A5">
              <w:rPr>
                <w:sz w:val="20"/>
              </w:rPr>
              <w:t xml:space="preserve"> </w:t>
            </w:r>
          </w:p>
        </w:tc>
      </w:tr>
      <w:tr w:rsidR="005937FA" w:rsidRPr="008D54A5" w14:paraId="4982C0B7" w14:textId="77777777" w:rsidTr="00C90C6E">
        <w:trPr>
          <w:trHeight w:val="20"/>
        </w:trPr>
        <w:tc>
          <w:tcPr>
            <w:tcW w:w="507" w:type="pct"/>
            <w:vAlign w:val="center"/>
          </w:tcPr>
          <w:p w14:paraId="2BF5F503" w14:textId="77777777" w:rsidR="005937FA" w:rsidRPr="008D54A5" w:rsidRDefault="005937FA" w:rsidP="007A4CF4">
            <w:pPr>
              <w:pStyle w:val="TableText-center"/>
            </w:pPr>
            <w:r w:rsidRPr="008D54A5">
              <w:t>6</w:t>
            </w:r>
          </w:p>
        </w:tc>
        <w:tc>
          <w:tcPr>
            <w:tcW w:w="4493" w:type="pct"/>
          </w:tcPr>
          <w:p w14:paraId="15C534AE" w14:textId="134316E3" w:rsidR="005937FA" w:rsidRPr="008D54A5" w:rsidRDefault="005937FA" w:rsidP="007A4CF4">
            <w:pPr>
              <w:pStyle w:val="TableText"/>
            </w:pPr>
            <w:r w:rsidRPr="008D54A5">
              <w:t xml:space="preserve">Examine extreme </w:t>
            </w:r>
            <w:r w:rsidR="002B5033" w:rsidRPr="008D54A5">
              <w:t xml:space="preserve">IP </w:t>
            </w:r>
            <w:r w:rsidRPr="008D54A5">
              <w:t xml:space="preserve">total charge and total payment values per stay day (abnormally large or small values); small values may be an indication that professional fees were collected. </w:t>
            </w:r>
          </w:p>
        </w:tc>
      </w:tr>
      <w:tr w:rsidR="005937FA" w:rsidRPr="008D54A5" w14:paraId="281634A1" w14:textId="77777777" w:rsidTr="00C90C6E">
        <w:trPr>
          <w:trHeight w:val="20"/>
        </w:trPr>
        <w:tc>
          <w:tcPr>
            <w:tcW w:w="507" w:type="pct"/>
            <w:vAlign w:val="center"/>
          </w:tcPr>
          <w:p w14:paraId="0165CF06" w14:textId="77777777" w:rsidR="005937FA" w:rsidRPr="008D54A5" w:rsidRDefault="005937FA" w:rsidP="007A4CF4">
            <w:pPr>
              <w:pStyle w:val="TableText-center"/>
            </w:pPr>
            <w:r w:rsidRPr="008D54A5">
              <w:t>8</w:t>
            </w:r>
          </w:p>
        </w:tc>
        <w:tc>
          <w:tcPr>
            <w:tcW w:w="4493" w:type="pct"/>
          </w:tcPr>
          <w:p w14:paraId="39C3D02E" w14:textId="102C9B1E" w:rsidR="005937FA" w:rsidRPr="008D54A5" w:rsidRDefault="005937FA" w:rsidP="007A4CF4">
            <w:pPr>
              <w:pStyle w:val="TableText"/>
            </w:pPr>
            <w:r w:rsidRPr="008D54A5">
              <w:t xml:space="preserve">Among </w:t>
            </w:r>
            <w:r w:rsidR="007A2832" w:rsidRPr="008D54A5">
              <w:t>H</w:t>
            </w:r>
            <w:r w:rsidR="00350AE3" w:rsidRPr="008D54A5">
              <w:t>ospital</w:t>
            </w:r>
            <w:r w:rsidRPr="008D54A5">
              <w:t xml:space="preserve"> events with the </w:t>
            </w:r>
            <w:r w:rsidR="001A53EC" w:rsidRPr="008D54A5">
              <w:t>administrative office (</w:t>
            </w:r>
            <w:r w:rsidRPr="008D54A5">
              <w:t>AO</w:t>
            </w:r>
            <w:r w:rsidR="001A53EC" w:rsidRPr="008D54A5">
              <w:t>)</w:t>
            </w:r>
            <w:r w:rsidRPr="008D54A5">
              <w:t xml:space="preserve"> section complete, examine all information that was collected from AO about each SBD string as a QC step prior to SBD coding.</w:t>
            </w:r>
          </w:p>
        </w:tc>
      </w:tr>
      <w:tr w:rsidR="00696582" w:rsidRPr="008D54A5" w14:paraId="0B99E1CE" w14:textId="77777777" w:rsidTr="00C90C6E">
        <w:trPr>
          <w:trHeight w:val="20"/>
        </w:trPr>
        <w:tc>
          <w:tcPr>
            <w:tcW w:w="507" w:type="pct"/>
            <w:vAlign w:val="center"/>
          </w:tcPr>
          <w:p w14:paraId="245A2C22" w14:textId="29784C51" w:rsidR="00696582" w:rsidRPr="008D54A5" w:rsidRDefault="00696582" w:rsidP="007A4CF4">
            <w:pPr>
              <w:pStyle w:val="TableText-center"/>
            </w:pPr>
            <w:r w:rsidRPr="008D54A5">
              <w:t>9</w:t>
            </w:r>
          </w:p>
        </w:tc>
        <w:tc>
          <w:tcPr>
            <w:tcW w:w="4493" w:type="pct"/>
          </w:tcPr>
          <w:p w14:paraId="325BECD8" w14:textId="4A03E12C" w:rsidR="00696582" w:rsidRPr="008D54A5" w:rsidRDefault="00696582" w:rsidP="007A4CF4">
            <w:pPr>
              <w:pStyle w:val="TableText"/>
            </w:pPr>
            <w:r w:rsidRPr="008D54A5">
              <w:t>Examine other text responses for location of service</w:t>
            </w:r>
            <w:r w:rsidR="00CD756C" w:rsidRPr="008D54A5">
              <w:t>.</w:t>
            </w:r>
          </w:p>
        </w:tc>
      </w:tr>
      <w:tr w:rsidR="005937FA" w:rsidRPr="008D54A5" w14:paraId="7DB94235" w14:textId="77777777" w:rsidTr="00C90C6E">
        <w:trPr>
          <w:trHeight w:val="20"/>
        </w:trPr>
        <w:tc>
          <w:tcPr>
            <w:tcW w:w="507" w:type="pct"/>
            <w:vAlign w:val="center"/>
          </w:tcPr>
          <w:p w14:paraId="277E042A" w14:textId="77777777" w:rsidR="005937FA" w:rsidRPr="008D54A5" w:rsidRDefault="005937FA" w:rsidP="007A4CF4">
            <w:pPr>
              <w:pStyle w:val="TableText-center"/>
            </w:pPr>
            <w:r w:rsidRPr="008D54A5">
              <w:t>12</w:t>
            </w:r>
          </w:p>
        </w:tc>
        <w:tc>
          <w:tcPr>
            <w:tcW w:w="4493" w:type="pct"/>
          </w:tcPr>
          <w:p w14:paraId="2872835F" w14:textId="0FD1B412" w:rsidR="005937FA" w:rsidRPr="008D54A5" w:rsidRDefault="005937FA" w:rsidP="007A4CF4">
            <w:pPr>
              <w:pStyle w:val="TableText"/>
            </w:pPr>
            <w:r w:rsidRPr="008D54A5">
              <w:t xml:space="preserve">Examine all events in pairs with a </w:t>
            </w:r>
            <w:proofErr w:type="gramStart"/>
            <w:r w:rsidR="00B612CA" w:rsidRPr="008D54A5">
              <w:t>H</w:t>
            </w:r>
            <w:r w:rsidRPr="008D54A5">
              <w:t>ospital</w:t>
            </w:r>
            <w:proofErr w:type="gramEnd"/>
            <w:r w:rsidRPr="008D54A5">
              <w:t xml:space="preserve"> event with total charge greater than $75,000. </w:t>
            </w:r>
          </w:p>
          <w:p w14:paraId="4C268B42" w14:textId="59A23525" w:rsidR="005937FA" w:rsidRPr="008D54A5" w:rsidRDefault="00B8064F" w:rsidP="007A4CF4">
            <w:pPr>
              <w:pStyle w:val="TableText"/>
            </w:pPr>
            <w:r w:rsidRPr="008D54A5">
              <w:t xml:space="preserve">Starting in </w:t>
            </w:r>
            <w:r w:rsidR="008501A7" w:rsidRPr="008D54A5">
              <w:t>2015</w:t>
            </w:r>
            <w:r w:rsidR="005937FA" w:rsidRPr="008D54A5">
              <w:t>, high</w:t>
            </w:r>
            <w:r w:rsidR="001A53EC" w:rsidRPr="008D54A5">
              <w:t>-</w:t>
            </w:r>
            <w:r w:rsidR="005937FA" w:rsidRPr="008D54A5">
              <w:t xml:space="preserve">dollar events associated with CPT codes indicating preterm infants, acute kidney failure or end-stage renal disease, </w:t>
            </w:r>
            <w:r w:rsidR="005541AB" w:rsidRPr="008D54A5">
              <w:t>cancer,</w:t>
            </w:r>
            <w:r w:rsidR="005937FA" w:rsidRPr="008D54A5">
              <w:t xml:space="preserve"> or heart conditions (except for only high blood pressure), where the ratio of total payment to total charge is between 0.20 and 0.90 </w:t>
            </w:r>
            <w:r w:rsidR="002A7C1B" w:rsidRPr="008D54A5">
              <w:t>are</w:t>
            </w:r>
            <w:r w:rsidR="005937FA" w:rsidRPr="008D54A5">
              <w:t xml:space="preserve"> excluded from review. </w:t>
            </w:r>
          </w:p>
        </w:tc>
      </w:tr>
    </w:tbl>
    <w:p w14:paraId="2DD05794" w14:textId="77777777" w:rsidR="002234A6" w:rsidRPr="008D54A5" w:rsidRDefault="002234A6" w:rsidP="002234A6">
      <w:pPr>
        <w:pStyle w:val="tablecont"/>
      </w:pPr>
      <w:bookmarkStart w:id="34" w:name="_Hlk66887188"/>
      <w:bookmarkStart w:id="35" w:name="_Hlk66887848"/>
      <w:r w:rsidRPr="008D54A5">
        <w:t>(continued</w:t>
      </w:r>
      <w:bookmarkEnd w:id="34"/>
      <w:r w:rsidRPr="008D54A5">
        <w:t>)</w:t>
      </w:r>
    </w:p>
    <w:p w14:paraId="2CBC8310" w14:textId="5C33B0C5" w:rsidR="002234A6" w:rsidRPr="008D54A5" w:rsidRDefault="002234A6" w:rsidP="004C0DCB">
      <w:pPr>
        <w:pStyle w:val="ExhibitTitlecontinued"/>
        <w:ind w:left="1526" w:hanging="1526"/>
      </w:pPr>
      <w:bookmarkStart w:id="36" w:name="_Hlk66887814"/>
      <w:bookmarkEnd w:id="35"/>
      <w:r w:rsidRPr="00B53C63">
        <w:lastRenderedPageBreak/>
        <w:t>Exhibit </w:t>
      </w:r>
      <w:r w:rsidRPr="008D54A5">
        <w:rPr>
          <w:noProof/>
        </w:rPr>
        <w:t>3</w:t>
      </w:r>
      <w:r w:rsidRPr="008D54A5">
        <w:t>.</w:t>
      </w:r>
      <w:r w:rsidRPr="008D54A5">
        <w:rPr>
          <w:noProof/>
        </w:rPr>
        <w:t>2</w:t>
      </w:r>
      <w:r w:rsidRPr="008D54A5">
        <w:tab/>
      </w:r>
      <w:r w:rsidR="004A7BDE" w:rsidRPr="008D54A5">
        <w:t>202</w:t>
      </w:r>
      <w:r w:rsidR="00F70D53" w:rsidRPr="008D54A5">
        <w:t>2</w:t>
      </w:r>
      <w:r w:rsidRPr="008D54A5">
        <w:t xml:space="preserve"> MPC Managerial Reviews (continued)</w:t>
      </w:r>
    </w:p>
    <w:tbl>
      <w:tblPr>
        <w:tblStyle w:val="TableGrid"/>
        <w:tblW w:w="5000" w:type="pct"/>
        <w:tblCellMar>
          <w:left w:w="72" w:type="dxa"/>
          <w:right w:w="72" w:type="dxa"/>
        </w:tblCellMar>
        <w:tblLook w:val="04A0" w:firstRow="1" w:lastRow="0" w:firstColumn="1" w:lastColumn="0" w:noHBand="0" w:noVBand="1"/>
      </w:tblPr>
      <w:tblGrid>
        <w:gridCol w:w="862"/>
        <w:gridCol w:w="8488"/>
      </w:tblGrid>
      <w:tr w:rsidR="002234A6" w:rsidRPr="008D54A5" w14:paraId="72269B43" w14:textId="77777777" w:rsidTr="00C90C6E">
        <w:trPr>
          <w:cnfStyle w:val="100000000000" w:firstRow="1" w:lastRow="0" w:firstColumn="0" w:lastColumn="0" w:oddVBand="0" w:evenVBand="0" w:oddHBand="0" w:evenHBand="0" w:firstRowFirstColumn="0" w:firstRowLastColumn="0" w:lastRowFirstColumn="0" w:lastRowLastColumn="0"/>
          <w:trHeight w:val="20"/>
        </w:trPr>
        <w:tc>
          <w:tcPr>
            <w:tcW w:w="461" w:type="pct"/>
          </w:tcPr>
          <w:p w14:paraId="56FCBC6D" w14:textId="77777777" w:rsidR="002234A6" w:rsidRPr="008D54A5" w:rsidRDefault="002234A6" w:rsidP="0051278E">
            <w:pPr>
              <w:pStyle w:val="TableHeading"/>
            </w:pPr>
            <w:bookmarkStart w:id="37" w:name="_Hlk66887770"/>
            <w:bookmarkEnd w:id="36"/>
            <w:r w:rsidRPr="008D54A5">
              <w:t>Edit #</w:t>
            </w:r>
          </w:p>
        </w:tc>
        <w:tc>
          <w:tcPr>
            <w:tcW w:w="4539" w:type="pct"/>
          </w:tcPr>
          <w:p w14:paraId="38D5839B" w14:textId="77777777" w:rsidR="002234A6" w:rsidRPr="008D54A5" w:rsidRDefault="002234A6" w:rsidP="0051278E">
            <w:pPr>
              <w:pStyle w:val="TableHeading"/>
            </w:pPr>
            <w:r w:rsidRPr="008D54A5">
              <w:t>Edit</w:t>
            </w:r>
          </w:p>
        </w:tc>
      </w:tr>
      <w:bookmarkEnd w:id="37"/>
      <w:tr w:rsidR="005219A0" w:rsidRPr="008D54A5" w14:paraId="656D976D" w14:textId="77777777" w:rsidTr="00C90C6E">
        <w:trPr>
          <w:trHeight w:val="5924"/>
        </w:trPr>
        <w:tc>
          <w:tcPr>
            <w:tcW w:w="461" w:type="pct"/>
            <w:vAlign w:val="center"/>
          </w:tcPr>
          <w:p w14:paraId="42E61B7A" w14:textId="2C860F7E" w:rsidR="005219A0" w:rsidRPr="008D54A5" w:rsidRDefault="005219A0" w:rsidP="007A4CF4">
            <w:pPr>
              <w:pStyle w:val="TableText-center"/>
            </w:pPr>
            <w:r w:rsidRPr="008D54A5">
              <w:t>13</w:t>
            </w:r>
          </w:p>
        </w:tc>
        <w:tc>
          <w:tcPr>
            <w:tcW w:w="4539" w:type="pct"/>
          </w:tcPr>
          <w:p w14:paraId="10B8E027" w14:textId="77777777" w:rsidR="005219A0" w:rsidRPr="008D54A5" w:rsidRDefault="005219A0" w:rsidP="00B513F2">
            <w:pPr>
              <w:pStyle w:val="TableText"/>
            </w:pPr>
            <w:r w:rsidRPr="008D54A5">
              <w:t>Examine instances where there is a mixture of FFS and capitated events from the same provider and for the same patient (ignoring pairs where payment was received from Medicaid for one or more events).</w:t>
            </w:r>
          </w:p>
          <w:p w14:paraId="1F7C00ED" w14:textId="77777777" w:rsidR="005219A0" w:rsidRPr="008D54A5" w:rsidRDefault="005219A0" w:rsidP="00B513F2">
            <w:pPr>
              <w:pStyle w:val="TableText"/>
            </w:pPr>
            <w:r w:rsidRPr="008D54A5">
              <w:t>The following rules are used:</w:t>
            </w:r>
          </w:p>
          <w:p w14:paraId="733C45E2" w14:textId="6D992D98" w:rsidR="005219A0" w:rsidRPr="008D54A5" w:rsidRDefault="005219A0" w:rsidP="00B513F2">
            <w:pPr>
              <w:pStyle w:val="TablebulletLM"/>
            </w:pPr>
            <w:r w:rsidRPr="008D54A5">
              <w:t>Vaccines: If all events with only a vaccine as the CPT4 code or description are one type of payment routine and all other events (without any CPT4 or description of a vaccine) are the other type of payment routine, the event is left as is.</w:t>
            </w:r>
          </w:p>
          <w:p w14:paraId="6A51DB5F" w14:textId="77777777" w:rsidR="005219A0" w:rsidRPr="008D54A5" w:rsidRDefault="005219A0" w:rsidP="00B513F2">
            <w:pPr>
              <w:pStyle w:val="TablebulletLM"/>
            </w:pPr>
            <w:r w:rsidRPr="008D54A5">
              <w:t xml:space="preserve">Charges included in another event (-5): If all events are capitated except for the event where charges are included in another event, the event is left as is. </w:t>
            </w:r>
          </w:p>
          <w:p w14:paraId="6159B77B" w14:textId="2877157C" w:rsidR="005219A0" w:rsidRPr="008D54A5" w:rsidRDefault="005219A0" w:rsidP="00B513F2">
            <w:pPr>
              <w:pStyle w:val="TablebulletLM"/>
            </w:pPr>
            <w:r w:rsidRPr="008D54A5">
              <w:t>Exams vs. Other Services (such as labs): If all examinations (as defined by CPT4 codes in the 99 series or descriptions) are one type of payment routine and all other events (without any CPT4 or description that includes an exam) are another type of payment routine, the events will be left as is.</w:t>
            </w:r>
          </w:p>
          <w:p w14:paraId="49E0E012" w14:textId="6CEB586D" w:rsidR="005219A0" w:rsidRPr="008D54A5" w:rsidRDefault="005219A0" w:rsidP="00B513F2">
            <w:pPr>
              <w:pStyle w:val="TablebulletLM"/>
            </w:pPr>
            <w:r w:rsidRPr="008D54A5">
              <w:t xml:space="preserve">Same date with different payment routines: If two events occur on the same date and one FFS and the other is capitated (CAP), events are considered correct </w:t>
            </w:r>
            <w:r w:rsidR="005541AB" w:rsidRPr="008D54A5">
              <w:t>if</w:t>
            </w:r>
            <w:r w:rsidRPr="008D54A5">
              <w:t xml:space="preserve"> the examination codes or descriptions are always on one type of payment routine and never appear on the other type of payment routine. Note: </w:t>
            </w:r>
            <w:r w:rsidR="005541AB" w:rsidRPr="008D54A5">
              <w:t>Like</w:t>
            </w:r>
            <w:r w:rsidRPr="008D54A5">
              <w:t xml:space="preserve"> rule 3 but both payment types show up on events from the same date.</w:t>
            </w:r>
          </w:p>
          <w:p w14:paraId="5D3A9318" w14:textId="43BDFCD4" w:rsidR="005219A0" w:rsidRPr="008D54A5" w:rsidRDefault="005219A0" w:rsidP="00B513F2">
            <w:pPr>
              <w:pStyle w:val="TablebulletLM"/>
            </w:pPr>
            <w:r w:rsidRPr="008D54A5">
              <w:t xml:space="preserve">Different locations: If all events with one type of payment routine are consistently at the same type of location while all events with the other type of payment routine are consistently at a different type of location, events are okay as is. All </w:t>
            </w:r>
            <w:r w:rsidR="00B612CA" w:rsidRPr="008D54A5">
              <w:t>H</w:t>
            </w:r>
            <w:r w:rsidRPr="008D54A5">
              <w:t>ospital-based care (ER, OP, and IP) are considered the same type of location for purposes of this rule.</w:t>
            </w:r>
          </w:p>
          <w:p w14:paraId="2B29E745" w14:textId="7B7FF3DC" w:rsidR="005219A0" w:rsidRPr="008D54A5" w:rsidRDefault="005219A0" w:rsidP="002F0926">
            <w:pPr>
              <w:pStyle w:val="TablebulletLM"/>
            </w:pPr>
            <w:r w:rsidRPr="008D54A5">
              <w:t>Switch of payment routine during the year: If the payment routine switches once during the year and there is at least 1 calendar month (as defined by month name, not days) between the switch, events are considered correct.</w:t>
            </w:r>
          </w:p>
          <w:p w14:paraId="019A1CF5" w14:textId="5AA4D67D" w:rsidR="005219A0" w:rsidRPr="008D54A5" w:rsidRDefault="005219A0" w:rsidP="002F0926">
            <w:pPr>
              <w:pStyle w:val="TablebulletLM"/>
            </w:pPr>
            <w:r w:rsidRPr="008D54A5">
              <w:t xml:space="preserve">If none of the above rules apply and records are receipted, records are </w:t>
            </w:r>
            <w:r w:rsidR="00F85699" w:rsidRPr="008D54A5">
              <w:t>reviewed,</w:t>
            </w:r>
            <w:r w:rsidRPr="008D54A5">
              <w:t xml:space="preserve"> and corrections are made as indicated by information in the records. </w:t>
            </w:r>
          </w:p>
          <w:p w14:paraId="5300EC14" w14:textId="1055A325" w:rsidR="005219A0" w:rsidRPr="008D54A5" w:rsidRDefault="005219A0" w:rsidP="002F0926">
            <w:pPr>
              <w:pStyle w:val="TablebulletLM"/>
            </w:pPr>
            <w:r w:rsidRPr="008D54A5">
              <w:t>If none of the above rules apply and no records are receipted, the events are left as is.</w:t>
            </w:r>
          </w:p>
        </w:tc>
      </w:tr>
      <w:tr w:rsidR="005937FA" w:rsidRPr="008D54A5" w14:paraId="2112EEA2" w14:textId="77777777" w:rsidTr="00C90C6E">
        <w:trPr>
          <w:trHeight w:val="20"/>
        </w:trPr>
        <w:tc>
          <w:tcPr>
            <w:tcW w:w="461" w:type="pct"/>
            <w:vAlign w:val="center"/>
          </w:tcPr>
          <w:p w14:paraId="60248D5E" w14:textId="77777777" w:rsidR="005937FA" w:rsidRPr="008D54A5" w:rsidRDefault="005937FA" w:rsidP="007A4CF4">
            <w:pPr>
              <w:pStyle w:val="TableText-center"/>
            </w:pPr>
            <w:r w:rsidRPr="008D54A5">
              <w:t>15</w:t>
            </w:r>
          </w:p>
        </w:tc>
        <w:tc>
          <w:tcPr>
            <w:tcW w:w="4539" w:type="pct"/>
          </w:tcPr>
          <w:p w14:paraId="7550351F" w14:textId="1A55EC92" w:rsidR="005937FA" w:rsidRPr="008D54A5" w:rsidRDefault="005937FA" w:rsidP="007A4CF4">
            <w:pPr>
              <w:pStyle w:val="TableText"/>
            </w:pPr>
            <w:r w:rsidRPr="008D54A5">
              <w:t>Examine events with ADFROMER</w:t>
            </w:r>
            <w:proofErr w:type="gramStart"/>
            <w:r w:rsidRPr="008D54A5">
              <w:t>=</w:t>
            </w:r>
            <w:r w:rsidR="00356CD1" w:rsidRPr="008D54A5">
              <w:t>“</w:t>
            </w:r>
            <w:proofErr w:type="gramEnd"/>
            <w:r w:rsidRPr="008D54A5">
              <w:t>Yes,</w:t>
            </w:r>
            <w:r w:rsidR="00356CD1" w:rsidRPr="008D54A5">
              <w:t>”</w:t>
            </w:r>
            <w:r w:rsidRPr="008D54A5">
              <w:t xml:space="preserve"> but without a preceding ER event on the same or preceding day from the same provider.</w:t>
            </w:r>
            <w:r w:rsidR="004172D5" w:rsidRPr="008D54A5">
              <w:t xml:space="preserve"> The variable ADFROMER indicates whether the patient was admitted from the ER or outpatient department.</w:t>
            </w:r>
          </w:p>
        </w:tc>
      </w:tr>
      <w:tr w:rsidR="005937FA" w:rsidRPr="008D54A5" w14:paraId="40975C36" w14:textId="77777777" w:rsidTr="00C90C6E">
        <w:trPr>
          <w:trHeight w:val="20"/>
        </w:trPr>
        <w:tc>
          <w:tcPr>
            <w:tcW w:w="461" w:type="pct"/>
            <w:vAlign w:val="center"/>
          </w:tcPr>
          <w:p w14:paraId="405DC9E3" w14:textId="77777777" w:rsidR="005937FA" w:rsidRPr="008D54A5" w:rsidRDefault="005937FA" w:rsidP="007A4CF4">
            <w:pPr>
              <w:pStyle w:val="TableText-center"/>
            </w:pPr>
            <w:r w:rsidRPr="008D54A5">
              <w:t>17</w:t>
            </w:r>
          </w:p>
        </w:tc>
        <w:tc>
          <w:tcPr>
            <w:tcW w:w="4539" w:type="pct"/>
          </w:tcPr>
          <w:p w14:paraId="2E741500" w14:textId="77EA24B8" w:rsidR="005937FA" w:rsidRPr="008D54A5" w:rsidRDefault="005937FA" w:rsidP="007A4CF4">
            <w:pPr>
              <w:pStyle w:val="TableText"/>
            </w:pPr>
            <w:r w:rsidRPr="008D54A5">
              <w:t xml:space="preserve">Investigate OBD events with </w:t>
            </w:r>
            <w:r w:rsidR="00356CD1" w:rsidRPr="008D54A5">
              <w:t>“</w:t>
            </w:r>
            <w:r w:rsidRPr="008D54A5">
              <w:t>HOSP</w:t>
            </w:r>
            <w:r w:rsidR="00356CD1" w:rsidRPr="008D54A5">
              <w:t>”</w:t>
            </w:r>
            <w:r w:rsidRPr="008D54A5">
              <w:t xml:space="preserve"> in provider name.</w:t>
            </w:r>
          </w:p>
          <w:p w14:paraId="2CBC5269" w14:textId="5E730EF5" w:rsidR="005937FA" w:rsidRPr="008D54A5" w:rsidRDefault="005937FA" w:rsidP="006F166D">
            <w:pPr>
              <w:pStyle w:val="TableText"/>
              <w:tabs>
                <w:tab w:val="center" w:pos="4322"/>
              </w:tabs>
            </w:pPr>
            <w:r w:rsidRPr="008D54A5">
              <w:t xml:space="preserve">The following </w:t>
            </w:r>
            <w:r w:rsidR="003668EA" w:rsidRPr="008D54A5">
              <w:t>are</w:t>
            </w:r>
            <w:r w:rsidRPr="008D54A5">
              <w:t xml:space="preserve"> excluded from review:</w:t>
            </w:r>
          </w:p>
          <w:p w14:paraId="4FB257D1" w14:textId="71BA9898" w:rsidR="005937FA" w:rsidRPr="008D54A5" w:rsidRDefault="005937FA" w:rsidP="002F0926">
            <w:pPr>
              <w:pStyle w:val="TablebulletLM"/>
            </w:pPr>
            <w:r w:rsidRPr="008D54A5">
              <w:t xml:space="preserve">Slash in </w:t>
            </w:r>
            <w:r w:rsidR="00B17582" w:rsidRPr="008D54A5">
              <w:t>provider na</w:t>
            </w:r>
            <w:r w:rsidRPr="008D54A5">
              <w:t>me:</w:t>
            </w:r>
            <w:r w:rsidR="00356CD1" w:rsidRPr="008D54A5">
              <w:t xml:space="preserve"> </w:t>
            </w:r>
            <w:r w:rsidRPr="008D54A5">
              <w:t xml:space="preserve">If all events are associated with a provider where the word </w:t>
            </w:r>
            <w:r w:rsidR="00B612CA" w:rsidRPr="008D54A5">
              <w:t>“</w:t>
            </w:r>
            <w:r w:rsidRPr="008D54A5">
              <w:t>hospital</w:t>
            </w:r>
            <w:r w:rsidR="00B612CA" w:rsidRPr="008D54A5">
              <w:t>”</w:t>
            </w:r>
            <w:r w:rsidRPr="008D54A5">
              <w:t xml:space="preserve"> appears before the slash (/) in the </w:t>
            </w:r>
            <w:proofErr w:type="gramStart"/>
            <w:r w:rsidRPr="008D54A5">
              <w:t>provider</w:t>
            </w:r>
            <w:proofErr w:type="gramEnd"/>
            <w:r w:rsidRPr="008D54A5">
              <w:t xml:space="preserve"> </w:t>
            </w:r>
            <w:r w:rsidR="003C4D26" w:rsidRPr="008D54A5">
              <w:t>name,</w:t>
            </w:r>
            <w:r w:rsidRPr="008D54A5">
              <w:t xml:space="preserve"> but the word hospital does not appear after the slash </w:t>
            </w:r>
            <w:r w:rsidR="00B612CA" w:rsidRPr="008D54A5">
              <w:t xml:space="preserve">and </w:t>
            </w:r>
            <w:r w:rsidRPr="008D54A5">
              <w:t>the location of service for all events equals Physician</w:t>
            </w:r>
            <w:r w:rsidR="00356CD1" w:rsidRPr="008D54A5">
              <w:t>’</w:t>
            </w:r>
            <w:r w:rsidRPr="008D54A5">
              <w:t xml:space="preserve">s Office, the pair </w:t>
            </w:r>
            <w:r w:rsidR="00F77587" w:rsidRPr="008D54A5">
              <w:t>is not</w:t>
            </w:r>
            <w:r w:rsidRPr="008D54A5">
              <w:t xml:space="preserve"> flagged for review. </w:t>
            </w:r>
          </w:p>
          <w:p w14:paraId="2EC7DFA7" w14:textId="7DDC621F" w:rsidR="005937FA" w:rsidRPr="008D54A5" w:rsidRDefault="005937FA" w:rsidP="002F0926">
            <w:pPr>
              <w:pStyle w:val="TablebulletLM"/>
            </w:pPr>
            <w:r w:rsidRPr="008D54A5">
              <w:t xml:space="preserve">CPT codes and </w:t>
            </w:r>
            <w:r w:rsidR="00B17582" w:rsidRPr="008D54A5">
              <w:t>l</w:t>
            </w:r>
            <w:r w:rsidRPr="008D54A5">
              <w:t>ocation of service:</w:t>
            </w:r>
            <w:r w:rsidR="00356CD1" w:rsidRPr="008D54A5">
              <w:t xml:space="preserve"> </w:t>
            </w:r>
            <w:r w:rsidR="00B17582" w:rsidRPr="008D54A5">
              <w:t>I</w:t>
            </w:r>
            <w:r w:rsidRPr="008D54A5">
              <w:t>f the location of service for all events is Physician</w:t>
            </w:r>
            <w:r w:rsidR="00356CD1" w:rsidRPr="008D54A5">
              <w:t>’</w:t>
            </w:r>
            <w:r w:rsidRPr="008D54A5">
              <w:t xml:space="preserve">s Office </w:t>
            </w:r>
            <w:r w:rsidR="00B612CA" w:rsidRPr="008D54A5">
              <w:t xml:space="preserve">and </w:t>
            </w:r>
            <w:r w:rsidRPr="008D54A5">
              <w:t xml:space="preserve">the only CPT code is an evaluation and management code (99201, 99202, 99203, 99204, 99205, 99211, 99212, 99213, 99214, or 99215), the pair </w:t>
            </w:r>
            <w:r w:rsidR="00F77587" w:rsidRPr="008D54A5">
              <w:t>is not</w:t>
            </w:r>
            <w:r w:rsidRPr="008D54A5">
              <w:t xml:space="preserve"> flagged for review. [N</w:t>
            </w:r>
            <w:r w:rsidR="00B17582" w:rsidRPr="008D54A5">
              <w:t>ote</w:t>
            </w:r>
            <w:r w:rsidRPr="008D54A5">
              <w:t xml:space="preserve">: If there is more than one CPT code or if there is a description in addition to the CPT code, the pair </w:t>
            </w:r>
            <w:r w:rsidR="003668EA" w:rsidRPr="008D54A5">
              <w:t>is</w:t>
            </w:r>
            <w:r w:rsidRPr="008D54A5">
              <w:t xml:space="preserve"> included in the spreadsheet and reviewed.] </w:t>
            </w:r>
          </w:p>
          <w:p w14:paraId="44DBD56C" w14:textId="7883D132" w:rsidR="005937FA" w:rsidRPr="008D54A5" w:rsidRDefault="005937FA" w:rsidP="007A4CF4">
            <w:pPr>
              <w:pStyle w:val="TableText"/>
            </w:pPr>
            <w:r w:rsidRPr="008D54A5">
              <w:t xml:space="preserve">All other events that do not meet the above criteria </w:t>
            </w:r>
            <w:r w:rsidR="003668EA" w:rsidRPr="008D54A5">
              <w:t>are</w:t>
            </w:r>
            <w:r w:rsidRPr="008D54A5">
              <w:t xml:space="preserve"> included in the managerial review spreadsheet.</w:t>
            </w:r>
            <w:r w:rsidR="00356CD1" w:rsidRPr="008D54A5">
              <w:t xml:space="preserve"> </w:t>
            </w:r>
            <w:r w:rsidRPr="008D54A5">
              <w:t xml:space="preserve">Records </w:t>
            </w:r>
            <w:r w:rsidR="003668EA" w:rsidRPr="008D54A5">
              <w:t>are</w:t>
            </w:r>
            <w:r w:rsidRPr="008D54A5">
              <w:t xml:space="preserve"> reviewed, when available.</w:t>
            </w:r>
          </w:p>
        </w:tc>
      </w:tr>
    </w:tbl>
    <w:p w14:paraId="0BA9E511" w14:textId="77777777" w:rsidR="00C90C6E" w:rsidRPr="008D54A5" w:rsidRDefault="00C90C6E" w:rsidP="00C90C6E">
      <w:pPr>
        <w:pStyle w:val="tablecont"/>
      </w:pPr>
      <w:r w:rsidRPr="008D54A5">
        <w:t>(continued)</w:t>
      </w:r>
    </w:p>
    <w:p w14:paraId="0993F1A4" w14:textId="77777777" w:rsidR="00C90C6E" w:rsidRPr="008D54A5" w:rsidRDefault="00C90C6E"/>
    <w:p w14:paraId="7273CC06" w14:textId="1C2D1BE5" w:rsidR="001D0CDD" w:rsidRPr="008D54A5" w:rsidRDefault="001D0CDD">
      <w:r w:rsidRPr="008D54A5">
        <w:br w:type="page"/>
      </w:r>
    </w:p>
    <w:p w14:paraId="38AF9B03" w14:textId="46114D28" w:rsidR="001D0CDD" w:rsidRPr="008D54A5" w:rsidRDefault="001D0CDD" w:rsidP="001D0CDD">
      <w:pPr>
        <w:pStyle w:val="ExhibitTitlecontinued"/>
        <w:ind w:left="1526" w:hanging="1526"/>
      </w:pPr>
      <w:r w:rsidRPr="00B53C63">
        <w:lastRenderedPageBreak/>
        <w:t>Exhibit </w:t>
      </w:r>
      <w:r w:rsidRPr="008D54A5">
        <w:rPr>
          <w:noProof/>
        </w:rPr>
        <w:t>3</w:t>
      </w:r>
      <w:r w:rsidRPr="008D54A5">
        <w:t>.</w:t>
      </w:r>
      <w:r w:rsidRPr="008D54A5">
        <w:rPr>
          <w:noProof/>
        </w:rPr>
        <w:t>2</w:t>
      </w:r>
      <w:r w:rsidRPr="008D54A5">
        <w:tab/>
        <w:t>202</w:t>
      </w:r>
      <w:r w:rsidR="00F70D53" w:rsidRPr="008D54A5">
        <w:t>2</w:t>
      </w:r>
      <w:r w:rsidRPr="008D54A5">
        <w:t xml:space="preserve"> MPC Managerial Reviews (continued)</w:t>
      </w:r>
    </w:p>
    <w:tbl>
      <w:tblPr>
        <w:tblStyle w:val="TableGrid"/>
        <w:tblW w:w="5012" w:type="pct"/>
        <w:tblInd w:w="-18" w:type="dxa"/>
        <w:tblCellMar>
          <w:left w:w="72" w:type="dxa"/>
          <w:right w:w="72" w:type="dxa"/>
        </w:tblCellMar>
        <w:tblLook w:val="04A0" w:firstRow="1" w:lastRow="0" w:firstColumn="1" w:lastColumn="0" w:noHBand="0" w:noVBand="1"/>
      </w:tblPr>
      <w:tblGrid>
        <w:gridCol w:w="757"/>
        <w:gridCol w:w="8615"/>
      </w:tblGrid>
      <w:tr w:rsidR="001D0CDD" w:rsidRPr="008D54A5" w14:paraId="4042994F" w14:textId="77777777" w:rsidTr="006E4110">
        <w:trPr>
          <w:cnfStyle w:val="100000000000" w:firstRow="1" w:lastRow="0" w:firstColumn="0" w:lastColumn="0" w:oddVBand="0" w:evenVBand="0" w:oddHBand="0" w:evenHBand="0" w:firstRowFirstColumn="0" w:firstRowLastColumn="0" w:lastRowFirstColumn="0" w:lastRowLastColumn="0"/>
          <w:trHeight w:val="22"/>
        </w:trPr>
        <w:tc>
          <w:tcPr>
            <w:tcW w:w="404" w:type="pct"/>
            <w:vAlign w:val="top"/>
          </w:tcPr>
          <w:p w14:paraId="053FF6E1" w14:textId="77777777" w:rsidR="001D0CDD" w:rsidRPr="008D54A5" w:rsidRDefault="001D0CDD" w:rsidP="00962707">
            <w:pPr>
              <w:pStyle w:val="TableText-center"/>
              <w:rPr>
                <w:b/>
                <w:bCs/>
              </w:rPr>
            </w:pPr>
            <w:r w:rsidRPr="008D54A5">
              <w:rPr>
                <w:b/>
                <w:bCs/>
              </w:rPr>
              <w:t>Edit #</w:t>
            </w:r>
          </w:p>
        </w:tc>
        <w:tc>
          <w:tcPr>
            <w:tcW w:w="4596" w:type="pct"/>
          </w:tcPr>
          <w:p w14:paraId="01EEC685" w14:textId="77777777" w:rsidR="001D0CDD" w:rsidRPr="008D54A5" w:rsidRDefault="001D0CDD" w:rsidP="00962707">
            <w:pPr>
              <w:pStyle w:val="TableText"/>
              <w:rPr>
                <w:b/>
                <w:bCs/>
              </w:rPr>
            </w:pPr>
            <w:r w:rsidRPr="008D54A5">
              <w:rPr>
                <w:b/>
                <w:bCs/>
              </w:rPr>
              <w:t>Edit</w:t>
            </w:r>
          </w:p>
        </w:tc>
      </w:tr>
      <w:tr w:rsidR="005937FA" w:rsidRPr="008D54A5" w14:paraId="3643C731" w14:textId="77777777" w:rsidTr="006E4110">
        <w:trPr>
          <w:trHeight w:val="22"/>
        </w:trPr>
        <w:tc>
          <w:tcPr>
            <w:tcW w:w="404" w:type="pct"/>
            <w:shd w:val="clear" w:color="auto" w:fill="auto"/>
            <w:vAlign w:val="center"/>
          </w:tcPr>
          <w:p w14:paraId="7572C2E6" w14:textId="67062985" w:rsidR="005937FA" w:rsidRPr="008D54A5" w:rsidRDefault="005937FA">
            <w:pPr>
              <w:pStyle w:val="TableText-center"/>
            </w:pPr>
            <w:r w:rsidRPr="008D54A5">
              <w:t>20</w:t>
            </w:r>
          </w:p>
        </w:tc>
        <w:tc>
          <w:tcPr>
            <w:tcW w:w="4596" w:type="pct"/>
            <w:shd w:val="clear" w:color="auto" w:fill="auto"/>
          </w:tcPr>
          <w:p w14:paraId="4EABF787" w14:textId="73FD55B6" w:rsidR="005937FA" w:rsidRPr="008D54A5" w:rsidRDefault="005937FA" w:rsidP="001D0CDD">
            <w:pPr>
              <w:pStyle w:val="TableText"/>
            </w:pPr>
            <w:r w:rsidRPr="008D54A5">
              <w:t xml:space="preserve">Identify providers who are not classified as MILITARY, VA, INDIAN_HEALTH, and CHARITY with a large percentage of SOP responses that indicate they might be MILITARY, VA, INDIAN_HEALTH, or CHARITY. This is used to assist in updating the master list of </w:t>
            </w:r>
            <w:proofErr w:type="gramStart"/>
            <w:r w:rsidRPr="008D54A5">
              <w:t>MILITARY</w:t>
            </w:r>
            <w:proofErr w:type="gramEnd"/>
            <w:r w:rsidRPr="008D54A5">
              <w:t>, VA, INDIAN_HEALTH, and CHARITY providers.</w:t>
            </w:r>
          </w:p>
        </w:tc>
      </w:tr>
      <w:tr w:rsidR="005937FA" w:rsidRPr="008D54A5" w14:paraId="509A837E" w14:textId="77777777" w:rsidTr="006E4110">
        <w:trPr>
          <w:trHeight w:val="20"/>
        </w:trPr>
        <w:tc>
          <w:tcPr>
            <w:tcW w:w="404" w:type="pct"/>
            <w:vAlign w:val="center"/>
          </w:tcPr>
          <w:p w14:paraId="613D71C6" w14:textId="77777777" w:rsidR="005937FA" w:rsidRPr="008D54A5" w:rsidRDefault="005937FA" w:rsidP="007A4CF4">
            <w:pPr>
              <w:pStyle w:val="TableText-center"/>
            </w:pPr>
            <w:r w:rsidRPr="008D54A5">
              <w:t>22</w:t>
            </w:r>
          </w:p>
        </w:tc>
        <w:tc>
          <w:tcPr>
            <w:tcW w:w="4596" w:type="pct"/>
          </w:tcPr>
          <w:p w14:paraId="0D42A401" w14:textId="77777777" w:rsidR="005937FA" w:rsidRPr="008D54A5" w:rsidRDefault="005937FA" w:rsidP="007A4CF4">
            <w:pPr>
              <w:pStyle w:val="TableText"/>
            </w:pPr>
            <w:r w:rsidRPr="008D54A5">
              <w:t>Compare counts of MPC events (observed) with HC events (expected) for all sample pairs.</w:t>
            </w:r>
          </w:p>
        </w:tc>
      </w:tr>
      <w:tr w:rsidR="001D0CDD" w:rsidRPr="008D54A5" w14:paraId="6573E39E" w14:textId="77777777" w:rsidTr="006E4110">
        <w:trPr>
          <w:trHeight w:val="20"/>
        </w:trPr>
        <w:tc>
          <w:tcPr>
            <w:tcW w:w="404" w:type="pct"/>
            <w:vAlign w:val="center"/>
          </w:tcPr>
          <w:p w14:paraId="7D843EB6" w14:textId="77777777" w:rsidR="001D0CDD" w:rsidRPr="008D54A5" w:rsidRDefault="001D0CDD" w:rsidP="00962707">
            <w:pPr>
              <w:pStyle w:val="TableText-center"/>
            </w:pPr>
            <w:r w:rsidRPr="008D54A5">
              <w:t>25</w:t>
            </w:r>
          </w:p>
        </w:tc>
        <w:tc>
          <w:tcPr>
            <w:tcW w:w="4596" w:type="pct"/>
          </w:tcPr>
          <w:p w14:paraId="5566D7DC" w14:textId="77777777" w:rsidR="001D0CDD" w:rsidRPr="008D54A5" w:rsidRDefault="001D0CDD" w:rsidP="00962707">
            <w:pPr>
              <w:pStyle w:val="TableText"/>
            </w:pPr>
            <w:r w:rsidRPr="008D54A5">
              <w:t>Examine events that have duplicate OBD and Hospital PMEIDs.</w:t>
            </w:r>
          </w:p>
        </w:tc>
      </w:tr>
      <w:tr w:rsidR="001D0CDD" w:rsidRPr="008D54A5" w14:paraId="18C3FAAD" w14:textId="77777777" w:rsidTr="006E4110">
        <w:trPr>
          <w:trHeight w:val="20"/>
        </w:trPr>
        <w:tc>
          <w:tcPr>
            <w:tcW w:w="404" w:type="pct"/>
            <w:vAlign w:val="center"/>
          </w:tcPr>
          <w:p w14:paraId="29F0164B" w14:textId="77777777" w:rsidR="001D0CDD" w:rsidRPr="008D54A5" w:rsidRDefault="001D0CDD" w:rsidP="00962707">
            <w:pPr>
              <w:pStyle w:val="TableText-center"/>
            </w:pPr>
            <w:r w:rsidRPr="008D54A5">
              <w:t>26</w:t>
            </w:r>
          </w:p>
        </w:tc>
        <w:tc>
          <w:tcPr>
            <w:tcW w:w="4596" w:type="pct"/>
          </w:tcPr>
          <w:p w14:paraId="7A93F251" w14:textId="77777777" w:rsidR="001D0CDD" w:rsidRPr="008D54A5" w:rsidRDefault="001D0CDD" w:rsidP="00962707">
            <w:pPr>
              <w:pStyle w:val="TableText"/>
            </w:pPr>
            <w:r w:rsidRPr="008D54A5">
              <w:t>Examine Pharmacy events collected with $0 patient payment, third-party payer = 21 and $0 third-party amount.</w:t>
            </w:r>
          </w:p>
        </w:tc>
      </w:tr>
      <w:tr w:rsidR="001D0CDD" w:rsidRPr="008D54A5" w14:paraId="759CC67E" w14:textId="77777777" w:rsidTr="006E4110">
        <w:trPr>
          <w:trHeight w:val="6169"/>
        </w:trPr>
        <w:tc>
          <w:tcPr>
            <w:tcW w:w="404" w:type="pct"/>
            <w:vAlign w:val="center"/>
          </w:tcPr>
          <w:p w14:paraId="31746C08" w14:textId="77777777" w:rsidR="001D0CDD" w:rsidRPr="008D54A5" w:rsidRDefault="001D0CDD" w:rsidP="00962707">
            <w:pPr>
              <w:pStyle w:val="TableText-center"/>
            </w:pPr>
            <w:r w:rsidRPr="008D54A5">
              <w:t>28</w:t>
            </w:r>
          </w:p>
        </w:tc>
        <w:tc>
          <w:tcPr>
            <w:tcW w:w="4596" w:type="pct"/>
          </w:tcPr>
          <w:p w14:paraId="5A6136B0" w14:textId="77777777" w:rsidR="001D0CDD" w:rsidRPr="008D54A5" w:rsidRDefault="001D0CDD" w:rsidP="00962707">
            <w:pPr>
              <w:pStyle w:val="TableText"/>
            </w:pPr>
            <w:r w:rsidRPr="008D54A5">
              <w:t>Review capitated event that occurred outside California.</w:t>
            </w:r>
          </w:p>
          <w:p w14:paraId="5E7BD839" w14:textId="77777777" w:rsidR="001D0CDD" w:rsidRPr="008D54A5" w:rsidRDefault="001D0CDD" w:rsidP="00962707">
            <w:pPr>
              <w:pStyle w:val="TableText"/>
            </w:pPr>
            <w:r w:rsidRPr="008D54A5">
              <w:t>The following situations are excluded from review:</w:t>
            </w:r>
          </w:p>
          <w:p w14:paraId="5022FE30" w14:textId="77777777" w:rsidR="001D0CDD" w:rsidRPr="008D54A5" w:rsidRDefault="001D0CDD" w:rsidP="00962707">
            <w:pPr>
              <w:pStyle w:val="TablebulletLM"/>
            </w:pPr>
            <w:r w:rsidRPr="008D54A5">
              <w:t>L5: If all events are associated with an L5 provider, the events are left as is.</w:t>
            </w:r>
          </w:p>
          <w:p w14:paraId="697E5E76" w14:textId="77777777" w:rsidR="001D0CDD" w:rsidRPr="008D54A5" w:rsidRDefault="001D0CDD" w:rsidP="00962707">
            <w:pPr>
              <w:pStyle w:val="TablebulletLM"/>
            </w:pPr>
            <w:r w:rsidRPr="008D54A5">
              <w:t>Same charge for office visits: If there is more than one event and all are simple office visits with the same charge amount (must be a value—not don’t know or refused), the events are left as is.</w:t>
            </w:r>
          </w:p>
          <w:p w14:paraId="2FFACBB4" w14:textId="77777777" w:rsidR="001D0CDD" w:rsidRPr="008D54A5" w:rsidRDefault="001D0CDD" w:rsidP="00962707">
            <w:pPr>
              <w:pStyle w:val="TablebulletLM"/>
            </w:pPr>
            <w:r w:rsidRPr="008D54A5">
              <w:t>Vaccines: If all events with ONLY a vaccine as the CPT4 code or description are one type of payment routine and all other events (without any CPT4 or description of a vaccine) are the other type of payment routine, the events are left as is.</w:t>
            </w:r>
          </w:p>
          <w:p w14:paraId="43659560" w14:textId="77777777" w:rsidR="001D0CDD" w:rsidRPr="008D54A5" w:rsidRDefault="001D0CDD" w:rsidP="00962707">
            <w:pPr>
              <w:pStyle w:val="TablebulletLM"/>
            </w:pPr>
            <w:r w:rsidRPr="008D54A5">
              <w:t xml:space="preserve">Charges included in another event (-5): If all events are capitated except for the event where charges are included in another event, the events are left as is. </w:t>
            </w:r>
          </w:p>
          <w:p w14:paraId="2B206DAD" w14:textId="77777777" w:rsidR="001D0CDD" w:rsidRPr="008D54A5" w:rsidRDefault="001D0CDD" w:rsidP="00962707">
            <w:pPr>
              <w:pStyle w:val="TablebulletLM"/>
            </w:pPr>
            <w:r w:rsidRPr="008D54A5">
              <w:t xml:space="preserve">Exams vs. other services (such as labs): If all examinations (as defined by CPT4 codes in the 99 series or descriptions) are one type of payment routine and all other events (without any CPT4 or description that includes an exam) are another type of payment routine, events are left as is. </w:t>
            </w:r>
          </w:p>
          <w:p w14:paraId="161C4B9C" w14:textId="77777777" w:rsidR="001D0CDD" w:rsidRPr="008D54A5" w:rsidRDefault="001D0CDD" w:rsidP="00962707">
            <w:pPr>
              <w:pStyle w:val="TablebulletLM"/>
            </w:pPr>
            <w:r w:rsidRPr="008D54A5">
              <w:t>Same date with different payment routines: If two events occur on the same date and one is FFS and the other is CAP, events are left as is if the examination codes or descriptions are always on one type of payment routine and never appear on the other type of payment routine. Note: This is like rule 3 but both payment types show up on events from same date.</w:t>
            </w:r>
          </w:p>
          <w:p w14:paraId="568D5745" w14:textId="77777777" w:rsidR="001D0CDD" w:rsidRPr="008D54A5" w:rsidRDefault="001D0CDD" w:rsidP="00962707">
            <w:pPr>
              <w:pStyle w:val="TablebulletLM"/>
            </w:pPr>
            <w:r w:rsidRPr="008D54A5">
              <w:t>Different locations: If all events with one type of payment routine are consistently at the same type of location while all events with the other type of payment routine are consistently at a different type of location, events are left as is. Please note that all hospital-based care (ER, OP, and IP) should be considered the same type of location for purposes of this rule.</w:t>
            </w:r>
          </w:p>
          <w:p w14:paraId="0759C35E" w14:textId="77777777" w:rsidR="001D0CDD" w:rsidRPr="008D54A5" w:rsidRDefault="001D0CDD" w:rsidP="00962707">
            <w:pPr>
              <w:pStyle w:val="TablebulletLM"/>
            </w:pPr>
            <w:r w:rsidRPr="008D54A5">
              <w:t>Switch of payment routine during the year: If the payment routine switches once during the year and there is at least 1 calendar month (as defined by month name, not days) between the switch, events are left as is.</w:t>
            </w:r>
          </w:p>
          <w:p w14:paraId="19A8A3B3" w14:textId="77777777" w:rsidR="001D0CDD" w:rsidRPr="008D54A5" w:rsidRDefault="001D0CDD" w:rsidP="00962707">
            <w:pPr>
              <w:pStyle w:val="TablebulletLM"/>
            </w:pPr>
            <w:r w:rsidRPr="008D54A5">
              <w:t>If none of the above rules apply the events are included in the spreadsheet. Records are reviewed when available.</w:t>
            </w:r>
          </w:p>
        </w:tc>
      </w:tr>
      <w:tr w:rsidR="001D0CDD" w:rsidRPr="008D54A5" w14:paraId="361BB43A" w14:textId="77777777" w:rsidTr="006E4110">
        <w:trPr>
          <w:trHeight w:val="20"/>
        </w:trPr>
        <w:tc>
          <w:tcPr>
            <w:tcW w:w="404" w:type="pct"/>
            <w:vAlign w:val="center"/>
          </w:tcPr>
          <w:p w14:paraId="1A77C005" w14:textId="77777777" w:rsidR="001D0CDD" w:rsidRPr="008D54A5" w:rsidRDefault="001D0CDD" w:rsidP="00962707">
            <w:pPr>
              <w:pStyle w:val="TableText-center"/>
            </w:pPr>
            <w:r w:rsidRPr="008D54A5">
              <w:t>29</w:t>
            </w:r>
          </w:p>
        </w:tc>
        <w:tc>
          <w:tcPr>
            <w:tcW w:w="4596" w:type="pct"/>
          </w:tcPr>
          <w:p w14:paraId="7F0E372F" w14:textId="77777777" w:rsidR="001D0CDD" w:rsidRPr="008D54A5" w:rsidRDefault="001D0CDD" w:rsidP="00962707">
            <w:pPr>
              <w:pStyle w:val="TableText"/>
            </w:pPr>
            <w:r w:rsidRPr="008D54A5">
              <w:t>Examine Pharmacy events where the patient is age 40 or younger and Medicare is a payer.</w:t>
            </w:r>
          </w:p>
          <w:p w14:paraId="5F680F31" w14:textId="77777777" w:rsidR="001D0CDD" w:rsidRPr="008D54A5" w:rsidRDefault="001D0CDD" w:rsidP="00962707">
            <w:pPr>
              <w:pStyle w:val="TableText"/>
            </w:pPr>
            <w:r w:rsidRPr="008D54A5">
              <w:t>Excluded are events for people where Medicare is a payor on the OBD or Hospital file, and events for people with a condition (ICD code) of ALS or chronic kidney disease on the OBD or Hospital file.</w:t>
            </w:r>
          </w:p>
        </w:tc>
      </w:tr>
      <w:tr w:rsidR="001D0CDD" w:rsidRPr="008D54A5" w14:paraId="0E84BCFB" w14:textId="77777777" w:rsidTr="006E4110">
        <w:trPr>
          <w:trHeight w:val="20"/>
        </w:trPr>
        <w:tc>
          <w:tcPr>
            <w:tcW w:w="404" w:type="pct"/>
            <w:vAlign w:val="center"/>
          </w:tcPr>
          <w:p w14:paraId="5FDDDE59" w14:textId="77777777" w:rsidR="001D0CDD" w:rsidRPr="008D54A5" w:rsidRDefault="001D0CDD" w:rsidP="00962707">
            <w:pPr>
              <w:pStyle w:val="TableText-center"/>
            </w:pPr>
            <w:r w:rsidRPr="008D54A5">
              <w:t>30</w:t>
            </w:r>
          </w:p>
        </w:tc>
        <w:tc>
          <w:tcPr>
            <w:tcW w:w="4596" w:type="pct"/>
          </w:tcPr>
          <w:p w14:paraId="5DA7EEE5" w14:textId="77777777" w:rsidR="001D0CDD" w:rsidRPr="008D54A5" w:rsidRDefault="001D0CDD" w:rsidP="00962707">
            <w:pPr>
              <w:pStyle w:val="TableText"/>
            </w:pPr>
            <w:r w:rsidRPr="008D54A5">
              <w:t>Review Pharmacy events with more than one event on the same day for the same patient with the same NDC code.</w:t>
            </w:r>
          </w:p>
        </w:tc>
      </w:tr>
      <w:tr w:rsidR="001D0CDD" w:rsidRPr="008D54A5" w14:paraId="245B7C64" w14:textId="77777777" w:rsidTr="006E4110">
        <w:trPr>
          <w:trHeight w:val="20"/>
        </w:trPr>
        <w:tc>
          <w:tcPr>
            <w:tcW w:w="404" w:type="pct"/>
            <w:vAlign w:val="center"/>
          </w:tcPr>
          <w:p w14:paraId="1552B158" w14:textId="77777777" w:rsidR="001D0CDD" w:rsidRPr="008D54A5" w:rsidRDefault="001D0CDD" w:rsidP="00962707">
            <w:pPr>
              <w:pStyle w:val="TableText-center"/>
            </w:pPr>
            <w:r w:rsidRPr="008D54A5">
              <w:t>31</w:t>
            </w:r>
          </w:p>
        </w:tc>
        <w:tc>
          <w:tcPr>
            <w:tcW w:w="4596" w:type="pct"/>
          </w:tcPr>
          <w:p w14:paraId="206A2D60" w14:textId="77777777" w:rsidR="001D0CDD" w:rsidRPr="008D54A5" w:rsidRDefault="001D0CDD" w:rsidP="00962707">
            <w:pPr>
              <w:pStyle w:val="TableText"/>
            </w:pPr>
            <w:r w:rsidRPr="008D54A5">
              <w:t>Review Pharmacy events with large amounts in the patient payment variables or third-party payer amount the same as the MPC year, the year before, or the year after.</w:t>
            </w:r>
          </w:p>
        </w:tc>
      </w:tr>
      <w:tr w:rsidR="008B5EB2" w:rsidRPr="008D54A5" w14:paraId="38013BA4" w14:textId="77777777" w:rsidTr="00C90C6E">
        <w:trPr>
          <w:trHeight w:val="20"/>
        </w:trPr>
        <w:tc>
          <w:tcPr>
            <w:tcW w:w="404" w:type="pct"/>
            <w:vAlign w:val="center"/>
          </w:tcPr>
          <w:p w14:paraId="64BFCADD" w14:textId="3A381C60" w:rsidR="008B5EB2" w:rsidRPr="008D54A5" w:rsidRDefault="00457ECB" w:rsidP="008B5EB2">
            <w:pPr>
              <w:pStyle w:val="TableText-center"/>
            </w:pPr>
            <w:r w:rsidRPr="008D54A5">
              <w:t>34</w:t>
            </w:r>
          </w:p>
        </w:tc>
        <w:tc>
          <w:tcPr>
            <w:tcW w:w="4596" w:type="pct"/>
          </w:tcPr>
          <w:p w14:paraId="2CD66584" w14:textId="15E8F914" w:rsidR="008B5EB2" w:rsidRPr="008D54A5" w:rsidRDefault="008B5EB2" w:rsidP="008B5EB2">
            <w:pPr>
              <w:pStyle w:val="TableText"/>
            </w:pPr>
            <w:r w:rsidRPr="008D54A5">
              <w:t>Examine events with 4 or more sources of payment fields with positive payments where one or more of the payments (excluding patient payment) is exactly $2.00. This review also examines other events where any payment field (excluding patient payment) is exactly $2.00.</w:t>
            </w:r>
          </w:p>
        </w:tc>
      </w:tr>
      <w:tr w:rsidR="008D54A5" w:rsidRPr="008D54A5" w14:paraId="7766437C" w14:textId="77777777" w:rsidTr="00C90C6E">
        <w:trPr>
          <w:trHeight w:val="20"/>
        </w:trPr>
        <w:tc>
          <w:tcPr>
            <w:tcW w:w="404" w:type="pct"/>
            <w:vAlign w:val="center"/>
          </w:tcPr>
          <w:p w14:paraId="59257BFD" w14:textId="4A245086" w:rsidR="00A214CF" w:rsidRPr="008D54A5" w:rsidRDefault="00A214CF" w:rsidP="008B5EB2">
            <w:pPr>
              <w:pStyle w:val="TableText-center"/>
            </w:pPr>
            <w:r w:rsidRPr="008D54A5">
              <w:t>35</w:t>
            </w:r>
          </w:p>
        </w:tc>
        <w:tc>
          <w:tcPr>
            <w:tcW w:w="4596" w:type="pct"/>
          </w:tcPr>
          <w:p w14:paraId="0E126C02" w14:textId="20C9DE56" w:rsidR="00A214CF" w:rsidRPr="008D54A5" w:rsidRDefault="00A214CF" w:rsidP="00470F6F">
            <w:pPr>
              <w:pStyle w:val="TableText"/>
            </w:pPr>
            <w:r w:rsidRPr="008D54A5">
              <w:t xml:space="preserve">Review </w:t>
            </w:r>
            <w:r w:rsidR="00A31634">
              <w:t>H</w:t>
            </w:r>
            <w:r w:rsidRPr="008D54A5">
              <w:t>ospital events where at least one CPT4 code has ‘26’ as a modifier</w:t>
            </w:r>
            <w:r w:rsidR="00470F6F" w:rsidRPr="008D54A5">
              <w:t xml:space="preserve"> (which indicates the profession component of a service or procedure)</w:t>
            </w:r>
            <w:r w:rsidRPr="008D54A5">
              <w:t>.</w:t>
            </w:r>
          </w:p>
        </w:tc>
      </w:tr>
    </w:tbl>
    <w:p w14:paraId="64C30969" w14:textId="1E68EBCB" w:rsidR="009F0978" w:rsidRPr="008D54A5" w:rsidRDefault="001D0CDD" w:rsidP="004C0DCB">
      <w:pPr>
        <w:pStyle w:val="tablecont"/>
        <w:jc w:val="left"/>
      </w:pPr>
      <w:r w:rsidRPr="008D54A5" w:rsidDel="001D0CDD">
        <w:t xml:space="preserve"> </w:t>
      </w:r>
      <w:bookmarkStart w:id="38" w:name="_Hlk66887956"/>
    </w:p>
    <w:bookmarkEnd w:id="38"/>
    <w:p w14:paraId="1DA9C841" w14:textId="77777777" w:rsidR="009F0978" w:rsidRPr="008D54A5" w:rsidRDefault="009F0978" w:rsidP="009F0978">
      <w:pPr>
        <w:pStyle w:val="tablecont"/>
      </w:pPr>
      <w:r w:rsidRPr="008D54A5">
        <w:t>(continued)</w:t>
      </w:r>
    </w:p>
    <w:p w14:paraId="41A172F7" w14:textId="7B6344CF" w:rsidR="009F0978" w:rsidRPr="008D54A5" w:rsidRDefault="009F0978" w:rsidP="009F0978">
      <w:pPr>
        <w:pStyle w:val="ExhibitTitlecontinued"/>
        <w:spacing w:before="120" w:after="40"/>
        <w:ind w:left="1526" w:hanging="1526"/>
      </w:pPr>
      <w:r w:rsidRPr="00B53C63">
        <w:lastRenderedPageBreak/>
        <w:t>Exhibit </w:t>
      </w:r>
      <w:r w:rsidRPr="008D54A5">
        <w:rPr>
          <w:noProof/>
        </w:rPr>
        <w:t>3</w:t>
      </w:r>
      <w:r w:rsidRPr="008D54A5">
        <w:t>.</w:t>
      </w:r>
      <w:r w:rsidRPr="008D54A5">
        <w:rPr>
          <w:noProof/>
        </w:rPr>
        <w:t>2</w:t>
      </w:r>
      <w:r w:rsidRPr="008D54A5">
        <w:tab/>
      </w:r>
      <w:r w:rsidR="004A7BDE" w:rsidRPr="008D54A5">
        <w:t>202</w:t>
      </w:r>
      <w:r w:rsidR="00F70D53" w:rsidRPr="008D54A5">
        <w:t>2</w:t>
      </w:r>
      <w:r w:rsidRPr="008D54A5">
        <w:t xml:space="preserve"> MPC Managerial Reviews (continued)</w:t>
      </w:r>
    </w:p>
    <w:tbl>
      <w:tblPr>
        <w:tblStyle w:val="TableGrid"/>
        <w:tblW w:w="5000" w:type="pct"/>
        <w:tblCellMar>
          <w:left w:w="72" w:type="dxa"/>
          <w:right w:w="72" w:type="dxa"/>
        </w:tblCellMar>
        <w:tblLook w:val="04A0" w:firstRow="1" w:lastRow="0" w:firstColumn="1" w:lastColumn="0" w:noHBand="0" w:noVBand="1"/>
      </w:tblPr>
      <w:tblGrid>
        <w:gridCol w:w="776"/>
        <w:gridCol w:w="8574"/>
      </w:tblGrid>
      <w:tr w:rsidR="009F0978" w:rsidRPr="008D54A5" w14:paraId="3F0167F1" w14:textId="77777777" w:rsidTr="00C73A67">
        <w:trPr>
          <w:cnfStyle w:val="100000000000" w:firstRow="1" w:lastRow="0" w:firstColumn="0" w:lastColumn="0" w:oddVBand="0" w:evenVBand="0" w:oddHBand="0" w:evenHBand="0" w:firstRowFirstColumn="0" w:firstRowLastColumn="0" w:lastRowFirstColumn="0" w:lastRowLastColumn="0"/>
          <w:trHeight w:val="20"/>
        </w:trPr>
        <w:tc>
          <w:tcPr>
            <w:tcW w:w="415" w:type="pct"/>
            <w:vAlign w:val="top"/>
          </w:tcPr>
          <w:p w14:paraId="69C44279" w14:textId="77777777" w:rsidR="009F0978" w:rsidRPr="008D54A5" w:rsidRDefault="009F0978" w:rsidP="00C73A67">
            <w:pPr>
              <w:pStyle w:val="TableText-center"/>
              <w:rPr>
                <w:b/>
                <w:bCs/>
              </w:rPr>
            </w:pPr>
            <w:r w:rsidRPr="008D54A5">
              <w:rPr>
                <w:b/>
                <w:bCs/>
              </w:rPr>
              <w:t>Edit #</w:t>
            </w:r>
          </w:p>
        </w:tc>
        <w:tc>
          <w:tcPr>
            <w:tcW w:w="4585" w:type="pct"/>
          </w:tcPr>
          <w:p w14:paraId="29370682" w14:textId="77777777" w:rsidR="009F0978" w:rsidRPr="008D54A5" w:rsidRDefault="009F0978" w:rsidP="00C73A67">
            <w:pPr>
              <w:pStyle w:val="TableText"/>
              <w:rPr>
                <w:b/>
                <w:bCs/>
              </w:rPr>
            </w:pPr>
            <w:r w:rsidRPr="008D54A5">
              <w:rPr>
                <w:b/>
                <w:bCs/>
              </w:rPr>
              <w:t>Edit</w:t>
            </w:r>
          </w:p>
        </w:tc>
      </w:tr>
      <w:tr w:rsidR="005937FA" w:rsidRPr="008D54A5" w14:paraId="74E8ED93" w14:textId="77777777" w:rsidTr="00F4179D">
        <w:trPr>
          <w:trHeight w:val="20"/>
        </w:trPr>
        <w:tc>
          <w:tcPr>
            <w:tcW w:w="5000" w:type="pct"/>
            <w:gridSpan w:val="2"/>
            <w:shd w:val="clear" w:color="auto" w:fill="D9D9D9" w:themeFill="background1" w:themeFillShade="D9"/>
            <w:vAlign w:val="center"/>
          </w:tcPr>
          <w:p w14:paraId="752DB0EA" w14:textId="77777777" w:rsidR="005937FA" w:rsidRPr="008D54A5" w:rsidRDefault="005937FA" w:rsidP="007B19FD">
            <w:pPr>
              <w:keepNext/>
              <w:keepLines/>
              <w:rPr>
                <w:b/>
                <w:bCs/>
              </w:rPr>
            </w:pPr>
            <w:r w:rsidRPr="008D54A5">
              <w:rPr>
                <w:rFonts w:asciiTheme="majorBidi" w:hAnsiTheme="majorBidi" w:cstheme="majorBidi"/>
                <w:b/>
                <w:bCs/>
                <w:sz w:val="20"/>
              </w:rPr>
              <w:t>Additional Managerial Review Edits for SBD</w:t>
            </w:r>
          </w:p>
        </w:tc>
      </w:tr>
      <w:tr w:rsidR="005937FA" w:rsidRPr="008D54A5" w14:paraId="3D5DA64B" w14:textId="77777777" w:rsidTr="005E0FDA">
        <w:trPr>
          <w:trHeight w:val="20"/>
        </w:trPr>
        <w:tc>
          <w:tcPr>
            <w:tcW w:w="415" w:type="pct"/>
            <w:vAlign w:val="center"/>
          </w:tcPr>
          <w:p w14:paraId="26EF2840" w14:textId="77777777" w:rsidR="005937FA" w:rsidRPr="008D54A5" w:rsidRDefault="005937FA" w:rsidP="007B19FD">
            <w:pPr>
              <w:pStyle w:val="TableText-center"/>
              <w:keepNext/>
              <w:keepLines/>
            </w:pPr>
            <w:r w:rsidRPr="008D54A5">
              <w:t>50</w:t>
            </w:r>
          </w:p>
        </w:tc>
        <w:tc>
          <w:tcPr>
            <w:tcW w:w="4585" w:type="pct"/>
          </w:tcPr>
          <w:p w14:paraId="3FE7DEDD" w14:textId="77777777" w:rsidR="005937FA" w:rsidRPr="008D54A5" w:rsidRDefault="005937FA" w:rsidP="007B19FD">
            <w:pPr>
              <w:pStyle w:val="TableText"/>
              <w:keepNext/>
              <w:keepLines/>
            </w:pPr>
            <w:r w:rsidRPr="008D54A5">
              <w:t xml:space="preserve">Examine SBD/OBD overlap identified after SBDs are collected. This is a listing of completed OBDs and SBDs with the same charge or payment for the same patient and same hospital event. </w:t>
            </w:r>
          </w:p>
        </w:tc>
      </w:tr>
      <w:tr w:rsidR="005937FA" w:rsidRPr="008D54A5" w14:paraId="68687853" w14:textId="77777777" w:rsidTr="005E0FDA">
        <w:trPr>
          <w:trHeight w:val="20"/>
        </w:trPr>
        <w:tc>
          <w:tcPr>
            <w:tcW w:w="415" w:type="pct"/>
            <w:vAlign w:val="center"/>
          </w:tcPr>
          <w:p w14:paraId="4CC15533" w14:textId="77777777" w:rsidR="005937FA" w:rsidRPr="008D54A5" w:rsidRDefault="005937FA" w:rsidP="007B19FD">
            <w:pPr>
              <w:pStyle w:val="TableText-center"/>
              <w:keepNext/>
              <w:keepLines/>
            </w:pPr>
            <w:r w:rsidRPr="008D54A5">
              <w:t>60</w:t>
            </w:r>
          </w:p>
        </w:tc>
        <w:tc>
          <w:tcPr>
            <w:tcW w:w="4585" w:type="pct"/>
          </w:tcPr>
          <w:p w14:paraId="2FEE6A15" w14:textId="2F53B26D" w:rsidR="005937FA" w:rsidRPr="008D54A5" w:rsidRDefault="005937FA" w:rsidP="007B19FD">
            <w:pPr>
              <w:pStyle w:val="TableText"/>
              <w:keepNext/>
              <w:keepLines/>
            </w:pPr>
            <w:r w:rsidRPr="008D54A5">
              <w:t>Examine SBD/</w:t>
            </w:r>
            <w:r w:rsidR="007A2832" w:rsidRPr="008D54A5">
              <w:t>H</w:t>
            </w:r>
            <w:r w:rsidR="00350AE3" w:rsidRPr="008D54A5">
              <w:t>ospital</w:t>
            </w:r>
            <w:r w:rsidRPr="008D54A5">
              <w:t xml:space="preserve"> potential duplicates by looking for events on the same day with SBD and </w:t>
            </w:r>
            <w:r w:rsidR="007A2832" w:rsidRPr="008D54A5">
              <w:t>H</w:t>
            </w:r>
            <w:r w:rsidR="00350AE3" w:rsidRPr="008D54A5">
              <w:t>ospital</w:t>
            </w:r>
            <w:r w:rsidRPr="008D54A5">
              <w:t xml:space="preserve"> charges the same and/or SBD and </w:t>
            </w:r>
            <w:r w:rsidR="007A2832" w:rsidRPr="008D54A5">
              <w:t>H</w:t>
            </w:r>
            <w:r w:rsidR="00350AE3" w:rsidRPr="008D54A5">
              <w:t>ospital</w:t>
            </w:r>
            <w:r w:rsidRPr="008D54A5">
              <w:t xml:space="preserve"> payments the same (excluding zero payments if that is all that is the same).</w:t>
            </w:r>
          </w:p>
        </w:tc>
      </w:tr>
      <w:tr w:rsidR="005937FA" w:rsidRPr="008D54A5" w14:paraId="48E74A35" w14:textId="77777777" w:rsidTr="005E0FDA">
        <w:trPr>
          <w:trHeight w:val="20"/>
        </w:trPr>
        <w:tc>
          <w:tcPr>
            <w:tcW w:w="415" w:type="pct"/>
            <w:vAlign w:val="center"/>
          </w:tcPr>
          <w:p w14:paraId="0ADCFA0C" w14:textId="40F21FB6" w:rsidR="005937FA" w:rsidRPr="008D54A5" w:rsidRDefault="005937FA" w:rsidP="007B19FD">
            <w:pPr>
              <w:pStyle w:val="TableText-center"/>
              <w:keepNext/>
              <w:keepLines/>
            </w:pPr>
            <w:r w:rsidRPr="008D54A5">
              <w:t>70</w:t>
            </w:r>
          </w:p>
        </w:tc>
        <w:tc>
          <w:tcPr>
            <w:tcW w:w="4585" w:type="pct"/>
          </w:tcPr>
          <w:p w14:paraId="5A71556E" w14:textId="38F0DE9C" w:rsidR="005937FA" w:rsidRPr="008D54A5" w:rsidRDefault="005937FA" w:rsidP="007B19FD">
            <w:pPr>
              <w:pStyle w:val="TableText"/>
              <w:keepNext/>
              <w:keepLines/>
            </w:pPr>
            <w:r w:rsidRPr="008D54A5">
              <w:t xml:space="preserve">Examine SBD potential duplicates—responding SBD nodes or encounters for the same patient with the same </w:t>
            </w:r>
            <w:r w:rsidR="005219A0" w:rsidRPr="008D54A5">
              <w:t>H</w:t>
            </w:r>
            <w:r w:rsidRPr="008D54A5">
              <w:t>ospital ID, (nonzero) payment or charge, date, role, and specialty.</w:t>
            </w:r>
          </w:p>
        </w:tc>
      </w:tr>
    </w:tbl>
    <w:p w14:paraId="404C8E1A" w14:textId="6A30479B" w:rsidR="002D4D78" w:rsidRPr="008D54A5" w:rsidRDefault="00C22747" w:rsidP="007B19FD">
      <w:pPr>
        <w:pStyle w:val="Source-9-1"/>
        <w:keepNext/>
        <w:spacing w:before="0" w:after="0"/>
      </w:pPr>
      <w:bookmarkStart w:id="39" w:name="_Hlk29387360"/>
      <w:r w:rsidRPr="008D54A5">
        <w:t xml:space="preserve">ALS = </w:t>
      </w:r>
      <w:r w:rsidR="005D0380" w:rsidRPr="008D54A5">
        <w:rPr>
          <w:color w:val="222222"/>
          <w:shd w:val="clear" w:color="auto" w:fill="FFFFFF"/>
        </w:rPr>
        <w:t>a</w:t>
      </w:r>
      <w:r w:rsidRPr="008D54A5">
        <w:rPr>
          <w:color w:val="222222"/>
          <w:shd w:val="clear" w:color="auto" w:fill="FFFFFF"/>
        </w:rPr>
        <w:t>myotrophic lateral sclerosis;</w:t>
      </w:r>
      <w:r w:rsidRPr="008D54A5">
        <w:t xml:space="preserve"> </w:t>
      </w:r>
      <w:r w:rsidR="009675A3" w:rsidRPr="008D54A5">
        <w:t>AO = administrative office; CAP = capitated</w:t>
      </w:r>
      <w:r w:rsidR="005D0380" w:rsidRPr="008D54A5">
        <w:t>;</w:t>
      </w:r>
      <w:r w:rsidR="009675A3" w:rsidRPr="008D54A5">
        <w:t xml:space="preserve"> </w:t>
      </w:r>
      <w:r w:rsidR="00942D77" w:rsidRPr="008D54A5">
        <w:t xml:space="preserve">CPT = Current Procedural Terminology; </w:t>
      </w:r>
      <w:r w:rsidR="009675A3" w:rsidRPr="008D54A5">
        <w:t xml:space="preserve">DCS = Data Collection Staff; </w:t>
      </w:r>
      <w:r w:rsidR="00073300" w:rsidRPr="008D54A5">
        <w:t xml:space="preserve">ER = emergency room; </w:t>
      </w:r>
      <w:r w:rsidR="009675A3" w:rsidRPr="008D54A5">
        <w:t xml:space="preserve">FFS = fee-for-service; </w:t>
      </w:r>
      <w:r w:rsidR="00073300" w:rsidRPr="008D54A5">
        <w:t xml:space="preserve">HH = </w:t>
      </w:r>
      <w:r w:rsidR="006C62E1" w:rsidRPr="008D54A5">
        <w:t>Home Health</w:t>
      </w:r>
      <w:r w:rsidR="00073300" w:rsidRPr="008D54A5">
        <w:t xml:space="preserve">; </w:t>
      </w:r>
      <w:r w:rsidR="009675A3" w:rsidRPr="008D54A5">
        <w:t xml:space="preserve">HOSP = hospital; ICD = International Classification of Diseases; ID = identifier; IP = inpatient; </w:t>
      </w:r>
      <w:r w:rsidR="002D4D78" w:rsidRPr="008D54A5">
        <w:t xml:space="preserve">HC = Household Component; </w:t>
      </w:r>
      <w:r w:rsidR="00073300" w:rsidRPr="008D54A5">
        <w:t>MPC = Medical Provider Component</w:t>
      </w:r>
      <w:r w:rsidR="005D0380" w:rsidRPr="008D54A5">
        <w:t>;</w:t>
      </w:r>
      <w:r w:rsidR="00073300" w:rsidRPr="008D54A5">
        <w:t xml:space="preserve"> </w:t>
      </w:r>
      <w:r w:rsidR="00B32C6B" w:rsidRPr="008D54A5">
        <w:t xml:space="preserve">NDC = </w:t>
      </w:r>
      <w:r w:rsidR="00B32C6B" w:rsidRPr="008D54A5">
        <w:rPr>
          <w:color w:val="222222"/>
          <w:shd w:val="clear" w:color="auto" w:fill="FFFFFF"/>
        </w:rPr>
        <w:t>National Drug Code</w:t>
      </w:r>
      <w:r w:rsidR="00B32C6B" w:rsidRPr="008D54A5">
        <w:t xml:space="preserve">; </w:t>
      </w:r>
      <w:r w:rsidR="002D4D78" w:rsidRPr="008D54A5">
        <w:t xml:space="preserve">OBD = office-based doctor; </w:t>
      </w:r>
      <w:r w:rsidR="009675A3" w:rsidRPr="008D54A5">
        <w:t xml:space="preserve">OP = outpatient; </w:t>
      </w:r>
      <w:r w:rsidR="00942D77" w:rsidRPr="008D54A5">
        <w:t xml:space="preserve">QC = quality control; </w:t>
      </w:r>
      <w:r w:rsidR="002D4D78" w:rsidRPr="008D54A5">
        <w:t>SBD = separately bill</w:t>
      </w:r>
      <w:r w:rsidR="004E0F15" w:rsidRPr="008D54A5">
        <w:t>ing</w:t>
      </w:r>
      <w:r w:rsidR="002D4D78" w:rsidRPr="008D54A5">
        <w:t xml:space="preserve"> doctor</w:t>
      </w:r>
      <w:r w:rsidR="009675A3" w:rsidRPr="008D54A5">
        <w:t xml:space="preserve">; VA = Veterans </w:t>
      </w:r>
      <w:r w:rsidR="00846428" w:rsidRPr="008D54A5">
        <w:t>Affairs</w:t>
      </w:r>
      <w:r w:rsidR="002D4D78" w:rsidRPr="008D54A5">
        <w:t>.</w:t>
      </w:r>
    </w:p>
    <w:bookmarkEnd w:id="39"/>
    <w:p w14:paraId="0190E2AD" w14:textId="241F38B7" w:rsidR="00B7798A" w:rsidRPr="008D54A5" w:rsidRDefault="00C0101F" w:rsidP="007B19FD">
      <w:pPr>
        <w:pStyle w:val="Source-9-1"/>
        <w:keepNext/>
        <w:spacing w:before="0" w:after="0"/>
      </w:pPr>
      <w:r w:rsidRPr="008D54A5">
        <w:t xml:space="preserve">Note: Edit numbers </w:t>
      </w:r>
      <w:r w:rsidR="004E0F15" w:rsidRPr="008D54A5">
        <w:t xml:space="preserve">7, </w:t>
      </w:r>
      <w:r w:rsidR="004B14F7" w:rsidRPr="008D54A5">
        <w:t>10,</w:t>
      </w:r>
      <w:r w:rsidR="003334BD" w:rsidRPr="008D54A5">
        <w:t xml:space="preserve"> </w:t>
      </w:r>
      <w:r w:rsidRPr="008D54A5">
        <w:t xml:space="preserve">11, </w:t>
      </w:r>
      <w:r w:rsidR="004B14F7" w:rsidRPr="008D54A5">
        <w:t xml:space="preserve">14, </w:t>
      </w:r>
      <w:r w:rsidR="00EB5EAE" w:rsidRPr="008D54A5">
        <w:t xml:space="preserve">16, </w:t>
      </w:r>
      <w:r w:rsidRPr="008D54A5">
        <w:t>18, 19, 21, 23, 24</w:t>
      </w:r>
      <w:r w:rsidR="004E0F15" w:rsidRPr="008D54A5">
        <w:t xml:space="preserve">, </w:t>
      </w:r>
      <w:r w:rsidR="00CE110A" w:rsidRPr="008D54A5">
        <w:t>27,</w:t>
      </w:r>
      <w:r w:rsidR="00F70D53" w:rsidRPr="008D54A5">
        <w:t xml:space="preserve"> 32,</w:t>
      </w:r>
      <w:r w:rsidR="00CE110A" w:rsidRPr="008D54A5">
        <w:t xml:space="preserve"> </w:t>
      </w:r>
      <w:r w:rsidR="004E0F15" w:rsidRPr="008D54A5">
        <w:t xml:space="preserve">and </w:t>
      </w:r>
      <w:r w:rsidR="00CE110A" w:rsidRPr="008D54A5">
        <w:t>3</w:t>
      </w:r>
      <w:r w:rsidR="00211A75" w:rsidRPr="008D54A5">
        <w:t>3</w:t>
      </w:r>
      <w:r w:rsidRPr="008D54A5">
        <w:t xml:space="preserve"> are not used.</w:t>
      </w:r>
    </w:p>
    <w:p w14:paraId="1FB70E65" w14:textId="2A53A28D" w:rsidR="00350AE3" w:rsidRPr="008D54A5" w:rsidRDefault="00350AE3" w:rsidP="007B19FD">
      <w:pPr>
        <w:pStyle w:val="Source-9-1"/>
        <w:keepNext/>
        <w:spacing w:before="0" w:after="0"/>
      </w:pPr>
      <w:r w:rsidRPr="008D54A5">
        <w:t xml:space="preserve">Source: </w:t>
      </w:r>
      <w:r w:rsidR="004A7BDE" w:rsidRPr="008D54A5">
        <w:t>202</w:t>
      </w:r>
      <w:r w:rsidR="00F70D53" w:rsidRPr="008D54A5">
        <w:t>2</w:t>
      </w:r>
      <w:r w:rsidRPr="008D54A5">
        <w:t xml:space="preserve"> Medical Expenditure Panel Survey – Medical Provider Component.</w:t>
      </w:r>
    </w:p>
    <w:p w14:paraId="2E54CA5C" w14:textId="509B753E" w:rsidR="001067D4" w:rsidRPr="008D54A5" w:rsidRDefault="00F66AD2" w:rsidP="00DD4425">
      <w:pPr>
        <w:pStyle w:val="Heading2"/>
      </w:pPr>
      <w:bookmarkStart w:id="40" w:name="_Toc127287269"/>
      <w:bookmarkStart w:id="41" w:name="_Toc160529595"/>
      <w:bookmarkStart w:id="42" w:name="_Hlk36200324"/>
      <w:bookmarkStart w:id="43" w:name="_Toc189128082"/>
      <w:r w:rsidRPr="008D54A5">
        <w:t>I</w:t>
      </w:r>
      <w:r w:rsidR="00152366" w:rsidRPr="008D54A5">
        <w:t>dentif</w:t>
      </w:r>
      <w:r w:rsidR="00A50EB7" w:rsidRPr="008D54A5">
        <w:t>i</w:t>
      </w:r>
      <w:r w:rsidR="00152366" w:rsidRPr="008D54A5">
        <w:t>cation and Resolution of Dup</w:t>
      </w:r>
      <w:r w:rsidR="0062249B" w:rsidRPr="008D54A5">
        <w:t>l</w:t>
      </w:r>
      <w:r w:rsidRPr="008D54A5">
        <w:t>icate Events</w:t>
      </w:r>
      <w:bookmarkEnd w:id="40"/>
      <w:bookmarkEnd w:id="41"/>
      <w:bookmarkEnd w:id="43"/>
    </w:p>
    <w:p w14:paraId="05E3F827" w14:textId="76A0AE4D" w:rsidR="00443422" w:rsidRPr="008D54A5" w:rsidRDefault="00F66AD2" w:rsidP="00E75D33">
      <w:pPr>
        <w:pStyle w:val="BodyText"/>
      </w:pPr>
      <w:r w:rsidRPr="008D54A5">
        <w:t>Duplicate</w:t>
      </w:r>
      <w:r w:rsidR="00431F38" w:rsidRPr="008D54A5">
        <w:t xml:space="preserve"> records </w:t>
      </w:r>
      <w:r w:rsidR="00B7798A" w:rsidRPr="008D54A5">
        <w:t xml:space="preserve">are </w:t>
      </w:r>
      <w:r w:rsidR="00431F38" w:rsidRPr="008D54A5">
        <w:t xml:space="preserve">created when </w:t>
      </w:r>
      <w:r w:rsidR="00ED4AFA" w:rsidRPr="008D54A5">
        <w:t xml:space="preserve">data </w:t>
      </w:r>
      <w:r w:rsidR="004032CA" w:rsidRPr="008D54A5">
        <w:t xml:space="preserve">are </w:t>
      </w:r>
      <w:r w:rsidR="00ED4AFA" w:rsidRPr="008D54A5">
        <w:t>entered two or more times for the same person, provider</w:t>
      </w:r>
      <w:r w:rsidR="00FB5DA4" w:rsidRPr="008D54A5">
        <w:t>,</w:t>
      </w:r>
      <w:r w:rsidR="00ED4AFA" w:rsidRPr="008D54A5">
        <w:t xml:space="preserve"> and medical event</w:t>
      </w:r>
      <w:r w:rsidR="00452362" w:rsidRPr="008D54A5">
        <w:t xml:space="preserve">. </w:t>
      </w:r>
      <w:r w:rsidR="00B5256F" w:rsidRPr="008D54A5">
        <w:t>D</w:t>
      </w:r>
      <w:r w:rsidR="00431F38" w:rsidRPr="008D54A5">
        <w:t xml:space="preserve">uplication in data collection </w:t>
      </w:r>
      <w:r w:rsidR="00B7798A" w:rsidRPr="008D54A5">
        <w:t xml:space="preserve">can </w:t>
      </w:r>
      <w:r w:rsidRPr="008D54A5">
        <w:t>occur for several reasons. For example,</w:t>
      </w:r>
      <w:r w:rsidR="00B5256F" w:rsidRPr="008D54A5">
        <w:t xml:space="preserve"> sometimes two or more</w:t>
      </w:r>
      <w:r w:rsidR="00431F38" w:rsidRPr="008D54A5">
        <w:t xml:space="preserve"> </w:t>
      </w:r>
      <w:r w:rsidR="00ED16AA" w:rsidRPr="008D54A5">
        <w:t>Household Component (</w:t>
      </w:r>
      <w:r w:rsidR="00431F38" w:rsidRPr="008D54A5">
        <w:t>HC</w:t>
      </w:r>
      <w:r w:rsidR="00ED16AA" w:rsidRPr="008D54A5">
        <w:t>)</w:t>
      </w:r>
      <w:r w:rsidR="00431F38" w:rsidRPr="008D54A5">
        <w:t xml:space="preserve"> </w:t>
      </w:r>
      <w:r w:rsidR="007965CC" w:rsidRPr="008D54A5">
        <w:t>p</w:t>
      </w:r>
      <w:r w:rsidR="00431F38" w:rsidRPr="008D54A5">
        <w:t>rovider</w:t>
      </w:r>
      <w:r w:rsidRPr="008D54A5">
        <w:t xml:space="preserve"> </w:t>
      </w:r>
      <w:r w:rsidR="008C7ECF" w:rsidRPr="008D54A5">
        <w:t>identifiers (</w:t>
      </w:r>
      <w:r w:rsidRPr="008D54A5">
        <w:t>IDs</w:t>
      </w:r>
      <w:r w:rsidR="008C7ECF" w:rsidRPr="008D54A5">
        <w:t>)</w:t>
      </w:r>
      <w:r w:rsidRPr="008D54A5">
        <w:t xml:space="preserve"> that point to the same pro</w:t>
      </w:r>
      <w:r w:rsidR="00B5256F" w:rsidRPr="008D54A5">
        <w:t>vider</w:t>
      </w:r>
      <w:r w:rsidR="00431F38" w:rsidRPr="008D54A5">
        <w:t xml:space="preserve"> </w:t>
      </w:r>
      <w:r w:rsidR="00EE42BB" w:rsidRPr="008D54A5">
        <w:t xml:space="preserve">are unable to be connected </w:t>
      </w:r>
      <w:r w:rsidR="00431F38" w:rsidRPr="008D54A5">
        <w:t>before data collection</w:t>
      </w:r>
      <w:r w:rsidR="00B603A1" w:rsidRPr="008D54A5">
        <w:t>, and</w:t>
      </w:r>
      <w:r w:rsidR="00B5256F" w:rsidRPr="008D54A5">
        <w:t xml:space="preserve"> sometimes </w:t>
      </w:r>
      <w:r w:rsidR="005219A0" w:rsidRPr="008D54A5">
        <w:t xml:space="preserve">the HC </w:t>
      </w:r>
      <w:r w:rsidRPr="008D54A5">
        <w:t>field interviewer inadvertently key</w:t>
      </w:r>
      <w:r w:rsidR="00B7798A" w:rsidRPr="008D54A5">
        <w:t>s</w:t>
      </w:r>
      <w:r w:rsidRPr="008D54A5">
        <w:t xml:space="preserve"> the same eve</w:t>
      </w:r>
      <w:r w:rsidR="00B5256F" w:rsidRPr="008D54A5">
        <w:t>nt twice for a person</w:t>
      </w:r>
      <w:r w:rsidR="00C45626" w:rsidRPr="008D54A5">
        <w:t>–</w:t>
      </w:r>
      <w:r w:rsidR="00B5256F" w:rsidRPr="008D54A5">
        <w:t>provider pair</w:t>
      </w:r>
      <w:r w:rsidR="00452362" w:rsidRPr="008D54A5">
        <w:t>.</w:t>
      </w:r>
    </w:p>
    <w:p w14:paraId="15B3AF26" w14:textId="0C1D1FB9" w:rsidR="007F577A" w:rsidRPr="008D54A5" w:rsidRDefault="00F66AD2" w:rsidP="00E75D33">
      <w:pPr>
        <w:pStyle w:val="BodyText"/>
      </w:pPr>
      <w:r w:rsidRPr="008D54A5">
        <w:t>Sometim</w:t>
      </w:r>
      <w:r w:rsidR="00431F38" w:rsidRPr="008D54A5">
        <w:t xml:space="preserve">es the data (including charges, payments, location, services provided, diagnosis, etc.) </w:t>
      </w:r>
      <w:r w:rsidR="00B7798A" w:rsidRPr="008D54A5">
        <w:t>are</w:t>
      </w:r>
      <w:r w:rsidR="00431F38" w:rsidRPr="008D54A5">
        <w:t xml:space="preserve"> the same for the duplicate events</w:t>
      </w:r>
      <w:r w:rsidR="008C7ECF" w:rsidRPr="008D54A5">
        <w:t>,</w:t>
      </w:r>
      <w:r w:rsidR="00431F38" w:rsidRPr="008D54A5">
        <w:t xml:space="preserve"> and other time</w:t>
      </w:r>
      <w:r w:rsidR="00ED4AFA" w:rsidRPr="008D54A5">
        <w:t>s</w:t>
      </w:r>
      <w:r w:rsidR="00431F38" w:rsidRPr="008D54A5">
        <w:t xml:space="preserve"> the data </w:t>
      </w:r>
      <w:r w:rsidR="004032CA" w:rsidRPr="008D54A5">
        <w:t xml:space="preserve">vary </w:t>
      </w:r>
      <w:r w:rsidRPr="008D54A5">
        <w:t>in small ways between the two even</w:t>
      </w:r>
      <w:r w:rsidR="00431F38" w:rsidRPr="008D54A5">
        <w:t xml:space="preserve">ts. </w:t>
      </w:r>
      <w:r w:rsidR="00B7798A" w:rsidRPr="008D54A5">
        <w:t>D</w:t>
      </w:r>
      <w:r w:rsidR="001437BE" w:rsidRPr="008D54A5">
        <w:t>uplicated d</w:t>
      </w:r>
      <w:r w:rsidR="00431F38" w:rsidRPr="008D54A5">
        <w:t xml:space="preserve">ata </w:t>
      </w:r>
      <w:r w:rsidR="00B7798A" w:rsidRPr="008D54A5">
        <w:t>may be</w:t>
      </w:r>
      <w:r w:rsidR="00E239B5" w:rsidRPr="008D54A5">
        <w:t xml:space="preserve"> </w:t>
      </w:r>
      <w:r w:rsidR="00431F38" w:rsidRPr="008D54A5">
        <w:t>collected within the same provider</w:t>
      </w:r>
      <w:r w:rsidR="004032CA" w:rsidRPr="008D54A5">
        <w:t xml:space="preserve"> or</w:t>
      </w:r>
      <w:r w:rsidR="00431F38" w:rsidRPr="008D54A5">
        <w:t xml:space="preserve"> between</w:t>
      </w:r>
      <w:r w:rsidR="004032CA" w:rsidRPr="008D54A5">
        <w:t xml:space="preserve"> different</w:t>
      </w:r>
      <w:r w:rsidR="00431F38" w:rsidRPr="008D54A5">
        <w:t xml:space="preserve"> providers</w:t>
      </w:r>
      <w:r w:rsidR="00452362" w:rsidRPr="008D54A5">
        <w:t xml:space="preserve">. </w:t>
      </w:r>
      <w:r w:rsidR="005E176D" w:rsidRPr="008D54A5">
        <w:t>The</w:t>
      </w:r>
      <w:r w:rsidR="00431F38" w:rsidRPr="008D54A5">
        <w:t xml:space="preserve"> objective </w:t>
      </w:r>
      <w:r w:rsidR="005F37C0" w:rsidRPr="008D54A5">
        <w:t xml:space="preserve">is </w:t>
      </w:r>
      <w:r w:rsidR="00431F38" w:rsidRPr="008D54A5">
        <w:t>to identify thes</w:t>
      </w:r>
      <w:r w:rsidRPr="008D54A5">
        <w:t xml:space="preserve">e duplicate events, </w:t>
      </w:r>
      <w:r w:rsidR="008C7ECF" w:rsidRPr="008D54A5">
        <w:t xml:space="preserve">and </w:t>
      </w:r>
      <w:r w:rsidR="00540CE8" w:rsidRPr="008D54A5">
        <w:t xml:space="preserve">then </w:t>
      </w:r>
      <w:r w:rsidRPr="008D54A5">
        <w:t>review an</w:t>
      </w:r>
      <w:r w:rsidR="00431F38" w:rsidRPr="008D54A5">
        <w:t xml:space="preserve">d edit as needed </w:t>
      </w:r>
      <w:r w:rsidRPr="008D54A5">
        <w:t>to produce accurate</w:t>
      </w:r>
      <w:r w:rsidR="00540CE8" w:rsidRPr="008D54A5">
        <w:t>,</w:t>
      </w:r>
      <w:r w:rsidRPr="008D54A5">
        <w:t xml:space="preserve"> useful data for the </w:t>
      </w:r>
      <w:r w:rsidR="002D3451" w:rsidRPr="008D54A5">
        <w:t>MPC-HC</w:t>
      </w:r>
      <w:r w:rsidRPr="008D54A5">
        <w:t xml:space="preserve"> matching</w:t>
      </w:r>
      <w:r w:rsidR="00ED4AFA" w:rsidRPr="008D54A5">
        <w:t xml:space="preserve"> process</w:t>
      </w:r>
      <w:r w:rsidR="00431F38" w:rsidRPr="008D54A5">
        <w:t>.</w:t>
      </w:r>
    </w:p>
    <w:p w14:paraId="2952FEC3" w14:textId="2F9C5EB6" w:rsidR="00714209" w:rsidRPr="008D54A5" w:rsidRDefault="00EE42BB" w:rsidP="002068EA">
      <w:pPr>
        <w:pStyle w:val="BodyText"/>
        <w:keepNext/>
      </w:pPr>
      <w:r w:rsidRPr="008D54A5">
        <w:t>P</w:t>
      </w:r>
      <w:r w:rsidR="00714209" w:rsidRPr="008D54A5">
        <w:t xml:space="preserve">otential duplicate events </w:t>
      </w:r>
      <w:r w:rsidRPr="008D54A5">
        <w:t xml:space="preserve">are identified and examined. These potential duplicate events </w:t>
      </w:r>
      <w:r w:rsidR="00714209" w:rsidRPr="008D54A5">
        <w:t>meet one of the following criteria:</w:t>
      </w:r>
    </w:p>
    <w:p w14:paraId="700458A4" w14:textId="1CEA4030" w:rsidR="00446F05" w:rsidRPr="008D54A5" w:rsidRDefault="00714209" w:rsidP="007A4CF4">
      <w:pPr>
        <w:pStyle w:val="bullets"/>
      </w:pPr>
      <w:r w:rsidRPr="008D54A5">
        <w:t xml:space="preserve">OBD, </w:t>
      </w:r>
      <w:r w:rsidR="00540CE8" w:rsidRPr="008D54A5">
        <w:t>o</w:t>
      </w:r>
      <w:r w:rsidRPr="008D54A5">
        <w:t>utpatient</w:t>
      </w:r>
      <w:r w:rsidR="00A460D5" w:rsidRPr="008D54A5">
        <w:t xml:space="preserve"> (OP)</w:t>
      </w:r>
      <w:r w:rsidRPr="008D54A5">
        <w:t xml:space="preserve">, </w:t>
      </w:r>
      <w:r w:rsidR="00632BAC" w:rsidRPr="008D54A5">
        <w:t xml:space="preserve">inpatient, </w:t>
      </w:r>
      <w:r w:rsidR="008C7ECF" w:rsidRPr="008D54A5">
        <w:t>emergency room (</w:t>
      </w:r>
      <w:r w:rsidR="00632BAC" w:rsidRPr="008D54A5">
        <w:t>ER</w:t>
      </w:r>
      <w:r w:rsidR="008C7ECF" w:rsidRPr="008D54A5">
        <w:t>)</w:t>
      </w:r>
      <w:r w:rsidR="0078701C" w:rsidRPr="008D54A5">
        <w:t xml:space="preserve">, or </w:t>
      </w:r>
      <w:r w:rsidR="003F6C86" w:rsidRPr="008D54A5">
        <w:t>I</w:t>
      </w:r>
      <w:r w:rsidR="0078701C" w:rsidRPr="008D54A5">
        <w:t>nstitution</w:t>
      </w:r>
      <w:r w:rsidRPr="008D54A5">
        <w:t xml:space="preserve"> events on identical or overlapping dates for the same person with the same total charge and/or total payment</w:t>
      </w:r>
    </w:p>
    <w:p w14:paraId="71C96CF2" w14:textId="2D05B2D1" w:rsidR="00446F05" w:rsidRPr="008D54A5" w:rsidRDefault="004857F3" w:rsidP="007A4CF4">
      <w:pPr>
        <w:pStyle w:val="bullets"/>
      </w:pPr>
      <w:r w:rsidRPr="008D54A5">
        <w:t>Inpatient hospital stays (HSs)</w:t>
      </w:r>
      <w:r w:rsidR="00714209" w:rsidRPr="008D54A5">
        <w:t xml:space="preserve"> with overlapping dates</w:t>
      </w:r>
    </w:p>
    <w:p w14:paraId="57656E95" w14:textId="0D5CF71C" w:rsidR="00714209" w:rsidRPr="008D54A5" w:rsidRDefault="0078701C" w:rsidP="00DC45E7">
      <w:pPr>
        <w:pStyle w:val="BodyText2"/>
      </w:pPr>
      <w:r w:rsidRPr="008D54A5">
        <w:t xml:space="preserve">As in </w:t>
      </w:r>
      <w:r w:rsidR="0065623F" w:rsidRPr="008D54A5">
        <w:t xml:space="preserve">prior </w:t>
      </w:r>
      <w:r w:rsidR="00255262" w:rsidRPr="008D54A5">
        <w:t xml:space="preserve">cycles </w:t>
      </w:r>
      <w:r w:rsidR="0065623F" w:rsidRPr="008D54A5">
        <w:t>of the</w:t>
      </w:r>
      <w:r w:rsidRPr="008D54A5">
        <w:t xml:space="preserve"> MPC, </w:t>
      </w:r>
      <w:r w:rsidR="00540CE8" w:rsidRPr="008D54A5">
        <w:t>data collection managers will</w:t>
      </w:r>
      <w:r w:rsidR="002068EA" w:rsidRPr="008D54A5">
        <w:t xml:space="preserve"> </w:t>
      </w:r>
      <w:r w:rsidR="00540CE8" w:rsidRPr="008D54A5">
        <w:t xml:space="preserve">review and resolve </w:t>
      </w:r>
      <w:r w:rsidR="007A1BA7" w:rsidRPr="008D54A5">
        <w:t xml:space="preserve">most </w:t>
      </w:r>
      <w:r w:rsidR="00714209" w:rsidRPr="008D54A5">
        <w:t>potential duplicate events</w:t>
      </w:r>
      <w:r w:rsidR="009D2BD5" w:rsidRPr="008D54A5">
        <w:t xml:space="preserve"> for the </w:t>
      </w:r>
      <w:r w:rsidR="00A20756" w:rsidRPr="008D54A5">
        <w:t>202</w:t>
      </w:r>
      <w:r w:rsidR="001B3B82">
        <w:t>3</w:t>
      </w:r>
      <w:r w:rsidR="00A20756" w:rsidRPr="008D54A5">
        <w:t xml:space="preserve"> </w:t>
      </w:r>
      <w:r w:rsidR="009D2BD5" w:rsidRPr="008D54A5">
        <w:t>MPC</w:t>
      </w:r>
      <w:r w:rsidR="00714209" w:rsidRPr="008D54A5">
        <w:t>.</w:t>
      </w:r>
      <w:r w:rsidR="000F2536" w:rsidRPr="008D54A5">
        <w:t xml:space="preserve"> M</w:t>
      </w:r>
      <w:r w:rsidR="00540CE8" w:rsidRPr="008D54A5">
        <w:t xml:space="preserve">anagerial review </w:t>
      </w:r>
      <w:r w:rsidR="00714209" w:rsidRPr="008D54A5">
        <w:t>of duplicate events often results in merges of either data collection contact groups or person</w:t>
      </w:r>
      <w:r w:rsidR="00C45626" w:rsidRPr="008D54A5">
        <w:t>–</w:t>
      </w:r>
      <w:r w:rsidR="00714209" w:rsidRPr="008D54A5">
        <w:t>provider pairs. This information is used in matching</w:t>
      </w:r>
      <w:r w:rsidR="00540CE8" w:rsidRPr="008D54A5">
        <w:t>:</w:t>
      </w:r>
      <w:r w:rsidR="00714209" w:rsidRPr="008D54A5">
        <w:t xml:space="preserve"> providers associated with the merged data collection contact group or merged person</w:t>
      </w:r>
      <w:r w:rsidR="00C45626" w:rsidRPr="008D54A5">
        <w:t>–</w:t>
      </w:r>
      <w:r w:rsidR="00714209" w:rsidRPr="008D54A5">
        <w:t>provider pairs are placed into the same provider block group.</w:t>
      </w:r>
    </w:p>
    <w:p w14:paraId="651C187A" w14:textId="77777777" w:rsidR="00A20756" w:rsidRPr="008D54A5" w:rsidRDefault="00926CAC" w:rsidP="00A20756">
      <w:pPr>
        <w:pStyle w:val="BodyText"/>
      </w:pPr>
      <w:r w:rsidRPr="008D54A5">
        <w:t xml:space="preserve">The process for identifying and resolving these duplicate situations has evolved each year based on lessons learned. </w:t>
      </w:r>
      <w:r w:rsidR="00A20756" w:rsidRPr="008D54A5">
        <w:t>The current process for identifying duplicates classifies them into four groups (Type 1 – Type 4) as defined below.</w:t>
      </w:r>
    </w:p>
    <w:p w14:paraId="01E3EF98" w14:textId="77777777" w:rsidR="00A20756" w:rsidRPr="008D54A5" w:rsidRDefault="00A20756" w:rsidP="00DC45E7">
      <w:pPr>
        <w:pStyle w:val="bullets"/>
        <w:rPr>
          <w:iCs/>
        </w:rPr>
      </w:pPr>
      <w:r w:rsidRPr="008D54A5">
        <w:lastRenderedPageBreak/>
        <w:t xml:space="preserve">To be classified as “Type 1” or “Type 2” duplicates, the dates of service, and the value of FEEORCAP must be the same. In addition, total charges must be the same and at least one of the events must have a </w:t>
      </w:r>
      <w:proofErr w:type="spellStart"/>
      <w:r w:rsidRPr="008D54A5">
        <w:t>nonmissing</w:t>
      </w:r>
      <w:proofErr w:type="spellEnd"/>
      <w:r w:rsidRPr="008D54A5">
        <w:t xml:space="preserve"> payment. If both payments are </w:t>
      </w:r>
      <w:proofErr w:type="spellStart"/>
      <w:r w:rsidRPr="008D54A5">
        <w:t>nonmissing</w:t>
      </w:r>
      <w:proofErr w:type="spellEnd"/>
      <w:r w:rsidRPr="008D54A5">
        <w:t>, then the payments also need to be the same. The only difference between “Type 1” and “Type 2” duplicates is that “Type 1” duplicate events have the same provider ID and “Type 2” duplicate events have different provider IDs.</w:t>
      </w:r>
    </w:p>
    <w:p w14:paraId="206B4395" w14:textId="28628507" w:rsidR="00A20756" w:rsidRPr="008D54A5" w:rsidRDefault="00A20756" w:rsidP="00DC45E7">
      <w:pPr>
        <w:pStyle w:val="bullets"/>
        <w:rPr>
          <w:iCs/>
        </w:rPr>
      </w:pPr>
      <w:r w:rsidRPr="008D54A5">
        <w:rPr>
          <w:iCs/>
        </w:rPr>
        <w:t>To be classified as “Type 3” duplicates, the dates of service must be overlapping, and values for provider ID, FEEORCAP, CPT codes and SBDs must be the same. Hospital events are flagged as “Type 3” only if the location of service is the same or location of service is OP or somewhere else. There are no location-of-service stipulations for OBD events. Events are excluded from being classified as “Type 3” duplicates if they have any of the following characteristics:</w:t>
      </w:r>
    </w:p>
    <w:p w14:paraId="4E0C68CC" w14:textId="77777777" w:rsidR="00A20756" w:rsidRPr="006E4110" w:rsidRDefault="00A20756" w:rsidP="00DC45E7">
      <w:pPr>
        <w:pStyle w:val="bullets2nd-level"/>
        <w:rPr>
          <w:rFonts w:ascii="Times New Roman" w:hAnsi="Times New Roman"/>
          <w:sz w:val="24"/>
          <w:szCs w:val="24"/>
        </w:rPr>
      </w:pPr>
      <w:r w:rsidRPr="006E4110">
        <w:rPr>
          <w:rFonts w:ascii="Times New Roman" w:hAnsi="Times New Roman"/>
          <w:sz w:val="24"/>
          <w:szCs w:val="24"/>
        </w:rPr>
        <w:t>ER and OP on the same day</w:t>
      </w:r>
    </w:p>
    <w:p w14:paraId="4D1D3765" w14:textId="77777777" w:rsidR="00A20756" w:rsidRPr="006E4110" w:rsidRDefault="00A20756" w:rsidP="00DC45E7">
      <w:pPr>
        <w:pStyle w:val="bullets2nd-level"/>
        <w:rPr>
          <w:rFonts w:ascii="Times New Roman" w:hAnsi="Times New Roman"/>
          <w:sz w:val="24"/>
          <w:szCs w:val="24"/>
        </w:rPr>
      </w:pPr>
      <w:r w:rsidRPr="006E4110">
        <w:rPr>
          <w:rFonts w:ascii="Times New Roman" w:hAnsi="Times New Roman"/>
          <w:sz w:val="24"/>
          <w:szCs w:val="24"/>
        </w:rPr>
        <w:t>OP events within inpatient stays</w:t>
      </w:r>
    </w:p>
    <w:p w14:paraId="74E2FCFF" w14:textId="77777777" w:rsidR="00A20756" w:rsidRPr="006E4110" w:rsidRDefault="00A20756" w:rsidP="00DC45E7">
      <w:pPr>
        <w:pStyle w:val="bullets2nd-level"/>
        <w:rPr>
          <w:rFonts w:ascii="Times New Roman" w:hAnsi="Times New Roman"/>
          <w:sz w:val="24"/>
          <w:szCs w:val="24"/>
        </w:rPr>
      </w:pPr>
      <w:r w:rsidRPr="006E4110">
        <w:rPr>
          <w:rFonts w:ascii="Times New Roman" w:hAnsi="Times New Roman"/>
          <w:sz w:val="24"/>
          <w:szCs w:val="24"/>
        </w:rPr>
        <w:t>consecutive hospital stays</w:t>
      </w:r>
    </w:p>
    <w:p w14:paraId="4310C4A3" w14:textId="77777777" w:rsidR="00A20756" w:rsidRPr="006E4110" w:rsidRDefault="00A20756" w:rsidP="00DC45E7">
      <w:pPr>
        <w:pStyle w:val="bullets2nd-level"/>
        <w:rPr>
          <w:rFonts w:ascii="Times New Roman" w:hAnsi="Times New Roman"/>
          <w:sz w:val="24"/>
          <w:szCs w:val="24"/>
        </w:rPr>
      </w:pPr>
      <w:r w:rsidRPr="006E4110">
        <w:rPr>
          <w:rFonts w:ascii="Times New Roman" w:hAnsi="Times New Roman"/>
          <w:sz w:val="24"/>
          <w:szCs w:val="24"/>
        </w:rPr>
        <w:t>multiple events on the same day but different values for FFS/Capitated</w:t>
      </w:r>
    </w:p>
    <w:p w14:paraId="755480BF" w14:textId="38C9C8B8" w:rsidR="00A20756" w:rsidRPr="006E4110" w:rsidRDefault="00A20756" w:rsidP="00DC45E7">
      <w:pPr>
        <w:pStyle w:val="bullets2nd-level"/>
        <w:rPr>
          <w:rFonts w:ascii="Times New Roman" w:hAnsi="Times New Roman"/>
          <w:sz w:val="24"/>
          <w:szCs w:val="24"/>
        </w:rPr>
      </w:pPr>
      <w:r w:rsidRPr="006E4110">
        <w:rPr>
          <w:rFonts w:ascii="Times New Roman" w:hAnsi="Times New Roman"/>
          <w:sz w:val="24"/>
          <w:szCs w:val="24"/>
        </w:rPr>
        <w:t>hospital inpatient s</w:t>
      </w:r>
      <w:r w:rsidR="00E5641C" w:rsidRPr="006E4110">
        <w:rPr>
          <w:rFonts w:ascii="Times New Roman" w:hAnsi="Times New Roman"/>
          <w:sz w:val="24"/>
          <w:szCs w:val="24"/>
        </w:rPr>
        <w:t>t</w:t>
      </w:r>
      <w:r w:rsidRPr="006E4110">
        <w:rPr>
          <w:rFonts w:ascii="Times New Roman" w:hAnsi="Times New Roman"/>
          <w:sz w:val="24"/>
          <w:szCs w:val="24"/>
        </w:rPr>
        <w:t>ays that overlap by one or more days</w:t>
      </w:r>
    </w:p>
    <w:p w14:paraId="45DC0FEE" w14:textId="77777777" w:rsidR="00A20756" w:rsidRPr="006E4110" w:rsidRDefault="00A20756" w:rsidP="00DC45E7">
      <w:pPr>
        <w:pStyle w:val="bullets2nd-level"/>
        <w:rPr>
          <w:rFonts w:ascii="Times New Roman" w:hAnsi="Times New Roman"/>
          <w:sz w:val="24"/>
          <w:szCs w:val="24"/>
        </w:rPr>
      </w:pPr>
      <w:r w:rsidRPr="006E4110">
        <w:rPr>
          <w:rFonts w:ascii="Times New Roman" w:hAnsi="Times New Roman"/>
          <w:sz w:val="24"/>
          <w:szCs w:val="24"/>
        </w:rPr>
        <w:t>events with different values for both payments and charges</w:t>
      </w:r>
    </w:p>
    <w:p w14:paraId="265BF0B5" w14:textId="77777777" w:rsidR="00A20756" w:rsidRPr="008D54A5" w:rsidRDefault="00A20756" w:rsidP="00DC45E7">
      <w:pPr>
        <w:pStyle w:val="bullets"/>
      </w:pPr>
      <w:r w:rsidRPr="008D54A5">
        <w:t>To be classified as “Type 4” duplicates, the dates of service must be overlapping, and the events must not be classified as any of the other three types of duplicates. Values for payments and/or charges must be equal.</w:t>
      </w:r>
    </w:p>
    <w:p w14:paraId="17F35D2E" w14:textId="283A6A02" w:rsidR="00405022" w:rsidRPr="008D54A5" w:rsidRDefault="007A02E1" w:rsidP="0042022E">
      <w:pPr>
        <w:pStyle w:val="BodyText"/>
        <w:rPr>
          <w:color w:val="000000" w:themeColor="text1"/>
        </w:rPr>
      </w:pPr>
      <w:bookmarkStart w:id="44" w:name="_Toc319492917"/>
      <w:r w:rsidRPr="008D54A5">
        <w:rPr>
          <w:color w:val="000000" w:themeColor="text1"/>
        </w:rPr>
        <w:t>Starting i</w:t>
      </w:r>
      <w:r w:rsidR="002439AB" w:rsidRPr="008D54A5">
        <w:rPr>
          <w:color w:val="000000" w:themeColor="text1"/>
        </w:rPr>
        <w:t xml:space="preserve">n the </w:t>
      </w:r>
      <w:r w:rsidR="00163BD2" w:rsidRPr="008D54A5">
        <w:rPr>
          <w:color w:val="000000" w:themeColor="text1"/>
        </w:rPr>
        <w:t>2015 MPC</w:t>
      </w:r>
      <w:r w:rsidR="002439AB" w:rsidRPr="008D54A5">
        <w:rPr>
          <w:color w:val="000000" w:themeColor="text1"/>
        </w:rPr>
        <w:t>, at AHRQ</w:t>
      </w:r>
      <w:r w:rsidR="00356CD1" w:rsidRPr="008D54A5">
        <w:rPr>
          <w:color w:val="000000" w:themeColor="text1"/>
        </w:rPr>
        <w:t>’</w:t>
      </w:r>
      <w:r w:rsidR="002439AB" w:rsidRPr="008D54A5">
        <w:rPr>
          <w:color w:val="000000" w:themeColor="text1"/>
        </w:rPr>
        <w:t xml:space="preserve">s request, some of the </w:t>
      </w:r>
      <w:r w:rsidR="00674E62" w:rsidRPr="008D54A5">
        <w:rPr>
          <w:color w:val="000000" w:themeColor="text1"/>
        </w:rPr>
        <w:t xml:space="preserve">duplicates that are classified as </w:t>
      </w:r>
      <w:r w:rsidR="00356CD1" w:rsidRPr="008D54A5">
        <w:rPr>
          <w:color w:val="000000" w:themeColor="text1"/>
        </w:rPr>
        <w:t>“</w:t>
      </w:r>
      <w:r w:rsidR="00405022" w:rsidRPr="008D54A5">
        <w:rPr>
          <w:color w:val="000000" w:themeColor="text1"/>
        </w:rPr>
        <w:t>Type 1</w:t>
      </w:r>
      <w:r w:rsidR="00356CD1" w:rsidRPr="008D54A5">
        <w:rPr>
          <w:color w:val="000000" w:themeColor="text1"/>
        </w:rPr>
        <w:t>”</w:t>
      </w:r>
      <w:r w:rsidR="00405022" w:rsidRPr="008D54A5">
        <w:rPr>
          <w:color w:val="000000" w:themeColor="text1"/>
        </w:rPr>
        <w:t xml:space="preserve"> and </w:t>
      </w:r>
      <w:r w:rsidR="00356CD1" w:rsidRPr="008D54A5">
        <w:rPr>
          <w:color w:val="000000" w:themeColor="text1"/>
        </w:rPr>
        <w:t>“</w:t>
      </w:r>
      <w:r w:rsidR="00405022" w:rsidRPr="008D54A5">
        <w:rPr>
          <w:color w:val="000000" w:themeColor="text1"/>
        </w:rPr>
        <w:t>Type 2</w:t>
      </w:r>
      <w:r w:rsidR="00356CD1" w:rsidRPr="008D54A5">
        <w:rPr>
          <w:color w:val="000000" w:themeColor="text1"/>
        </w:rPr>
        <w:t>”</w:t>
      </w:r>
      <w:r w:rsidR="00405022" w:rsidRPr="008D54A5">
        <w:rPr>
          <w:color w:val="000000" w:themeColor="text1"/>
        </w:rPr>
        <w:t xml:space="preserve"> duplicates </w:t>
      </w:r>
      <w:r w:rsidR="002439AB" w:rsidRPr="008D54A5">
        <w:rPr>
          <w:color w:val="000000" w:themeColor="text1"/>
        </w:rPr>
        <w:t xml:space="preserve">were resolved </w:t>
      </w:r>
      <w:r w:rsidR="00405022" w:rsidRPr="008D54A5">
        <w:rPr>
          <w:color w:val="000000" w:themeColor="text1"/>
        </w:rPr>
        <w:t>programmatically instead of through manual review</w:t>
      </w:r>
      <w:r w:rsidR="002439AB" w:rsidRPr="008D54A5">
        <w:rPr>
          <w:color w:val="000000" w:themeColor="text1"/>
        </w:rPr>
        <w:t xml:space="preserve"> to reduce the amount of manual review</w:t>
      </w:r>
      <w:r w:rsidR="00405022" w:rsidRPr="008D54A5">
        <w:rPr>
          <w:color w:val="000000" w:themeColor="text1"/>
        </w:rPr>
        <w:t>.</w:t>
      </w:r>
      <w:r w:rsidRPr="008D54A5">
        <w:rPr>
          <w:color w:val="000000" w:themeColor="text1"/>
        </w:rPr>
        <w:t xml:space="preserve"> </w:t>
      </w:r>
      <w:r w:rsidR="00255262" w:rsidRPr="008D54A5">
        <w:rPr>
          <w:color w:val="000000" w:themeColor="text1"/>
        </w:rPr>
        <w:t>T</w:t>
      </w:r>
      <w:r w:rsidR="00674E62" w:rsidRPr="008D54A5">
        <w:rPr>
          <w:color w:val="000000" w:themeColor="text1"/>
        </w:rPr>
        <w:t xml:space="preserve">he following procedure was used. </w:t>
      </w:r>
      <w:r w:rsidR="00405022" w:rsidRPr="008D54A5">
        <w:rPr>
          <w:color w:val="000000" w:themeColor="text1"/>
        </w:rPr>
        <w:t xml:space="preserve">OBD events (including the OBD S-type events that are to </w:t>
      </w:r>
      <w:r w:rsidR="00674E62" w:rsidRPr="008D54A5">
        <w:rPr>
          <w:color w:val="000000" w:themeColor="text1"/>
        </w:rPr>
        <w:t xml:space="preserve">be </w:t>
      </w:r>
      <w:r w:rsidR="00405022" w:rsidRPr="008D54A5">
        <w:rPr>
          <w:color w:val="000000" w:themeColor="text1"/>
        </w:rPr>
        <w:t xml:space="preserve">moved to the SBD file) </w:t>
      </w:r>
      <w:r w:rsidR="008C7ECF" w:rsidRPr="008D54A5">
        <w:rPr>
          <w:color w:val="000000" w:themeColor="text1"/>
        </w:rPr>
        <w:t xml:space="preserve">were </w:t>
      </w:r>
      <w:r w:rsidR="00405022" w:rsidRPr="008D54A5">
        <w:rPr>
          <w:color w:val="000000" w:themeColor="text1"/>
        </w:rPr>
        <w:t xml:space="preserve">classified as having </w:t>
      </w:r>
      <w:r w:rsidR="00FD77FA" w:rsidRPr="008D54A5">
        <w:rPr>
          <w:color w:val="000000" w:themeColor="text1"/>
        </w:rPr>
        <w:t xml:space="preserve">medical visit (MV) as </w:t>
      </w:r>
      <w:r w:rsidR="00405022" w:rsidRPr="008D54A5">
        <w:rPr>
          <w:color w:val="000000" w:themeColor="text1"/>
        </w:rPr>
        <w:t>location of service</w:t>
      </w:r>
      <w:r w:rsidR="00F40678" w:rsidRPr="008D54A5">
        <w:rPr>
          <w:color w:val="000000" w:themeColor="text1"/>
        </w:rPr>
        <w:t>.</w:t>
      </w:r>
      <w:r w:rsidR="00674E62" w:rsidRPr="008D54A5">
        <w:rPr>
          <w:color w:val="000000" w:themeColor="text1"/>
        </w:rPr>
        <w:t xml:space="preserve"> </w:t>
      </w:r>
      <w:r w:rsidR="00405022" w:rsidRPr="008D54A5">
        <w:rPr>
          <w:color w:val="000000" w:themeColor="text1"/>
        </w:rPr>
        <w:t xml:space="preserve">The priority for the event to keep was based on location of service </w:t>
      </w:r>
      <w:r w:rsidR="00255262" w:rsidRPr="008D54A5">
        <w:rPr>
          <w:color w:val="000000" w:themeColor="text1"/>
        </w:rPr>
        <w:t>(</w:t>
      </w:r>
      <w:r w:rsidR="00405022" w:rsidRPr="008D54A5">
        <w:rPr>
          <w:color w:val="000000" w:themeColor="text1"/>
        </w:rPr>
        <w:t>HS</w:t>
      </w:r>
      <w:r w:rsidR="009B060C" w:rsidRPr="008D54A5">
        <w:rPr>
          <w:color w:val="000000" w:themeColor="text1"/>
        </w:rPr>
        <w:t>,</w:t>
      </w:r>
      <w:r w:rsidR="00A40436" w:rsidRPr="008D54A5">
        <w:rPr>
          <w:color w:val="000000" w:themeColor="text1"/>
        </w:rPr>
        <w:t xml:space="preserve"> </w:t>
      </w:r>
      <w:r w:rsidR="00405022" w:rsidRPr="008D54A5">
        <w:rPr>
          <w:color w:val="000000" w:themeColor="text1"/>
        </w:rPr>
        <w:t>then ER</w:t>
      </w:r>
      <w:r w:rsidR="009B060C" w:rsidRPr="008D54A5">
        <w:rPr>
          <w:color w:val="000000" w:themeColor="text1"/>
        </w:rPr>
        <w:t>,</w:t>
      </w:r>
      <w:r w:rsidR="00A40436" w:rsidRPr="008D54A5">
        <w:rPr>
          <w:color w:val="000000" w:themeColor="text1"/>
        </w:rPr>
        <w:t xml:space="preserve"> </w:t>
      </w:r>
      <w:r w:rsidR="00405022" w:rsidRPr="008D54A5">
        <w:rPr>
          <w:color w:val="000000" w:themeColor="text1"/>
        </w:rPr>
        <w:t>then OP</w:t>
      </w:r>
      <w:r w:rsidR="009B060C" w:rsidRPr="008D54A5">
        <w:rPr>
          <w:color w:val="000000" w:themeColor="text1"/>
        </w:rPr>
        <w:t>,</w:t>
      </w:r>
      <w:r w:rsidR="00405022" w:rsidRPr="008D54A5">
        <w:rPr>
          <w:color w:val="000000" w:themeColor="text1"/>
        </w:rPr>
        <w:t xml:space="preserve"> and finally MV</w:t>
      </w:r>
      <w:r w:rsidR="00255262" w:rsidRPr="008D54A5">
        <w:rPr>
          <w:color w:val="000000" w:themeColor="text1"/>
        </w:rPr>
        <w:t>)</w:t>
      </w:r>
      <w:r w:rsidR="00F40678" w:rsidRPr="008D54A5">
        <w:rPr>
          <w:color w:val="000000" w:themeColor="text1"/>
        </w:rPr>
        <w:t>.</w:t>
      </w:r>
      <w:r w:rsidR="00674E62" w:rsidRPr="008D54A5">
        <w:rPr>
          <w:color w:val="000000" w:themeColor="text1"/>
        </w:rPr>
        <w:t xml:space="preserve"> For example, if one of the events had location of service HS and the other had location of service MV</w:t>
      </w:r>
      <w:r w:rsidR="008C7ECF" w:rsidRPr="008D54A5">
        <w:rPr>
          <w:color w:val="000000" w:themeColor="text1"/>
        </w:rPr>
        <w:t>,</w:t>
      </w:r>
      <w:r w:rsidR="00674E62" w:rsidRPr="008D54A5">
        <w:rPr>
          <w:color w:val="000000" w:themeColor="text1"/>
        </w:rPr>
        <w:t xml:space="preserve"> then the event with location of service HS was flagged as the master event. </w:t>
      </w:r>
      <w:r w:rsidR="00405022" w:rsidRPr="008D54A5">
        <w:rPr>
          <w:color w:val="000000" w:themeColor="text1"/>
        </w:rPr>
        <w:t>If the location of service was the same for both events (</w:t>
      </w:r>
      <w:r w:rsidR="00632BAC" w:rsidRPr="008D54A5">
        <w:rPr>
          <w:color w:val="000000" w:themeColor="text1"/>
        </w:rPr>
        <w:t>e.g.</w:t>
      </w:r>
      <w:r w:rsidR="00A2742F" w:rsidRPr="008D54A5">
        <w:rPr>
          <w:color w:val="000000" w:themeColor="text1"/>
        </w:rPr>
        <w:t>,</w:t>
      </w:r>
      <w:r w:rsidR="00405022" w:rsidRPr="008D54A5">
        <w:rPr>
          <w:color w:val="000000" w:themeColor="text1"/>
        </w:rPr>
        <w:t xml:space="preserve"> both HS </w:t>
      </w:r>
      <w:proofErr w:type="gramStart"/>
      <w:r w:rsidR="00405022" w:rsidRPr="008D54A5">
        <w:rPr>
          <w:color w:val="000000" w:themeColor="text1"/>
        </w:rPr>
        <w:t>or</w:t>
      </w:r>
      <w:proofErr w:type="gramEnd"/>
      <w:r w:rsidR="00405022" w:rsidRPr="008D54A5">
        <w:rPr>
          <w:color w:val="000000" w:themeColor="text1"/>
        </w:rPr>
        <w:t xml:space="preserve"> both MV</w:t>
      </w:r>
      <w:r w:rsidR="00632BAC" w:rsidRPr="008D54A5">
        <w:rPr>
          <w:color w:val="000000" w:themeColor="text1"/>
        </w:rPr>
        <w:t>), then</w:t>
      </w:r>
      <w:r w:rsidR="00405022" w:rsidRPr="008D54A5">
        <w:rPr>
          <w:color w:val="000000" w:themeColor="text1"/>
        </w:rPr>
        <w:t xml:space="preserve"> the one with the highest PMEID was kept as the master event (the event with </w:t>
      </w:r>
      <w:r w:rsidR="00632BAC" w:rsidRPr="008D54A5">
        <w:rPr>
          <w:color w:val="000000" w:themeColor="text1"/>
        </w:rPr>
        <w:t>the larger</w:t>
      </w:r>
      <w:r w:rsidR="00405022" w:rsidRPr="008D54A5">
        <w:rPr>
          <w:color w:val="000000" w:themeColor="text1"/>
        </w:rPr>
        <w:t xml:space="preserve"> PMEID would have generally been collected later in the data collection period).</w:t>
      </w:r>
      <w:r w:rsidR="00674E62" w:rsidRPr="008D54A5">
        <w:rPr>
          <w:color w:val="000000" w:themeColor="text1"/>
        </w:rPr>
        <w:t xml:space="preserve"> SBD events were excluded, and OBD or </w:t>
      </w:r>
      <w:r w:rsidR="007A2832" w:rsidRPr="008D54A5">
        <w:rPr>
          <w:color w:val="000000" w:themeColor="text1"/>
        </w:rPr>
        <w:t>H</w:t>
      </w:r>
      <w:r w:rsidR="00350AE3" w:rsidRPr="008D54A5">
        <w:rPr>
          <w:color w:val="000000" w:themeColor="text1"/>
        </w:rPr>
        <w:t>ospital</w:t>
      </w:r>
      <w:r w:rsidR="00674E62" w:rsidRPr="008D54A5">
        <w:rPr>
          <w:color w:val="000000" w:themeColor="text1"/>
        </w:rPr>
        <w:t xml:space="preserve"> events where either both events contained an SBD or only one of the events contained an SBD were left on the spreadsheet for review by data collection managers.</w:t>
      </w:r>
      <w:r w:rsidR="00356CD1" w:rsidRPr="008D54A5">
        <w:rPr>
          <w:color w:val="000000" w:themeColor="text1"/>
        </w:rPr>
        <w:t xml:space="preserve"> </w:t>
      </w:r>
      <w:r w:rsidR="00186A9A" w:rsidRPr="008D54A5">
        <w:rPr>
          <w:color w:val="000000" w:themeColor="text1"/>
        </w:rPr>
        <w:t xml:space="preserve">In </w:t>
      </w:r>
      <w:r w:rsidR="000B165B" w:rsidRPr="008D54A5">
        <w:rPr>
          <w:color w:val="000000" w:themeColor="text1"/>
        </w:rPr>
        <w:t>2022</w:t>
      </w:r>
      <w:r w:rsidR="00186A9A" w:rsidRPr="008D54A5">
        <w:rPr>
          <w:color w:val="000000" w:themeColor="text1"/>
        </w:rPr>
        <w:t xml:space="preserve">, </w:t>
      </w:r>
      <w:r w:rsidR="000B165B" w:rsidRPr="008D54A5">
        <w:rPr>
          <w:color w:val="000000" w:themeColor="text1"/>
        </w:rPr>
        <w:t xml:space="preserve">64 </w:t>
      </w:r>
      <w:r w:rsidR="004B14F7" w:rsidRPr="008D54A5">
        <w:rPr>
          <w:color w:val="000000" w:themeColor="text1"/>
        </w:rPr>
        <w:t>duplicate sets</w:t>
      </w:r>
      <w:r w:rsidR="00186A9A" w:rsidRPr="008D54A5">
        <w:rPr>
          <w:color w:val="000000" w:themeColor="text1"/>
        </w:rPr>
        <w:t xml:space="preserve"> that were classified as </w:t>
      </w:r>
      <w:r w:rsidR="00356CD1" w:rsidRPr="008D54A5">
        <w:rPr>
          <w:color w:val="000000" w:themeColor="text1"/>
        </w:rPr>
        <w:t>“</w:t>
      </w:r>
      <w:r w:rsidR="00186A9A" w:rsidRPr="008D54A5">
        <w:rPr>
          <w:color w:val="000000" w:themeColor="text1"/>
        </w:rPr>
        <w:t>Type 1</w:t>
      </w:r>
      <w:r w:rsidR="00356CD1" w:rsidRPr="008D54A5">
        <w:rPr>
          <w:color w:val="000000" w:themeColor="text1"/>
        </w:rPr>
        <w:t>”</w:t>
      </w:r>
      <w:r w:rsidR="00186A9A" w:rsidRPr="008D54A5">
        <w:rPr>
          <w:color w:val="000000" w:themeColor="text1"/>
        </w:rPr>
        <w:t xml:space="preserve"> duplicates and</w:t>
      </w:r>
      <w:r w:rsidR="00DA5AFB" w:rsidRPr="008D54A5">
        <w:rPr>
          <w:color w:val="000000" w:themeColor="text1"/>
        </w:rPr>
        <w:t xml:space="preserve"> </w:t>
      </w:r>
      <w:r w:rsidR="000B165B" w:rsidRPr="008D54A5">
        <w:rPr>
          <w:color w:val="000000" w:themeColor="text1"/>
        </w:rPr>
        <w:t xml:space="preserve">321 </w:t>
      </w:r>
      <w:r w:rsidR="004B14F7" w:rsidRPr="008D54A5">
        <w:rPr>
          <w:color w:val="000000" w:themeColor="text1"/>
        </w:rPr>
        <w:t>duplicate sets</w:t>
      </w:r>
      <w:r w:rsidR="00186A9A" w:rsidRPr="008D54A5">
        <w:rPr>
          <w:color w:val="000000" w:themeColor="text1"/>
        </w:rPr>
        <w:t xml:space="preserve"> that were classified as </w:t>
      </w:r>
      <w:r w:rsidR="00356CD1" w:rsidRPr="008D54A5">
        <w:rPr>
          <w:color w:val="000000" w:themeColor="text1"/>
        </w:rPr>
        <w:t>“</w:t>
      </w:r>
      <w:r w:rsidR="00186A9A" w:rsidRPr="008D54A5">
        <w:rPr>
          <w:color w:val="000000" w:themeColor="text1"/>
        </w:rPr>
        <w:t>Type 2</w:t>
      </w:r>
      <w:r w:rsidR="00356CD1" w:rsidRPr="008D54A5">
        <w:rPr>
          <w:color w:val="000000" w:themeColor="text1"/>
        </w:rPr>
        <w:t>”</w:t>
      </w:r>
      <w:r w:rsidR="00186A9A" w:rsidRPr="008D54A5">
        <w:rPr>
          <w:color w:val="000000" w:themeColor="text1"/>
        </w:rPr>
        <w:t xml:space="preserve"> duplicates were resolved programmatically.</w:t>
      </w:r>
    </w:p>
    <w:p w14:paraId="75CFA887" w14:textId="2E4DD866" w:rsidR="00C16509" w:rsidRPr="008D54A5" w:rsidRDefault="007A02E1" w:rsidP="007A02E1">
      <w:pPr>
        <w:pStyle w:val="BodyText"/>
      </w:pPr>
      <w:r w:rsidRPr="008D54A5">
        <w:rPr>
          <w:color w:val="000000" w:themeColor="text1"/>
        </w:rPr>
        <w:t>Starting in the 2016 MPC, at AHRQ</w:t>
      </w:r>
      <w:r w:rsidR="00356CD1" w:rsidRPr="008D54A5">
        <w:rPr>
          <w:color w:val="000000" w:themeColor="text1"/>
        </w:rPr>
        <w:t>’</w:t>
      </w:r>
      <w:r w:rsidRPr="008D54A5">
        <w:rPr>
          <w:color w:val="000000" w:themeColor="text1"/>
        </w:rPr>
        <w:t xml:space="preserve">s request, some of the duplicates that </w:t>
      </w:r>
      <w:r w:rsidR="008C7ECF" w:rsidRPr="008D54A5">
        <w:rPr>
          <w:color w:val="000000" w:themeColor="text1"/>
        </w:rPr>
        <w:t xml:space="preserve">were </w:t>
      </w:r>
      <w:r w:rsidRPr="008D54A5">
        <w:rPr>
          <w:color w:val="000000" w:themeColor="text1"/>
        </w:rPr>
        <w:t xml:space="preserve">classified as </w:t>
      </w:r>
      <w:r w:rsidR="00356CD1" w:rsidRPr="008D54A5">
        <w:rPr>
          <w:color w:val="000000" w:themeColor="text1"/>
        </w:rPr>
        <w:t>“</w:t>
      </w:r>
      <w:r w:rsidRPr="008D54A5">
        <w:rPr>
          <w:color w:val="000000" w:themeColor="text1"/>
        </w:rPr>
        <w:t>Type 3</w:t>
      </w:r>
      <w:r w:rsidR="00356CD1" w:rsidRPr="008D54A5">
        <w:rPr>
          <w:color w:val="000000" w:themeColor="text1"/>
        </w:rPr>
        <w:t>”</w:t>
      </w:r>
      <w:r w:rsidRPr="008D54A5">
        <w:rPr>
          <w:color w:val="000000" w:themeColor="text1"/>
        </w:rPr>
        <w:t xml:space="preserve"> and </w:t>
      </w:r>
      <w:r w:rsidR="00356CD1" w:rsidRPr="008D54A5">
        <w:rPr>
          <w:color w:val="000000" w:themeColor="text1"/>
        </w:rPr>
        <w:t>“</w:t>
      </w:r>
      <w:r w:rsidRPr="008D54A5">
        <w:rPr>
          <w:color w:val="000000" w:themeColor="text1"/>
        </w:rPr>
        <w:t>Type 4</w:t>
      </w:r>
      <w:r w:rsidR="00356CD1" w:rsidRPr="008D54A5">
        <w:rPr>
          <w:color w:val="000000" w:themeColor="text1"/>
        </w:rPr>
        <w:t>”</w:t>
      </w:r>
      <w:r w:rsidRPr="008D54A5">
        <w:rPr>
          <w:color w:val="000000" w:themeColor="text1"/>
        </w:rPr>
        <w:t xml:space="preserve"> duplicates were resolved programmatically instead of through manual review to reduce the amount of manual review.</w:t>
      </w:r>
    </w:p>
    <w:p w14:paraId="097116EB" w14:textId="7B737F9E" w:rsidR="00C16509" w:rsidRPr="008D54A5" w:rsidRDefault="004675F1" w:rsidP="004675F1">
      <w:pPr>
        <w:pStyle w:val="BodyText"/>
      </w:pPr>
      <w:r w:rsidRPr="008D54A5">
        <w:t>R</w:t>
      </w:r>
      <w:r w:rsidR="00C16509" w:rsidRPr="008D54A5">
        <w:t xml:space="preserve">TI continued manual review </w:t>
      </w:r>
      <w:r w:rsidR="007A02E1" w:rsidRPr="008D54A5">
        <w:t>for</w:t>
      </w:r>
      <w:r w:rsidR="00C16509" w:rsidRPr="008D54A5">
        <w:t xml:space="preserve"> </w:t>
      </w:r>
      <w:r w:rsidR="00A2742F" w:rsidRPr="008D54A5">
        <w:t xml:space="preserve">the </w:t>
      </w:r>
      <w:r w:rsidR="00C16509" w:rsidRPr="008D54A5">
        <w:t xml:space="preserve">following </w:t>
      </w:r>
      <w:r w:rsidR="00A20756" w:rsidRPr="008D54A5">
        <w:t xml:space="preserve">“Type 3” and “Type 4” duplicate </w:t>
      </w:r>
      <w:r w:rsidR="00C16509" w:rsidRPr="008D54A5">
        <w:t>situations:</w:t>
      </w:r>
    </w:p>
    <w:p w14:paraId="6B7EA5CD" w14:textId="46B4E002" w:rsidR="00C16509" w:rsidRPr="008D54A5" w:rsidRDefault="00A20756" w:rsidP="007A4CF4">
      <w:pPr>
        <w:pStyle w:val="bullets"/>
      </w:pPr>
      <w:r w:rsidRPr="008D54A5">
        <w:lastRenderedPageBreak/>
        <w:t xml:space="preserve">“Type 3” and “Type 4” </w:t>
      </w:r>
      <w:r w:rsidR="00C16509" w:rsidRPr="008D54A5">
        <w:t xml:space="preserve">sets with one or more </w:t>
      </w:r>
      <w:r w:rsidR="00A2742F" w:rsidRPr="008D54A5">
        <w:t>i</w:t>
      </w:r>
      <w:r w:rsidR="00C16509" w:rsidRPr="008D54A5">
        <w:t>npatient events</w:t>
      </w:r>
      <w:r w:rsidR="008C7ECF" w:rsidRPr="008D54A5">
        <w:t>.</w:t>
      </w:r>
      <w:r w:rsidR="00C16509" w:rsidRPr="008D54A5">
        <w:t xml:space="preserve"> </w:t>
      </w:r>
    </w:p>
    <w:p w14:paraId="74AB955E" w14:textId="57406938" w:rsidR="00C16509" w:rsidRPr="008D54A5" w:rsidRDefault="00C16509" w:rsidP="007A4CF4">
      <w:pPr>
        <w:pStyle w:val="bullets"/>
      </w:pPr>
      <w:r w:rsidRPr="008D54A5">
        <w:t xml:space="preserve">Sets with more than </w:t>
      </w:r>
      <w:r w:rsidR="00A2742F" w:rsidRPr="008D54A5">
        <w:t xml:space="preserve">two </w:t>
      </w:r>
      <w:r w:rsidRPr="008D54A5">
        <w:t>events</w:t>
      </w:r>
      <w:r w:rsidR="008C7ECF" w:rsidRPr="008D54A5">
        <w:t>.</w:t>
      </w:r>
    </w:p>
    <w:p w14:paraId="696A6669" w14:textId="1C487B35" w:rsidR="00C16509" w:rsidRPr="008D54A5" w:rsidRDefault="00C16509" w:rsidP="007A4CF4">
      <w:pPr>
        <w:pStyle w:val="bullets"/>
      </w:pPr>
      <w:r w:rsidRPr="008D54A5">
        <w:t xml:space="preserve">Sets where total charges </w:t>
      </w:r>
      <w:r w:rsidR="00FB57AF" w:rsidRPr="008D54A5">
        <w:t xml:space="preserve">or total payments </w:t>
      </w:r>
      <w:r w:rsidRPr="008D54A5">
        <w:t xml:space="preserve">are not </w:t>
      </w:r>
      <w:r w:rsidR="00632BAC" w:rsidRPr="008D54A5">
        <w:t>identical</w:t>
      </w:r>
      <w:r w:rsidR="008C7ECF" w:rsidRPr="008D54A5">
        <w:t>.</w:t>
      </w:r>
    </w:p>
    <w:p w14:paraId="1FE3BCB4" w14:textId="74FD8590" w:rsidR="00C16509" w:rsidRPr="008D54A5" w:rsidRDefault="00C16509" w:rsidP="007A4CF4">
      <w:pPr>
        <w:pStyle w:val="bullets"/>
      </w:pPr>
      <w:r w:rsidRPr="008D54A5">
        <w:t>Sets that include a global fee</w:t>
      </w:r>
      <w:r w:rsidR="008C7ECF" w:rsidRPr="008D54A5">
        <w:t>.</w:t>
      </w:r>
    </w:p>
    <w:p w14:paraId="4C49E7DB" w14:textId="7F157384" w:rsidR="00C16509" w:rsidRPr="008D54A5" w:rsidRDefault="00C16509" w:rsidP="007A4CF4">
      <w:pPr>
        <w:pStyle w:val="bullets"/>
      </w:pPr>
      <w:r w:rsidRPr="008D54A5">
        <w:t>Sets where the location of service is identical for both events</w:t>
      </w:r>
      <w:r w:rsidR="008C7ECF" w:rsidRPr="008D54A5">
        <w:t>.</w:t>
      </w:r>
    </w:p>
    <w:p w14:paraId="4A5087B6" w14:textId="24FC5949" w:rsidR="00C16509" w:rsidRPr="008D54A5" w:rsidRDefault="00C16509" w:rsidP="0058399B">
      <w:pPr>
        <w:pStyle w:val="bulletslast"/>
      </w:pPr>
      <w:r w:rsidRPr="008D54A5">
        <w:t xml:space="preserve">When both records have SBDs that are different, or only one record has SBDs and that record would not be chosen as the master, then the events </w:t>
      </w:r>
      <w:r w:rsidR="00255262" w:rsidRPr="008D54A5">
        <w:t>are</w:t>
      </w:r>
      <w:r w:rsidRPr="008D54A5">
        <w:t xml:space="preserve"> manually reviewed.</w:t>
      </w:r>
    </w:p>
    <w:p w14:paraId="7454DE63" w14:textId="2E679774" w:rsidR="00C16509" w:rsidRPr="008D54A5" w:rsidRDefault="00E06907" w:rsidP="004675F1">
      <w:pPr>
        <w:pStyle w:val="BodyText"/>
      </w:pPr>
      <w:r w:rsidRPr="008D54A5">
        <w:t>The</w:t>
      </w:r>
      <w:r w:rsidR="00C16509" w:rsidRPr="008D54A5">
        <w:t xml:space="preserve"> remain</w:t>
      </w:r>
      <w:r w:rsidR="002F7BC4" w:rsidRPr="008D54A5">
        <w:t>ing duplicate sets</w:t>
      </w:r>
      <w:r w:rsidR="00C16509" w:rsidRPr="008D54A5">
        <w:t xml:space="preserve"> </w:t>
      </w:r>
      <w:r w:rsidRPr="008D54A5">
        <w:t xml:space="preserve">are resolved </w:t>
      </w:r>
      <w:r w:rsidR="00C16509" w:rsidRPr="008D54A5">
        <w:t>programmatically</w:t>
      </w:r>
      <w:r w:rsidR="00A82B40" w:rsidRPr="008D54A5">
        <w:t xml:space="preserve"> by</w:t>
      </w:r>
      <w:r w:rsidR="00C16509" w:rsidRPr="008D54A5">
        <w:t xml:space="preserve"> auto</w:t>
      </w:r>
      <w:r w:rsidR="006C6E90" w:rsidRPr="008D54A5">
        <w:t xml:space="preserve"> </w:t>
      </w:r>
      <w:r w:rsidR="00C16509" w:rsidRPr="008D54A5">
        <w:t>coding these</w:t>
      </w:r>
      <w:r w:rsidR="007A02E1" w:rsidRPr="008D54A5">
        <w:t xml:space="preserve"> duplicate events</w:t>
      </w:r>
      <w:r w:rsidR="00C16509" w:rsidRPr="008D54A5">
        <w:t xml:space="preserve"> </w:t>
      </w:r>
      <w:r w:rsidR="005541AB" w:rsidRPr="008D54A5">
        <w:t>like</w:t>
      </w:r>
      <w:r w:rsidR="00C16509" w:rsidRPr="008D54A5">
        <w:t xml:space="preserve"> the procedure used for the </w:t>
      </w:r>
      <w:r w:rsidR="00A20756" w:rsidRPr="008D54A5">
        <w:t>“</w:t>
      </w:r>
      <w:r w:rsidR="00C16509" w:rsidRPr="008D54A5">
        <w:t>Type 1</w:t>
      </w:r>
      <w:r w:rsidR="00A20756" w:rsidRPr="008D54A5">
        <w:t>”</w:t>
      </w:r>
      <w:r w:rsidR="00C16509" w:rsidRPr="008D54A5">
        <w:t xml:space="preserve"> and </w:t>
      </w:r>
      <w:r w:rsidR="00A20756" w:rsidRPr="008D54A5">
        <w:t>“</w:t>
      </w:r>
      <w:r w:rsidR="00C16509" w:rsidRPr="008D54A5">
        <w:t>Type 2</w:t>
      </w:r>
      <w:r w:rsidR="00A20756" w:rsidRPr="008D54A5">
        <w:t>”</w:t>
      </w:r>
      <w:r w:rsidR="00C16509" w:rsidRPr="008D54A5">
        <w:t xml:space="preserve"> duplicates (events with the same dates within or across providers). Specifically, if payments </w:t>
      </w:r>
      <w:r w:rsidR="00A82B40" w:rsidRPr="008D54A5">
        <w:t xml:space="preserve">were </w:t>
      </w:r>
      <w:r w:rsidR="00C16509" w:rsidRPr="008D54A5">
        <w:t>missing for one event and non</w:t>
      </w:r>
      <w:r w:rsidR="006C6E90" w:rsidRPr="008D54A5">
        <w:t>-</w:t>
      </w:r>
      <w:r w:rsidR="00C16509" w:rsidRPr="008D54A5">
        <w:t>missing for the other, then the non</w:t>
      </w:r>
      <w:r w:rsidR="006C6E90" w:rsidRPr="008D54A5">
        <w:t>-</w:t>
      </w:r>
      <w:r w:rsidR="00C16509" w:rsidRPr="008D54A5">
        <w:t xml:space="preserve">missing payment </w:t>
      </w:r>
      <w:r w:rsidR="001E0B69" w:rsidRPr="008D54A5">
        <w:t>is</w:t>
      </w:r>
      <w:r w:rsidR="00A82B40" w:rsidRPr="008D54A5">
        <w:t xml:space="preserve"> </w:t>
      </w:r>
      <w:r w:rsidR="00C16509" w:rsidRPr="008D54A5">
        <w:t xml:space="preserve">moved into the payment field for the other event. Then, </w:t>
      </w:r>
      <w:r w:rsidR="00DA5AFB" w:rsidRPr="008D54A5">
        <w:t xml:space="preserve">the master event </w:t>
      </w:r>
      <w:r w:rsidR="001E0B69" w:rsidRPr="008D54A5">
        <w:t>is</w:t>
      </w:r>
      <w:r w:rsidR="00DA5AFB" w:rsidRPr="008D54A5">
        <w:t xml:space="preserve"> chosen using </w:t>
      </w:r>
      <w:r w:rsidR="00C16509" w:rsidRPr="008D54A5">
        <w:t>the priority ordering that is used for the</w:t>
      </w:r>
      <w:r w:rsidR="00A20756" w:rsidRPr="008D54A5">
        <w:t xml:space="preserve"> “Type 1” and “Type 2” duplicates </w:t>
      </w:r>
      <w:r w:rsidR="00C16509" w:rsidRPr="008D54A5">
        <w:t xml:space="preserve">for picking the master event (priority ordering is based on location of service, in the order </w:t>
      </w:r>
      <w:r w:rsidR="00A2742F" w:rsidRPr="008D54A5">
        <w:t xml:space="preserve">of </w:t>
      </w:r>
      <w:r w:rsidR="00C16509" w:rsidRPr="008D54A5">
        <w:t xml:space="preserve">HS, ER, OP, </w:t>
      </w:r>
      <w:r w:rsidR="00A2742F" w:rsidRPr="008D54A5">
        <w:t xml:space="preserve">and </w:t>
      </w:r>
      <w:r w:rsidR="00C16509" w:rsidRPr="008D54A5">
        <w:t>MV).</w:t>
      </w:r>
      <w:r w:rsidR="00EA6A58" w:rsidRPr="008D54A5">
        <w:rPr>
          <w:color w:val="000000" w:themeColor="text1"/>
        </w:rPr>
        <w:t xml:space="preserve"> In </w:t>
      </w:r>
      <w:r w:rsidR="000B165B" w:rsidRPr="008D54A5">
        <w:rPr>
          <w:color w:val="000000" w:themeColor="text1"/>
        </w:rPr>
        <w:t>2022</w:t>
      </w:r>
      <w:r w:rsidR="00EA6A58" w:rsidRPr="008D54A5">
        <w:rPr>
          <w:color w:val="000000" w:themeColor="text1"/>
        </w:rPr>
        <w:t xml:space="preserve">, </w:t>
      </w:r>
      <w:r w:rsidR="00255262" w:rsidRPr="008D54A5">
        <w:rPr>
          <w:color w:val="000000" w:themeColor="text1"/>
        </w:rPr>
        <w:t>one</w:t>
      </w:r>
      <w:r w:rsidR="00CA53D1" w:rsidRPr="008D54A5">
        <w:rPr>
          <w:color w:val="000000" w:themeColor="text1"/>
        </w:rPr>
        <w:t xml:space="preserve"> </w:t>
      </w:r>
      <w:r w:rsidR="004B14F7" w:rsidRPr="008D54A5">
        <w:rPr>
          <w:color w:val="000000" w:themeColor="text1"/>
        </w:rPr>
        <w:t>duplicate set</w:t>
      </w:r>
      <w:r w:rsidR="00EA6A58" w:rsidRPr="008D54A5">
        <w:rPr>
          <w:color w:val="000000" w:themeColor="text1"/>
        </w:rPr>
        <w:t xml:space="preserve"> </w:t>
      </w:r>
      <w:r w:rsidR="00A20756" w:rsidRPr="008D54A5">
        <w:rPr>
          <w:color w:val="000000" w:themeColor="text1"/>
        </w:rPr>
        <w:t>that w</w:t>
      </w:r>
      <w:r w:rsidR="00255262" w:rsidRPr="008D54A5">
        <w:rPr>
          <w:color w:val="000000" w:themeColor="text1"/>
        </w:rPr>
        <w:t>as</w:t>
      </w:r>
      <w:r w:rsidR="00A20756" w:rsidRPr="008D54A5">
        <w:rPr>
          <w:color w:val="000000" w:themeColor="text1"/>
        </w:rPr>
        <w:t xml:space="preserve"> </w:t>
      </w:r>
      <w:r w:rsidR="00EA6A58" w:rsidRPr="008D54A5">
        <w:rPr>
          <w:color w:val="000000" w:themeColor="text1"/>
        </w:rPr>
        <w:t xml:space="preserve">classified as </w:t>
      </w:r>
      <w:r w:rsidR="00255262" w:rsidRPr="008D54A5">
        <w:rPr>
          <w:color w:val="000000" w:themeColor="text1"/>
        </w:rPr>
        <w:t xml:space="preserve">a </w:t>
      </w:r>
      <w:r w:rsidR="00A20756" w:rsidRPr="008D54A5">
        <w:rPr>
          <w:color w:val="000000" w:themeColor="text1"/>
        </w:rPr>
        <w:t>“</w:t>
      </w:r>
      <w:r w:rsidR="00EA6A58" w:rsidRPr="008D54A5">
        <w:rPr>
          <w:color w:val="000000" w:themeColor="text1"/>
        </w:rPr>
        <w:t>Type 3</w:t>
      </w:r>
      <w:r w:rsidR="00A20756" w:rsidRPr="008D54A5">
        <w:rPr>
          <w:color w:val="000000" w:themeColor="text1"/>
        </w:rPr>
        <w:t xml:space="preserve">” duplicate and </w:t>
      </w:r>
      <w:r w:rsidR="000B165B" w:rsidRPr="008D54A5">
        <w:rPr>
          <w:color w:val="000000" w:themeColor="text1"/>
        </w:rPr>
        <w:t xml:space="preserve">25 </w:t>
      </w:r>
      <w:r w:rsidR="004B14F7" w:rsidRPr="008D54A5">
        <w:rPr>
          <w:color w:val="000000" w:themeColor="text1"/>
        </w:rPr>
        <w:t>duplicate sets</w:t>
      </w:r>
      <w:r w:rsidR="00EA6A58" w:rsidRPr="008D54A5">
        <w:rPr>
          <w:color w:val="000000" w:themeColor="text1"/>
        </w:rPr>
        <w:t xml:space="preserve"> </w:t>
      </w:r>
      <w:r w:rsidR="00A20756" w:rsidRPr="008D54A5">
        <w:rPr>
          <w:color w:val="000000" w:themeColor="text1"/>
        </w:rPr>
        <w:t xml:space="preserve">that </w:t>
      </w:r>
      <w:r w:rsidR="00EA6A58" w:rsidRPr="008D54A5">
        <w:rPr>
          <w:color w:val="000000" w:themeColor="text1"/>
        </w:rPr>
        <w:t xml:space="preserve">were classified as </w:t>
      </w:r>
      <w:r w:rsidR="00A20756" w:rsidRPr="008D54A5">
        <w:rPr>
          <w:color w:val="000000" w:themeColor="text1"/>
        </w:rPr>
        <w:t>“</w:t>
      </w:r>
      <w:r w:rsidR="00EA6A58" w:rsidRPr="008D54A5">
        <w:rPr>
          <w:color w:val="000000" w:themeColor="text1"/>
        </w:rPr>
        <w:t>Type 4</w:t>
      </w:r>
      <w:r w:rsidR="00A20756" w:rsidRPr="008D54A5">
        <w:rPr>
          <w:color w:val="000000" w:themeColor="text1"/>
        </w:rPr>
        <w:t>”</w:t>
      </w:r>
      <w:r w:rsidR="00EA6A58" w:rsidRPr="008D54A5">
        <w:rPr>
          <w:color w:val="000000" w:themeColor="text1"/>
        </w:rPr>
        <w:t xml:space="preserve"> duplicates were resolved programmatically.</w:t>
      </w:r>
    </w:p>
    <w:p w14:paraId="44245FE2" w14:textId="1308A503" w:rsidR="003F0A3A" w:rsidRPr="008D54A5" w:rsidRDefault="00F66AD2" w:rsidP="00DD4425">
      <w:pPr>
        <w:pStyle w:val="Heading2"/>
      </w:pPr>
      <w:bookmarkStart w:id="45" w:name="_Toc127287270"/>
      <w:bookmarkStart w:id="46" w:name="_Toc160529596"/>
      <w:bookmarkStart w:id="47" w:name="_Toc189128083"/>
      <w:r w:rsidRPr="008D54A5">
        <w:t xml:space="preserve">Coding </w:t>
      </w:r>
      <w:r w:rsidR="000549FA" w:rsidRPr="008D54A5">
        <w:t xml:space="preserve">Text </w:t>
      </w:r>
      <w:r w:rsidRPr="008D54A5">
        <w:t>Responses</w:t>
      </w:r>
      <w:bookmarkEnd w:id="44"/>
      <w:bookmarkEnd w:id="45"/>
      <w:bookmarkEnd w:id="46"/>
      <w:bookmarkEnd w:id="47"/>
    </w:p>
    <w:p w14:paraId="360091BF" w14:textId="438B652C" w:rsidR="00446F05" w:rsidRPr="008D54A5" w:rsidRDefault="00255262" w:rsidP="00B4238F">
      <w:pPr>
        <w:pStyle w:val="BodyText"/>
        <w:spacing w:after="160"/>
      </w:pPr>
      <w:r w:rsidRPr="008D54A5">
        <w:t>A</w:t>
      </w:r>
      <w:r w:rsidR="00F66AD2" w:rsidRPr="008D54A5">
        <w:t xml:space="preserve">ll text responses </w:t>
      </w:r>
      <w:r w:rsidR="003272B2" w:rsidRPr="008D54A5">
        <w:t xml:space="preserve">are </w:t>
      </w:r>
      <w:r w:rsidR="00F66AD2" w:rsidRPr="008D54A5">
        <w:t xml:space="preserve">reviewed, evaluated, and assigned appropriate codes so that they </w:t>
      </w:r>
      <w:r w:rsidR="003272B2" w:rsidRPr="008D54A5">
        <w:t xml:space="preserve">can </w:t>
      </w:r>
      <w:r w:rsidR="00F66AD2" w:rsidRPr="008D54A5">
        <w:t>be used during analyses and processing.</w:t>
      </w:r>
      <w:r w:rsidR="00443422" w:rsidRPr="008D54A5">
        <w:t xml:space="preserve"> </w:t>
      </w:r>
      <w:r w:rsidR="006745B4" w:rsidRPr="008D54A5">
        <w:t>The text responses come from survey question</w:t>
      </w:r>
      <w:r w:rsidR="00D360C2" w:rsidRPr="008D54A5">
        <w:t>s</w:t>
      </w:r>
      <w:r w:rsidR="006745B4" w:rsidRPr="008D54A5">
        <w:t xml:space="preserve"> where the response</w:t>
      </w:r>
      <w:r w:rsidR="00D360C2" w:rsidRPr="008D54A5">
        <w:t>s</w:t>
      </w:r>
      <w:r w:rsidR="006745B4" w:rsidRPr="008D54A5">
        <w:t xml:space="preserve"> differ from the options listed in th</w:t>
      </w:r>
      <w:r w:rsidR="004C2E75" w:rsidRPr="008D54A5">
        <w:t>e</w:t>
      </w:r>
      <w:r w:rsidR="006745B4" w:rsidRPr="008D54A5">
        <w:t xml:space="preserve"> survey.</w:t>
      </w:r>
      <w:r w:rsidR="00443422" w:rsidRPr="008D54A5">
        <w:t xml:space="preserve"> </w:t>
      </w:r>
      <w:r w:rsidR="006745B4" w:rsidRPr="008D54A5">
        <w:t xml:space="preserve">The </w:t>
      </w:r>
      <w:r w:rsidR="003A6616" w:rsidRPr="008D54A5">
        <w:t>DCS</w:t>
      </w:r>
      <w:r w:rsidR="006745B4" w:rsidRPr="008D54A5">
        <w:t xml:space="preserve"> enters the </w:t>
      </w:r>
      <w:r w:rsidR="00130F90" w:rsidRPr="008D54A5">
        <w:t>respondent</w:t>
      </w:r>
      <w:r w:rsidR="00356CD1" w:rsidRPr="008D54A5">
        <w:t>’</w:t>
      </w:r>
      <w:r w:rsidR="00130F90" w:rsidRPr="008D54A5">
        <w:t>s</w:t>
      </w:r>
      <w:r w:rsidR="006745B4" w:rsidRPr="008D54A5">
        <w:t xml:space="preserve"> </w:t>
      </w:r>
      <w:r w:rsidR="004C2E75" w:rsidRPr="008D54A5">
        <w:t>de</w:t>
      </w:r>
      <w:r w:rsidR="009E2E13" w:rsidRPr="008D54A5">
        <w:t>s</w:t>
      </w:r>
      <w:r w:rsidR="004C2E75" w:rsidRPr="008D54A5">
        <w:t>cription</w:t>
      </w:r>
      <w:r w:rsidR="006745B4" w:rsidRPr="008D54A5">
        <w:t xml:space="preserve"> for any </w:t>
      </w:r>
      <w:r w:rsidR="00356CD1" w:rsidRPr="008D54A5">
        <w:t>“</w:t>
      </w:r>
      <w:r w:rsidR="006745B4" w:rsidRPr="008D54A5">
        <w:t>other</w:t>
      </w:r>
      <w:r w:rsidR="00356CD1" w:rsidRPr="008D54A5">
        <w:t>”</w:t>
      </w:r>
      <w:r w:rsidR="006745B4" w:rsidRPr="008D54A5">
        <w:t xml:space="preserve"> responses.</w:t>
      </w:r>
      <w:r w:rsidR="00443422" w:rsidRPr="008D54A5">
        <w:t xml:space="preserve"> </w:t>
      </w:r>
    </w:p>
    <w:p w14:paraId="77E9A5E2" w14:textId="3E25691E" w:rsidR="00443422" w:rsidRPr="008D54A5" w:rsidRDefault="00F66AD2" w:rsidP="00E75D33">
      <w:pPr>
        <w:pStyle w:val="BodyText"/>
      </w:pPr>
      <w:r w:rsidRPr="008D54A5">
        <w:t>If the Location of Service text response d</w:t>
      </w:r>
      <w:r w:rsidR="00712A6E" w:rsidRPr="008D54A5">
        <w:t>o</w:t>
      </w:r>
      <w:r w:rsidR="003173E1" w:rsidRPr="008D54A5">
        <w:t>es</w:t>
      </w:r>
      <w:r w:rsidRPr="008D54A5">
        <w:t xml:space="preserve"> not exactly match the definition of an existing code (ignoring spelling and spacing discrepancies), </w:t>
      </w:r>
      <w:r w:rsidR="001E0B69" w:rsidRPr="008D54A5">
        <w:t xml:space="preserve">then </w:t>
      </w:r>
      <w:r w:rsidRPr="008D54A5">
        <w:t xml:space="preserve">the text response </w:t>
      </w:r>
      <w:r w:rsidR="001E0B69" w:rsidRPr="008D54A5">
        <w:t>is compared with</w:t>
      </w:r>
      <w:r w:rsidRPr="008D54A5">
        <w:t xml:space="preserve"> previous year</w:t>
      </w:r>
      <w:r w:rsidR="00A2742F" w:rsidRPr="008D54A5">
        <w:t>s’</w:t>
      </w:r>
      <w:r w:rsidRPr="008D54A5">
        <w:t xml:space="preserve"> responses and code</w:t>
      </w:r>
      <w:r w:rsidR="001E0B69" w:rsidRPr="008D54A5">
        <w:t>d</w:t>
      </w:r>
      <w:r w:rsidRPr="008D54A5">
        <w:t xml:space="preserve"> accordingly. This </w:t>
      </w:r>
      <w:r w:rsidR="00665E7B" w:rsidRPr="008D54A5">
        <w:t xml:space="preserve">check </w:t>
      </w:r>
      <w:r w:rsidR="00712A6E" w:rsidRPr="008D54A5">
        <w:t>is</w:t>
      </w:r>
      <w:r w:rsidRPr="008D54A5">
        <w:t xml:space="preserve"> </w:t>
      </w:r>
      <w:r w:rsidR="00665E7B" w:rsidRPr="008D54A5">
        <w:t>performed</w:t>
      </w:r>
      <w:r w:rsidRPr="008D54A5">
        <w:t xml:space="preserve"> to preserve comparability between MEPS years. If the text </w:t>
      </w:r>
      <w:r w:rsidR="003173E1" w:rsidRPr="008D54A5">
        <w:t>can</w:t>
      </w:r>
      <w:r w:rsidRPr="008D54A5">
        <w:t xml:space="preserve">not reasonably be assigned to any of the codes, </w:t>
      </w:r>
      <w:r w:rsidR="00B05675" w:rsidRPr="008D54A5">
        <w:t xml:space="preserve">the response is </w:t>
      </w:r>
      <w:r w:rsidRPr="008D54A5">
        <w:t>code</w:t>
      </w:r>
      <w:r w:rsidR="00B05675" w:rsidRPr="008D54A5">
        <w:t>d</w:t>
      </w:r>
      <w:r w:rsidRPr="008D54A5">
        <w:t xml:space="preserve"> 96 </w:t>
      </w:r>
      <w:r w:rsidR="0010564D" w:rsidRPr="008D54A5">
        <w:t>(</w:t>
      </w:r>
      <w:r w:rsidRPr="008D54A5">
        <w:t>Something Else</w:t>
      </w:r>
      <w:r w:rsidR="0010564D" w:rsidRPr="008D54A5">
        <w:t>)</w:t>
      </w:r>
      <w:r w:rsidR="00FB5DA4" w:rsidRPr="008D54A5">
        <w:t>.</w:t>
      </w:r>
      <w:r w:rsidR="00806895" w:rsidRPr="008D54A5">
        <w:t xml:space="preserve"> </w:t>
      </w:r>
      <w:r w:rsidR="00665E7B" w:rsidRPr="008D54A5">
        <w:t xml:space="preserve">Internet </w:t>
      </w:r>
      <w:r w:rsidRPr="008D54A5">
        <w:t xml:space="preserve">searches </w:t>
      </w:r>
      <w:r w:rsidR="00B05675" w:rsidRPr="008D54A5">
        <w:t xml:space="preserve">are also used </w:t>
      </w:r>
      <w:r w:rsidRPr="008D54A5">
        <w:t>to help determine if one of the existing codes (other than 96) might be appropriate</w:t>
      </w:r>
      <w:r w:rsidR="004423AD" w:rsidRPr="008D54A5">
        <w:t>.</w:t>
      </w:r>
    </w:p>
    <w:p w14:paraId="598DBA8C" w14:textId="1A389470" w:rsidR="003F0A3A" w:rsidRPr="008D54A5" w:rsidRDefault="00F66AD2" w:rsidP="00DD4425">
      <w:pPr>
        <w:pStyle w:val="Heading2"/>
      </w:pPr>
      <w:bookmarkStart w:id="48" w:name="_Toc319492921"/>
      <w:bookmarkStart w:id="49" w:name="_Toc127287271"/>
      <w:bookmarkStart w:id="50" w:name="_Toc160529597"/>
      <w:bookmarkStart w:id="51" w:name="_Toc189128084"/>
      <w:r w:rsidRPr="008D54A5">
        <w:t>SBD</w:t>
      </w:r>
      <w:r w:rsidR="00183429" w:rsidRPr="008D54A5">
        <w:t>–</w:t>
      </w:r>
      <w:r w:rsidRPr="008D54A5">
        <w:t>OBD Overlap</w:t>
      </w:r>
      <w:bookmarkEnd w:id="48"/>
      <w:bookmarkEnd w:id="49"/>
      <w:bookmarkEnd w:id="50"/>
      <w:bookmarkEnd w:id="51"/>
    </w:p>
    <w:p w14:paraId="2D3A78FB" w14:textId="10659AE0" w:rsidR="003F0A3A" w:rsidRPr="008D54A5" w:rsidRDefault="00423FA0" w:rsidP="00D759BE">
      <w:pPr>
        <w:pStyle w:val="BodyText"/>
        <w:keepNext/>
        <w:spacing w:after="120"/>
      </w:pPr>
      <w:r w:rsidRPr="008D54A5">
        <w:t>Q</w:t>
      </w:r>
      <w:r w:rsidR="00F66AD2" w:rsidRPr="008D54A5">
        <w:t xml:space="preserve">uestion B3 of the OBD form </w:t>
      </w:r>
      <w:r w:rsidRPr="008D54A5">
        <w:t>asks OBD</w:t>
      </w:r>
      <w:r w:rsidR="00DB3920" w:rsidRPr="008D54A5">
        <w:t xml:space="preserve"> </w:t>
      </w:r>
      <w:r w:rsidR="00216D41" w:rsidRPr="008D54A5">
        <w:t xml:space="preserve">points of contact </w:t>
      </w:r>
      <w:r w:rsidR="00F66AD2" w:rsidRPr="008D54A5">
        <w:t xml:space="preserve">whether the patient received services in </w:t>
      </w:r>
      <w:r w:rsidR="000A55B9" w:rsidRPr="008D54A5">
        <w:t>one of these locations:</w:t>
      </w:r>
    </w:p>
    <w:tbl>
      <w:tblPr>
        <w:tblW w:w="0" w:type="auto"/>
        <w:tblLook w:val="04A0" w:firstRow="1" w:lastRow="0" w:firstColumn="1" w:lastColumn="0" w:noHBand="0" w:noVBand="1"/>
      </w:tblPr>
      <w:tblGrid>
        <w:gridCol w:w="4690"/>
        <w:gridCol w:w="4670"/>
      </w:tblGrid>
      <w:tr w:rsidR="00B513F2" w:rsidRPr="008D54A5" w14:paraId="330C981E" w14:textId="77777777" w:rsidTr="00B513F2">
        <w:tc>
          <w:tcPr>
            <w:tcW w:w="4855" w:type="dxa"/>
          </w:tcPr>
          <w:p w14:paraId="22A21A69" w14:textId="24F33834" w:rsidR="00B513F2" w:rsidRPr="008D54A5" w:rsidRDefault="000A55B9" w:rsidP="00B513F2">
            <w:pPr>
              <w:pStyle w:val="bullets"/>
            </w:pPr>
            <w:r w:rsidRPr="008D54A5">
              <w:t xml:space="preserve">Physician’s </w:t>
            </w:r>
            <w:r w:rsidR="00B513F2" w:rsidRPr="008D54A5">
              <w:t>office</w:t>
            </w:r>
          </w:p>
          <w:p w14:paraId="3FDBEEA8" w14:textId="21BFD88B" w:rsidR="00B513F2" w:rsidRPr="008D54A5" w:rsidRDefault="000A55B9" w:rsidP="00B513F2">
            <w:pPr>
              <w:pStyle w:val="bullets"/>
            </w:pPr>
            <w:r w:rsidRPr="008D54A5">
              <w:t xml:space="preserve">Hospital </w:t>
            </w:r>
            <w:r w:rsidR="00B513F2" w:rsidRPr="008D54A5">
              <w:t>as an inpatient</w:t>
            </w:r>
          </w:p>
          <w:p w14:paraId="797C51E3" w14:textId="3AD34182" w:rsidR="00B513F2" w:rsidRPr="008D54A5" w:rsidRDefault="000A55B9" w:rsidP="00EA05D9">
            <w:pPr>
              <w:pStyle w:val="bullets"/>
            </w:pPr>
            <w:r w:rsidRPr="008D54A5">
              <w:t xml:space="preserve">Hospital </w:t>
            </w:r>
            <w:r w:rsidR="00A460D5" w:rsidRPr="008D54A5">
              <w:t xml:space="preserve">OP </w:t>
            </w:r>
            <w:r w:rsidR="00B513F2" w:rsidRPr="008D54A5">
              <w:t>department</w:t>
            </w:r>
          </w:p>
        </w:tc>
        <w:tc>
          <w:tcPr>
            <w:tcW w:w="4855" w:type="dxa"/>
          </w:tcPr>
          <w:p w14:paraId="33880EB1" w14:textId="682A8924" w:rsidR="00B513F2" w:rsidRPr="008D54A5" w:rsidRDefault="000A55B9" w:rsidP="00DC45E7">
            <w:pPr>
              <w:pStyle w:val="bullets-2col"/>
            </w:pPr>
            <w:r w:rsidRPr="008D54A5">
              <w:t xml:space="preserve">Hospital </w:t>
            </w:r>
            <w:r w:rsidR="004857F3" w:rsidRPr="008D54A5">
              <w:t>ER</w:t>
            </w:r>
          </w:p>
          <w:p w14:paraId="6B44375B" w14:textId="42DC0651" w:rsidR="00B513F2" w:rsidRPr="008D54A5" w:rsidRDefault="000A55B9" w:rsidP="00DC45E7">
            <w:pPr>
              <w:pStyle w:val="bullets-2col"/>
            </w:pPr>
            <w:r w:rsidRPr="008D54A5">
              <w:t xml:space="preserve">Somewhere </w:t>
            </w:r>
            <w:r w:rsidR="00B513F2" w:rsidRPr="008D54A5">
              <w:t>else</w:t>
            </w:r>
          </w:p>
        </w:tc>
      </w:tr>
    </w:tbl>
    <w:p w14:paraId="58BEA56A" w14:textId="366AD1DD" w:rsidR="003F0A3A" w:rsidRPr="008D54A5" w:rsidRDefault="00F66AD2" w:rsidP="00DC45E7">
      <w:pPr>
        <w:pStyle w:val="BodyText2"/>
      </w:pPr>
      <w:r w:rsidRPr="008D54A5">
        <w:t xml:space="preserve">Responses </w:t>
      </w:r>
      <w:r w:rsidR="0010564D" w:rsidRPr="008D54A5">
        <w:t>“hospital as an inpatient,” “hospital outpatient department,” and “hospital emergency room”</w:t>
      </w:r>
      <w:r w:rsidRPr="008D54A5">
        <w:t xml:space="preserve"> are called </w:t>
      </w:r>
      <w:r w:rsidRPr="008D54A5">
        <w:rPr>
          <w:b/>
        </w:rPr>
        <w:t>S-</w:t>
      </w:r>
      <w:r w:rsidR="00423FA0" w:rsidRPr="008D54A5">
        <w:rPr>
          <w:b/>
        </w:rPr>
        <w:t xml:space="preserve">type </w:t>
      </w:r>
      <w:r w:rsidRPr="008D54A5">
        <w:rPr>
          <w:b/>
        </w:rPr>
        <w:t xml:space="preserve">OBD </w:t>
      </w:r>
      <w:r w:rsidR="00423FA0" w:rsidRPr="008D54A5">
        <w:rPr>
          <w:b/>
        </w:rPr>
        <w:t>events</w:t>
      </w:r>
      <w:r w:rsidR="00423FA0" w:rsidRPr="008D54A5">
        <w:t xml:space="preserve"> </w:t>
      </w:r>
      <w:r w:rsidRPr="008D54A5">
        <w:t xml:space="preserve">because these are SBD charges for events that occur in a </w:t>
      </w:r>
      <w:proofErr w:type="gramStart"/>
      <w:r w:rsidR="007A2832" w:rsidRPr="008D54A5">
        <w:t>H</w:t>
      </w:r>
      <w:r w:rsidR="00350AE3" w:rsidRPr="008D54A5">
        <w:t>ospital</w:t>
      </w:r>
      <w:proofErr w:type="gramEnd"/>
      <w:r w:rsidRPr="008D54A5">
        <w:t xml:space="preserve">. If that </w:t>
      </w:r>
      <w:r w:rsidR="007A2832" w:rsidRPr="008D54A5">
        <w:t>H</w:t>
      </w:r>
      <w:r w:rsidR="00350AE3" w:rsidRPr="008D54A5">
        <w:t>ospital</w:t>
      </w:r>
      <w:r w:rsidRPr="008D54A5">
        <w:t xml:space="preserve"> responded to the MPC, one would expect some mention of the OBD event noted in the SBD portion of the </w:t>
      </w:r>
      <w:r w:rsidR="007A2832" w:rsidRPr="008D54A5">
        <w:t>H</w:t>
      </w:r>
      <w:r w:rsidR="00350AE3" w:rsidRPr="008D54A5">
        <w:t>ospital</w:t>
      </w:r>
      <w:r w:rsidRPr="008D54A5">
        <w:t xml:space="preserve"> event. </w:t>
      </w:r>
      <w:r w:rsidR="00423FA0" w:rsidRPr="008D54A5">
        <w:t>T</w:t>
      </w:r>
      <w:r w:rsidRPr="008D54A5">
        <w:t xml:space="preserve">o maintain the integrity of a medical </w:t>
      </w:r>
      <w:r w:rsidRPr="008D54A5">
        <w:lastRenderedPageBreak/>
        <w:t>event as defined by the MPC, all OBD S-</w:t>
      </w:r>
      <w:r w:rsidR="00423FA0" w:rsidRPr="008D54A5">
        <w:t xml:space="preserve">type </w:t>
      </w:r>
      <w:r w:rsidRPr="008D54A5">
        <w:t xml:space="preserve">events are removed from processing, and if possible, these events are linked to the SBD mentions of </w:t>
      </w:r>
      <w:r w:rsidR="004857F3" w:rsidRPr="008D54A5">
        <w:t>HS</w:t>
      </w:r>
      <w:r w:rsidRPr="008D54A5">
        <w:t>. OBD S-</w:t>
      </w:r>
      <w:r w:rsidR="00423FA0" w:rsidRPr="008D54A5">
        <w:t xml:space="preserve">type events </w:t>
      </w:r>
      <w:r w:rsidRPr="008D54A5">
        <w:t xml:space="preserve">that cannot be linked to any SBD mention are discarded from the analysis </w:t>
      </w:r>
      <w:r w:rsidR="00BA5070" w:rsidRPr="008D54A5">
        <w:t>(</w:t>
      </w:r>
      <w:r w:rsidRPr="008D54A5">
        <w:t>i.e., these are not eligible as stand</w:t>
      </w:r>
      <w:r w:rsidR="00E871DF" w:rsidRPr="008D54A5">
        <w:t>-</w:t>
      </w:r>
      <w:r w:rsidRPr="008D54A5">
        <w:t xml:space="preserve">alone events for the </w:t>
      </w:r>
      <w:r w:rsidR="002D3451" w:rsidRPr="008D54A5">
        <w:t>MPC-HC</w:t>
      </w:r>
      <w:r w:rsidRPr="008D54A5">
        <w:t xml:space="preserve"> statistical matching process</w:t>
      </w:r>
      <w:r w:rsidR="00BA5070" w:rsidRPr="008D54A5">
        <w:t>)</w:t>
      </w:r>
      <w:r w:rsidR="00CF6838" w:rsidRPr="008D54A5">
        <w:t xml:space="preserve">. </w:t>
      </w:r>
      <w:r w:rsidR="00760EAA" w:rsidRPr="008D54A5">
        <w:t>No</w:t>
      </w:r>
      <w:r w:rsidR="00CF6838" w:rsidRPr="008D54A5">
        <w:t xml:space="preserve"> further review of S-type events that </w:t>
      </w:r>
      <w:r w:rsidR="00760EAA" w:rsidRPr="008D54A5">
        <w:t>ca</w:t>
      </w:r>
      <w:r w:rsidR="00502EFC" w:rsidRPr="008D54A5">
        <w:t>n</w:t>
      </w:r>
      <w:r w:rsidR="00CF6838" w:rsidRPr="008D54A5">
        <w:t xml:space="preserve">not be linked to a </w:t>
      </w:r>
      <w:proofErr w:type="gramStart"/>
      <w:r w:rsidR="007A2832" w:rsidRPr="008D54A5">
        <w:t>H</w:t>
      </w:r>
      <w:r w:rsidR="00CF6838" w:rsidRPr="008D54A5">
        <w:t>ospital</w:t>
      </w:r>
      <w:proofErr w:type="gramEnd"/>
      <w:r w:rsidR="00CF6838" w:rsidRPr="008D54A5">
        <w:t xml:space="preserve"> event </w:t>
      </w:r>
      <w:r w:rsidR="00760EAA" w:rsidRPr="008D54A5">
        <w:t>is</w:t>
      </w:r>
      <w:r w:rsidR="00CF6838" w:rsidRPr="008D54A5">
        <w:t xml:space="preserve"> conducted.</w:t>
      </w:r>
      <w:r w:rsidR="002F2DBD" w:rsidRPr="008D54A5">
        <w:t xml:space="preserve"> However, as a part of edit # 2 listed in </w:t>
      </w:r>
      <w:r w:rsidR="00356CD1" w:rsidRPr="00B53C63">
        <w:rPr>
          <w:b/>
        </w:rPr>
        <w:t>Exhibit </w:t>
      </w:r>
      <w:r w:rsidR="002F2DBD" w:rsidRPr="008D54A5">
        <w:rPr>
          <w:b/>
        </w:rPr>
        <w:t>3.2</w:t>
      </w:r>
      <w:r w:rsidR="002F2DBD" w:rsidRPr="008D54A5">
        <w:t>, all OBDs with only S-type events for the same person and provider are reviewed.</w:t>
      </w:r>
    </w:p>
    <w:p w14:paraId="24DCA854" w14:textId="670670CE" w:rsidR="007F577A" w:rsidRPr="008D54A5" w:rsidRDefault="00423FA0" w:rsidP="00C035D2">
      <w:pPr>
        <w:pStyle w:val="BodyText"/>
      </w:pPr>
      <w:r w:rsidRPr="008D54A5">
        <w:t>T</w:t>
      </w:r>
      <w:r w:rsidR="00F66AD2" w:rsidRPr="008D54A5">
        <w:t xml:space="preserve">o minimize data collection costs and reduce respondent burden, </w:t>
      </w:r>
      <w:r w:rsidR="00EE42BB" w:rsidRPr="008D54A5">
        <w:t xml:space="preserve">RTI </w:t>
      </w:r>
      <w:r w:rsidR="00712A6E" w:rsidRPr="008D54A5">
        <w:t>attempt</w:t>
      </w:r>
      <w:r w:rsidR="00EE42BB" w:rsidRPr="008D54A5">
        <w:t>s</w:t>
      </w:r>
      <w:r w:rsidR="00712A6E" w:rsidRPr="008D54A5">
        <w:t xml:space="preserve"> to link </w:t>
      </w:r>
      <w:r w:rsidR="00F66AD2" w:rsidRPr="008D54A5">
        <w:t>OBD S-</w:t>
      </w:r>
      <w:r w:rsidR="00D46829" w:rsidRPr="008D54A5">
        <w:t>t</w:t>
      </w:r>
      <w:r w:rsidRPr="008D54A5">
        <w:t xml:space="preserve">ype </w:t>
      </w:r>
      <w:r w:rsidR="00F66AD2" w:rsidRPr="008D54A5">
        <w:t xml:space="preserve">events to SBD mentions before SBD data collection. If a probable match </w:t>
      </w:r>
      <w:r w:rsidR="00712A6E" w:rsidRPr="008D54A5">
        <w:t>is</w:t>
      </w:r>
      <w:r w:rsidR="00F66AD2" w:rsidRPr="008D54A5">
        <w:t xml:space="preserve"> found, then the SBD </w:t>
      </w:r>
      <w:r w:rsidR="001E756F" w:rsidRPr="008D54A5">
        <w:t xml:space="preserve">is </w:t>
      </w:r>
      <w:r w:rsidR="00F66AD2" w:rsidRPr="008D54A5">
        <w:t xml:space="preserve">not </w:t>
      </w:r>
      <w:r w:rsidR="003C4D26" w:rsidRPr="008D54A5">
        <w:t>contacted,</w:t>
      </w:r>
      <w:r w:rsidR="00F66AD2" w:rsidRPr="008D54A5">
        <w:t xml:space="preserve"> and the data collected on the OBD form </w:t>
      </w:r>
      <w:r w:rsidR="00D46829" w:rsidRPr="008D54A5">
        <w:t xml:space="preserve">are </w:t>
      </w:r>
      <w:r w:rsidR="00F66AD2" w:rsidRPr="008D54A5">
        <w:t xml:space="preserve">transferred to the SBD form as part of the data editing discussed in this report. </w:t>
      </w:r>
      <w:r w:rsidR="001A4C10" w:rsidRPr="008D54A5">
        <w:t>P</w:t>
      </w:r>
      <w:r w:rsidR="00F66AD2" w:rsidRPr="008D54A5">
        <w:t>otential matches between the OBD and SBD samples for the</w:t>
      </w:r>
      <w:r w:rsidR="008501A7" w:rsidRPr="008D54A5">
        <w:t xml:space="preserve"> </w:t>
      </w:r>
      <w:r w:rsidR="00F66AD2" w:rsidRPr="008D54A5">
        <w:t xml:space="preserve">MPC </w:t>
      </w:r>
      <w:r w:rsidR="003C250F" w:rsidRPr="008D54A5">
        <w:t>we</w:t>
      </w:r>
      <w:r w:rsidR="00F66AD2" w:rsidRPr="008D54A5">
        <w:t>re identified using fuzzy matching text comparisons</w:t>
      </w:r>
      <w:r w:rsidR="00817289">
        <w:t>.</w:t>
      </w:r>
    </w:p>
    <w:p w14:paraId="403269AB" w14:textId="2049D3FA" w:rsidR="007F577A" w:rsidRPr="008D54A5" w:rsidRDefault="00255262" w:rsidP="00EE6C43">
      <w:pPr>
        <w:pStyle w:val="BodyText"/>
      </w:pPr>
      <w:r w:rsidRPr="008D54A5">
        <w:t xml:space="preserve">RTI </w:t>
      </w:r>
      <w:r w:rsidR="00D46829" w:rsidRPr="008D54A5">
        <w:t xml:space="preserve">also </w:t>
      </w:r>
      <w:r w:rsidR="00F66AD2" w:rsidRPr="008D54A5">
        <w:t>attempt</w:t>
      </w:r>
      <w:r w:rsidRPr="008D54A5">
        <w:t>s</w:t>
      </w:r>
      <w:r w:rsidR="00F66AD2" w:rsidRPr="008D54A5">
        <w:t xml:space="preserve"> to link </w:t>
      </w:r>
      <w:r w:rsidR="00423FA0" w:rsidRPr="008D54A5">
        <w:t>S-type</w:t>
      </w:r>
      <w:r w:rsidR="00F66AD2" w:rsidRPr="008D54A5">
        <w:t xml:space="preserve"> OBD and SBD data after SBD data collection for two reasons: (1) to catch any SBD</w:t>
      </w:r>
      <w:r w:rsidR="00027C80" w:rsidRPr="008D54A5">
        <w:t>–</w:t>
      </w:r>
      <w:r w:rsidR="00F66AD2" w:rsidRPr="008D54A5">
        <w:t>OBD overlaps missed in the pre-data collection matching phase, and (2) to select the record in the matched pair that contains the more complete</w:t>
      </w:r>
      <w:r w:rsidR="00FD100B" w:rsidRPr="008D54A5">
        <w:t xml:space="preserve"> </w:t>
      </w:r>
      <w:r w:rsidR="00F66AD2" w:rsidRPr="008D54A5">
        <w:t xml:space="preserve">data. In addition to contact information, payment and charges </w:t>
      </w:r>
      <w:r w:rsidR="001E756F" w:rsidRPr="008D54A5">
        <w:t xml:space="preserve">are </w:t>
      </w:r>
      <w:r w:rsidR="00F66AD2" w:rsidRPr="008D54A5">
        <w:t xml:space="preserve">also considered in this process. All OBD events </w:t>
      </w:r>
      <w:r w:rsidR="00712A6E" w:rsidRPr="008D54A5">
        <w:t>are</w:t>
      </w:r>
      <w:r w:rsidR="00F66AD2" w:rsidRPr="008D54A5">
        <w:t xml:space="preserve"> considered in this editing step, not just those classified as </w:t>
      </w:r>
      <w:r w:rsidR="00423FA0" w:rsidRPr="008D54A5">
        <w:t>S-type</w:t>
      </w:r>
      <w:r w:rsidR="00F66AD2" w:rsidRPr="008D54A5">
        <w:t xml:space="preserve"> events. This </w:t>
      </w:r>
      <w:r w:rsidR="00D46829" w:rsidRPr="008D54A5">
        <w:t>step is conducted</w:t>
      </w:r>
      <w:r w:rsidR="00F66AD2" w:rsidRPr="008D54A5">
        <w:t xml:space="preserve"> to capture those OBD events that have an incorrect location of service classification.</w:t>
      </w:r>
    </w:p>
    <w:p w14:paraId="690CA613" w14:textId="4D822961" w:rsidR="0020688F" w:rsidRPr="008D54A5" w:rsidRDefault="00F66AD2" w:rsidP="00114E9E">
      <w:pPr>
        <w:pStyle w:val="BodyText"/>
      </w:pPr>
      <w:r w:rsidRPr="008D54A5">
        <w:t xml:space="preserve">The final version of the </w:t>
      </w:r>
      <w:r w:rsidR="00F66A06" w:rsidRPr="008D54A5">
        <w:t xml:space="preserve">2022 </w:t>
      </w:r>
      <w:r w:rsidRPr="008D54A5">
        <w:t xml:space="preserve">MPC SBD </w:t>
      </w:r>
      <w:r w:rsidR="002902F6" w:rsidRPr="008D54A5">
        <w:t>e</w:t>
      </w:r>
      <w:r w:rsidRPr="008D54A5">
        <w:t>ncounter</w:t>
      </w:r>
      <w:r w:rsidR="00077406" w:rsidRPr="008D54A5">
        <w:t>-</w:t>
      </w:r>
      <w:r w:rsidR="002902F6" w:rsidRPr="008D54A5">
        <w:t>level</w:t>
      </w:r>
      <w:r w:rsidRPr="008D54A5">
        <w:t xml:space="preserve"> </w:t>
      </w:r>
      <w:r w:rsidR="002902F6" w:rsidRPr="008D54A5">
        <w:t>f</w:t>
      </w:r>
      <w:r w:rsidRPr="008D54A5">
        <w:t>ile consist</w:t>
      </w:r>
      <w:r w:rsidR="001E756F" w:rsidRPr="008D54A5">
        <w:t>s</w:t>
      </w:r>
      <w:r w:rsidRPr="008D54A5">
        <w:t xml:space="preserve"> of </w:t>
      </w:r>
      <w:r w:rsidR="006A6F29" w:rsidRPr="008D54A5">
        <w:t>9,591</w:t>
      </w:r>
      <w:r w:rsidR="00973687" w:rsidRPr="008D54A5">
        <w:t xml:space="preserve"> </w:t>
      </w:r>
      <w:r w:rsidR="00A25D2C" w:rsidRPr="008D54A5">
        <w:t>unique</w:t>
      </w:r>
      <w:r w:rsidR="00F3090E" w:rsidRPr="008D54A5">
        <w:t xml:space="preserve"> </w:t>
      </w:r>
      <w:r w:rsidRPr="008D54A5">
        <w:t xml:space="preserve">records (encounters). Of these, </w:t>
      </w:r>
      <w:r w:rsidR="006A6F29" w:rsidRPr="008D54A5">
        <w:t>5.3</w:t>
      </w:r>
      <w:r w:rsidR="008F36B4" w:rsidRPr="008D54A5">
        <w:t xml:space="preserve"> percent</w:t>
      </w:r>
      <w:r w:rsidRPr="008D54A5">
        <w:t xml:space="preserve"> of the encounters were collected in the OBD sample</w:t>
      </w:r>
      <w:r w:rsidR="00327DCF" w:rsidRPr="008D54A5">
        <w:t xml:space="preserve"> and did not overlap an SBD encounter</w:t>
      </w:r>
      <w:r w:rsidRPr="008D54A5">
        <w:t xml:space="preserve">. For the </w:t>
      </w:r>
      <w:r w:rsidR="00774DB8" w:rsidRPr="008D54A5">
        <w:t>20</w:t>
      </w:r>
      <w:r w:rsidR="00255262" w:rsidRPr="008D54A5">
        <w:t>2</w:t>
      </w:r>
      <w:r w:rsidR="006A6F29" w:rsidRPr="008D54A5">
        <w:t>1</w:t>
      </w:r>
      <w:r w:rsidRPr="008D54A5">
        <w:t xml:space="preserve"> MPC, the comparable percentage was </w:t>
      </w:r>
      <w:r w:rsidR="006A6F29" w:rsidRPr="008D54A5">
        <w:t>7</w:t>
      </w:r>
      <w:r w:rsidR="00255262" w:rsidRPr="008D54A5">
        <w:t>.1</w:t>
      </w:r>
      <w:r w:rsidR="008F36B4" w:rsidRPr="008D54A5">
        <w:t xml:space="preserve"> percent</w:t>
      </w:r>
      <w:r w:rsidRPr="008D54A5">
        <w:t xml:space="preserve">. </w:t>
      </w:r>
    </w:p>
    <w:p w14:paraId="254C28C1" w14:textId="33FF87B6" w:rsidR="00446F05" w:rsidRPr="008D54A5" w:rsidRDefault="009279A8" w:rsidP="00DD4425">
      <w:pPr>
        <w:pStyle w:val="Heading2"/>
        <w:rPr>
          <w:rFonts w:eastAsiaTheme="minorHAnsi"/>
        </w:rPr>
      </w:pPr>
      <w:bookmarkStart w:id="52" w:name="_Toc127287272"/>
      <w:bookmarkStart w:id="53" w:name="_Toc160529598"/>
      <w:bookmarkStart w:id="54" w:name="_Toc189128085"/>
      <w:r w:rsidRPr="008D54A5">
        <w:rPr>
          <w:rFonts w:eastAsiaTheme="minorHAnsi"/>
        </w:rPr>
        <w:t xml:space="preserve">Process to Determine Whether an OBD </w:t>
      </w:r>
      <w:r w:rsidR="00D46829" w:rsidRPr="008D54A5">
        <w:rPr>
          <w:rFonts w:eastAsiaTheme="minorHAnsi"/>
        </w:rPr>
        <w:t xml:space="preserve">Was </w:t>
      </w:r>
      <w:r w:rsidRPr="008D54A5">
        <w:rPr>
          <w:rFonts w:eastAsiaTheme="minorHAnsi"/>
        </w:rPr>
        <w:t>an SBD During E</w:t>
      </w:r>
      <w:r w:rsidR="000C2CD8" w:rsidRPr="008D54A5">
        <w:rPr>
          <w:rFonts w:eastAsiaTheme="minorHAnsi"/>
        </w:rPr>
        <w:t>diting</w:t>
      </w:r>
      <w:bookmarkEnd w:id="52"/>
      <w:bookmarkEnd w:id="53"/>
      <w:bookmarkEnd w:id="54"/>
    </w:p>
    <w:p w14:paraId="75C445A2" w14:textId="085AC5D2" w:rsidR="0020688F" w:rsidRPr="008D54A5" w:rsidRDefault="00A64F6C" w:rsidP="00CF6838">
      <w:pPr>
        <w:pStyle w:val="BodyText"/>
        <w:rPr>
          <w:rFonts w:eastAsiaTheme="minorHAnsi"/>
        </w:rPr>
      </w:pPr>
      <w:r w:rsidRPr="008D54A5">
        <w:rPr>
          <w:rFonts w:eastAsiaTheme="minorHAnsi"/>
        </w:rPr>
        <w:t>The r</w:t>
      </w:r>
      <w:r w:rsidR="00CF6838" w:rsidRPr="008D54A5">
        <w:rPr>
          <w:rFonts w:eastAsiaTheme="minorHAnsi"/>
        </w:rPr>
        <w:t xml:space="preserve">ules that are used </w:t>
      </w:r>
      <w:r w:rsidRPr="008D54A5">
        <w:rPr>
          <w:rFonts w:eastAsiaTheme="minorHAnsi"/>
        </w:rPr>
        <w:t xml:space="preserve">to </w:t>
      </w:r>
      <w:r w:rsidR="00C243D2" w:rsidRPr="008D54A5">
        <w:rPr>
          <w:rFonts w:eastAsiaTheme="minorHAnsi"/>
        </w:rPr>
        <w:t>i</w:t>
      </w:r>
      <w:r w:rsidR="000C2CD8" w:rsidRPr="008D54A5">
        <w:rPr>
          <w:rFonts w:eastAsiaTheme="minorHAnsi"/>
        </w:rPr>
        <w:t xml:space="preserve">dentify </w:t>
      </w:r>
      <w:r w:rsidRPr="008D54A5">
        <w:rPr>
          <w:rFonts w:eastAsiaTheme="minorHAnsi"/>
        </w:rPr>
        <w:t xml:space="preserve">an </w:t>
      </w:r>
      <w:r w:rsidR="000C2CD8" w:rsidRPr="008D54A5">
        <w:rPr>
          <w:rFonts w:eastAsiaTheme="minorHAnsi"/>
        </w:rPr>
        <w:t xml:space="preserve">OBD that </w:t>
      </w:r>
      <w:r w:rsidRPr="008D54A5">
        <w:rPr>
          <w:rFonts w:eastAsiaTheme="minorHAnsi"/>
        </w:rPr>
        <w:t xml:space="preserve">is </w:t>
      </w:r>
      <w:r w:rsidR="005541AB" w:rsidRPr="008D54A5">
        <w:rPr>
          <w:rFonts w:eastAsiaTheme="minorHAnsi"/>
        </w:rPr>
        <w:t>an</w:t>
      </w:r>
      <w:r w:rsidRPr="008D54A5">
        <w:rPr>
          <w:rFonts w:eastAsiaTheme="minorHAnsi"/>
        </w:rPr>
        <w:t xml:space="preserve"> </w:t>
      </w:r>
      <w:r w:rsidR="000C2CD8" w:rsidRPr="008D54A5">
        <w:rPr>
          <w:rFonts w:eastAsiaTheme="minorHAnsi"/>
        </w:rPr>
        <w:t>SBD</w:t>
      </w:r>
      <w:r w:rsidR="00CF6838" w:rsidRPr="008D54A5">
        <w:rPr>
          <w:rFonts w:eastAsiaTheme="minorHAnsi"/>
        </w:rPr>
        <w:t xml:space="preserve"> differ according to whether the OBD is an S-type event. </w:t>
      </w:r>
      <w:r w:rsidR="0020688F" w:rsidRPr="008D54A5">
        <w:rPr>
          <w:rFonts w:eastAsiaTheme="minorHAnsi"/>
        </w:rPr>
        <w:t xml:space="preserve">An OBD is </w:t>
      </w:r>
      <w:r w:rsidR="00FE28A9" w:rsidRPr="008D54A5">
        <w:rPr>
          <w:rFonts w:eastAsiaTheme="minorHAnsi"/>
        </w:rPr>
        <w:t>called an S-ty</w:t>
      </w:r>
      <w:r w:rsidR="000456A5" w:rsidRPr="008D54A5">
        <w:rPr>
          <w:rFonts w:eastAsiaTheme="minorHAnsi"/>
        </w:rPr>
        <w:t>pe</w:t>
      </w:r>
      <w:r w:rsidR="00FE28A9" w:rsidRPr="008D54A5">
        <w:rPr>
          <w:rFonts w:eastAsiaTheme="minorHAnsi"/>
        </w:rPr>
        <w:t xml:space="preserve"> event</w:t>
      </w:r>
      <w:r w:rsidR="000C2CD8" w:rsidRPr="008D54A5">
        <w:rPr>
          <w:rFonts w:eastAsiaTheme="minorHAnsi"/>
        </w:rPr>
        <w:t xml:space="preserve"> if the location of service (</w:t>
      </w:r>
      <w:r w:rsidR="00FE28A9" w:rsidRPr="008D54A5">
        <w:rPr>
          <w:rFonts w:eastAsiaTheme="minorHAnsi"/>
        </w:rPr>
        <w:t xml:space="preserve">variable </w:t>
      </w:r>
      <w:r w:rsidR="000C2CD8" w:rsidRPr="008D54A5">
        <w:rPr>
          <w:rFonts w:eastAsiaTheme="minorHAnsi"/>
        </w:rPr>
        <w:t>RCSRV</w:t>
      </w:r>
      <w:r w:rsidR="00FE28A9" w:rsidRPr="008D54A5">
        <w:rPr>
          <w:rFonts w:eastAsiaTheme="minorHAnsi"/>
        </w:rPr>
        <w:t xml:space="preserve"> from the OBD event form</w:t>
      </w:r>
      <w:r w:rsidR="000C2CD8" w:rsidRPr="008D54A5">
        <w:rPr>
          <w:rFonts w:eastAsiaTheme="minorHAnsi"/>
        </w:rPr>
        <w:t xml:space="preserve">) </w:t>
      </w:r>
      <w:r w:rsidR="0020688F" w:rsidRPr="008D54A5">
        <w:rPr>
          <w:rFonts w:eastAsiaTheme="minorHAnsi"/>
        </w:rPr>
        <w:t>is</w:t>
      </w:r>
      <w:r w:rsidR="000C2CD8" w:rsidRPr="008D54A5">
        <w:rPr>
          <w:rFonts w:eastAsiaTheme="minorHAnsi"/>
        </w:rPr>
        <w:t xml:space="preserve"> either hospital as an inpatient, hospital in the </w:t>
      </w:r>
      <w:r w:rsidR="00027C80" w:rsidRPr="008D54A5">
        <w:rPr>
          <w:rFonts w:eastAsiaTheme="minorHAnsi"/>
        </w:rPr>
        <w:t xml:space="preserve">OP </w:t>
      </w:r>
      <w:r w:rsidR="000C2CD8" w:rsidRPr="008D54A5">
        <w:rPr>
          <w:rFonts w:eastAsiaTheme="minorHAnsi"/>
        </w:rPr>
        <w:t>department</w:t>
      </w:r>
      <w:r w:rsidR="00D46829" w:rsidRPr="008D54A5">
        <w:rPr>
          <w:rFonts w:eastAsiaTheme="minorHAnsi"/>
        </w:rPr>
        <w:t>,</w:t>
      </w:r>
      <w:r w:rsidR="000C2CD8" w:rsidRPr="008D54A5">
        <w:rPr>
          <w:rFonts w:eastAsiaTheme="minorHAnsi"/>
        </w:rPr>
        <w:t xml:space="preserve"> or the hospital </w:t>
      </w:r>
      <w:r w:rsidR="00027C80" w:rsidRPr="008D54A5">
        <w:rPr>
          <w:rFonts w:eastAsiaTheme="minorHAnsi"/>
        </w:rPr>
        <w:t>ER</w:t>
      </w:r>
      <w:r w:rsidR="000C2CD8" w:rsidRPr="008D54A5">
        <w:rPr>
          <w:rFonts w:eastAsiaTheme="minorHAnsi"/>
        </w:rPr>
        <w:t>.</w:t>
      </w:r>
    </w:p>
    <w:p w14:paraId="05B049AC" w14:textId="0F59F6DF" w:rsidR="00446F05" w:rsidRPr="008D54A5" w:rsidRDefault="00CF6838" w:rsidP="00CF6838">
      <w:pPr>
        <w:pStyle w:val="BodyText"/>
        <w:rPr>
          <w:rFonts w:eastAsiaTheme="minorHAnsi"/>
        </w:rPr>
      </w:pPr>
      <w:r w:rsidRPr="008D54A5">
        <w:rPr>
          <w:rFonts w:eastAsiaTheme="minorHAnsi"/>
        </w:rPr>
        <w:t xml:space="preserve">For OBD S-type events, </w:t>
      </w:r>
      <w:r w:rsidR="000C2CD8" w:rsidRPr="008D54A5">
        <w:rPr>
          <w:rFonts w:eastAsiaTheme="minorHAnsi"/>
        </w:rPr>
        <w:t xml:space="preserve">the date of the OBD </w:t>
      </w:r>
      <w:r w:rsidR="00EE42BB" w:rsidRPr="008D54A5">
        <w:rPr>
          <w:rFonts w:eastAsiaTheme="minorHAnsi"/>
        </w:rPr>
        <w:t xml:space="preserve">is considered </w:t>
      </w:r>
      <w:r w:rsidR="000C2CD8" w:rsidRPr="008D54A5">
        <w:rPr>
          <w:rFonts w:eastAsiaTheme="minorHAnsi"/>
        </w:rPr>
        <w:t xml:space="preserve">in relation to dates of </w:t>
      </w:r>
      <w:r w:rsidR="009F0677">
        <w:rPr>
          <w:rFonts w:eastAsiaTheme="minorHAnsi"/>
        </w:rPr>
        <w:t>H</w:t>
      </w:r>
      <w:r w:rsidR="000C2CD8" w:rsidRPr="008D54A5">
        <w:rPr>
          <w:rFonts w:eastAsiaTheme="minorHAnsi"/>
        </w:rPr>
        <w:t>ospital events occurring concurrently or close to the OBD date.</w:t>
      </w:r>
      <w:r w:rsidR="00443422" w:rsidRPr="008D54A5">
        <w:rPr>
          <w:rFonts w:eastAsiaTheme="minorHAnsi"/>
        </w:rPr>
        <w:t xml:space="preserve"> </w:t>
      </w:r>
      <w:r w:rsidR="000C2CD8" w:rsidRPr="008D54A5">
        <w:rPr>
          <w:rFonts w:eastAsiaTheme="minorHAnsi"/>
        </w:rPr>
        <w:t xml:space="preserve">For each </w:t>
      </w:r>
      <w:r w:rsidR="00423FA0" w:rsidRPr="008D54A5">
        <w:rPr>
          <w:rFonts w:eastAsiaTheme="minorHAnsi"/>
        </w:rPr>
        <w:t>S-type</w:t>
      </w:r>
      <w:r w:rsidR="000C2CD8" w:rsidRPr="008D54A5">
        <w:rPr>
          <w:rFonts w:eastAsiaTheme="minorHAnsi"/>
        </w:rPr>
        <w:t xml:space="preserve"> OBD event</w:t>
      </w:r>
      <w:r w:rsidR="0020688F" w:rsidRPr="008D54A5">
        <w:rPr>
          <w:rFonts w:eastAsiaTheme="minorHAnsi"/>
        </w:rPr>
        <w:t xml:space="preserve">, </w:t>
      </w:r>
      <w:r w:rsidR="000C2CD8" w:rsidRPr="008D54A5">
        <w:rPr>
          <w:rFonts w:eastAsiaTheme="minorHAnsi"/>
        </w:rPr>
        <w:t>the date of the OBD event</w:t>
      </w:r>
      <w:r w:rsidR="00EE42BB" w:rsidRPr="008D54A5">
        <w:rPr>
          <w:rFonts w:eastAsiaTheme="minorHAnsi"/>
        </w:rPr>
        <w:t xml:space="preserve"> is compared</w:t>
      </w:r>
      <w:r w:rsidR="000C2CD8" w:rsidRPr="008D54A5">
        <w:rPr>
          <w:rFonts w:eastAsiaTheme="minorHAnsi"/>
        </w:rPr>
        <w:t xml:space="preserve"> </w:t>
      </w:r>
      <w:r w:rsidR="00F679C7" w:rsidRPr="008D54A5">
        <w:rPr>
          <w:rFonts w:eastAsiaTheme="minorHAnsi"/>
        </w:rPr>
        <w:t xml:space="preserve">with </w:t>
      </w:r>
      <w:r w:rsidR="000C2CD8" w:rsidRPr="008D54A5">
        <w:rPr>
          <w:rFonts w:eastAsiaTheme="minorHAnsi"/>
        </w:rPr>
        <w:t xml:space="preserve">dates of </w:t>
      </w:r>
      <w:r w:rsidR="007A2832" w:rsidRPr="008D54A5">
        <w:rPr>
          <w:rFonts w:eastAsiaTheme="minorHAnsi"/>
        </w:rPr>
        <w:t>H</w:t>
      </w:r>
      <w:r w:rsidR="00350AE3" w:rsidRPr="008D54A5">
        <w:rPr>
          <w:rFonts w:eastAsiaTheme="minorHAnsi"/>
        </w:rPr>
        <w:t>ospital</w:t>
      </w:r>
      <w:r w:rsidR="000C2CD8" w:rsidRPr="008D54A5">
        <w:rPr>
          <w:rFonts w:eastAsiaTheme="minorHAnsi"/>
        </w:rPr>
        <w:t xml:space="preserve"> events that </w:t>
      </w:r>
      <w:r w:rsidR="001A64FC" w:rsidRPr="008D54A5">
        <w:rPr>
          <w:rFonts w:eastAsiaTheme="minorHAnsi"/>
        </w:rPr>
        <w:t>a</w:t>
      </w:r>
      <w:r w:rsidR="000C2CD8" w:rsidRPr="008D54A5">
        <w:rPr>
          <w:rFonts w:eastAsiaTheme="minorHAnsi"/>
        </w:rPr>
        <w:t>re close to the OBD event date.</w:t>
      </w:r>
      <w:r w:rsidR="00443422" w:rsidRPr="008D54A5">
        <w:rPr>
          <w:rFonts w:eastAsiaTheme="minorHAnsi"/>
        </w:rPr>
        <w:t xml:space="preserve"> </w:t>
      </w:r>
      <w:r w:rsidR="000C2CD8" w:rsidRPr="008D54A5">
        <w:rPr>
          <w:rFonts w:eastAsiaTheme="minorHAnsi"/>
        </w:rPr>
        <w:t xml:space="preserve">The logic for determining if an </w:t>
      </w:r>
      <w:r w:rsidR="00423FA0" w:rsidRPr="008D54A5">
        <w:rPr>
          <w:rFonts w:eastAsiaTheme="minorHAnsi"/>
        </w:rPr>
        <w:t>S-type</w:t>
      </w:r>
      <w:r w:rsidR="000C2CD8" w:rsidRPr="008D54A5">
        <w:rPr>
          <w:rFonts w:eastAsiaTheme="minorHAnsi"/>
        </w:rPr>
        <w:t xml:space="preserve"> OBD event </w:t>
      </w:r>
      <w:r w:rsidR="00FE28A9" w:rsidRPr="008D54A5">
        <w:rPr>
          <w:rFonts w:eastAsiaTheme="minorHAnsi"/>
        </w:rPr>
        <w:t>is</w:t>
      </w:r>
      <w:r w:rsidR="000C2CD8" w:rsidRPr="008D54A5">
        <w:rPr>
          <w:rFonts w:eastAsiaTheme="minorHAnsi"/>
        </w:rPr>
        <w:t xml:space="preserve"> an SBD </w:t>
      </w:r>
      <w:r w:rsidR="00FE28A9" w:rsidRPr="008D54A5">
        <w:rPr>
          <w:rFonts w:eastAsiaTheme="minorHAnsi"/>
        </w:rPr>
        <w:t xml:space="preserve">for a </w:t>
      </w:r>
      <w:r w:rsidR="009F0677">
        <w:rPr>
          <w:rFonts w:eastAsiaTheme="minorHAnsi"/>
        </w:rPr>
        <w:t>H</w:t>
      </w:r>
      <w:r w:rsidR="00FE28A9" w:rsidRPr="008D54A5">
        <w:rPr>
          <w:rFonts w:eastAsiaTheme="minorHAnsi"/>
        </w:rPr>
        <w:t>ospital event is</w:t>
      </w:r>
      <w:r w:rsidR="000C2CD8" w:rsidRPr="008D54A5">
        <w:rPr>
          <w:rFonts w:eastAsiaTheme="minorHAnsi"/>
        </w:rPr>
        <w:t xml:space="preserve"> as follows:</w:t>
      </w:r>
    </w:p>
    <w:p w14:paraId="5706FBAA" w14:textId="096086D5" w:rsidR="00446F05" w:rsidRPr="008D54A5" w:rsidRDefault="000C2CD8" w:rsidP="007A4CF4">
      <w:pPr>
        <w:pStyle w:val="bullets"/>
        <w:rPr>
          <w:rFonts w:eastAsiaTheme="minorHAnsi"/>
        </w:rPr>
      </w:pPr>
      <w:r w:rsidRPr="008D54A5">
        <w:rPr>
          <w:rFonts w:eastAsiaTheme="minorHAnsi"/>
        </w:rPr>
        <w:t>If the OBD event date occur</w:t>
      </w:r>
      <w:r w:rsidR="001A64FC" w:rsidRPr="008D54A5">
        <w:rPr>
          <w:rFonts w:eastAsiaTheme="minorHAnsi"/>
        </w:rPr>
        <w:t>s</w:t>
      </w:r>
      <w:r w:rsidRPr="008D54A5">
        <w:rPr>
          <w:rFonts w:eastAsiaTheme="minorHAnsi"/>
        </w:rPr>
        <w:t xml:space="preserve"> </w:t>
      </w:r>
      <w:r w:rsidR="005541AB" w:rsidRPr="008D54A5">
        <w:rPr>
          <w:rFonts w:eastAsiaTheme="minorHAnsi"/>
        </w:rPr>
        <w:t>sometimes</w:t>
      </w:r>
      <w:r w:rsidRPr="008D54A5">
        <w:rPr>
          <w:rFonts w:eastAsiaTheme="minorHAnsi"/>
        </w:rPr>
        <w:t xml:space="preserve"> within an inpatient </w:t>
      </w:r>
      <w:r w:rsidR="004857F3" w:rsidRPr="008D54A5">
        <w:rPr>
          <w:rFonts w:eastAsiaTheme="minorHAnsi"/>
        </w:rPr>
        <w:t>HS</w:t>
      </w:r>
      <w:r w:rsidRPr="008D54A5">
        <w:rPr>
          <w:rFonts w:eastAsiaTheme="minorHAnsi"/>
        </w:rPr>
        <w:t xml:space="preserve">, including the first and last days of the stay, it is considered an SBD for the </w:t>
      </w:r>
      <w:r w:rsidR="009F0677">
        <w:rPr>
          <w:rFonts w:eastAsiaTheme="minorHAnsi"/>
        </w:rPr>
        <w:t>H</w:t>
      </w:r>
      <w:r w:rsidRPr="008D54A5">
        <w:rPr>
          <w:rFonts w:eastAsiaTheme="minorHAnsi"/>
        </w:rPr>
        <w:t>ospital event.</w:t>
      </w:r>
    </w:p>
    <w:p w14:paraId="41F17ABB" w14:textId="2F69603E" w:rsidR="0020688F" w:rsidRPr="008D54A5" w:rsidRDefault="00FE28A9" w:rsidP="007A4CF4">
      <w:pPr>
        <w:pStyle w:val="bullets"/>
        <w:rPr>
          <w:rFonts w:eastAsiaTheme="minorHAnsi"/>
        </w:rPr>
      </w:pPr>
      <w:r w:rsidRPr="008D54A5">
        <w:rPr>
          <w:rFonts w:eastAsiaTheme="minorHAnsi"/>
        </w:rPr>
        <w:t xml:space="preserve">Otherwise, </w:t>
      </w:r>
      <w:r w:rsidR="00D46829" w:rsidRPr="008D54A5">
        <w:rPr>
          <w:rFonts w:eastAsiaTheme="minorHAnsi"/>
        </w:rPr>
        <w:t xml:space="preserve">if </w:t>
      </w:r>
      <w:r w:rsidR="000C2CD8" w:rsidRPr="008D54A5">
        <w:rPr>
          <w:rFonts w:eastAsiaTheme="minorHAnsi"/>
        </w:rPr>
        <w:t>the OBD event date occur</w:t>
      </w:r>
      <w:r w:rsidR="001A64FC" w:rsidRPr="008D54A5">
        <w:rPr>
          <w:rFonts w:eastAsiaTheme="minorHAnsi"/>
        </w:rPr>
        <w:t>s</w:t>
      </w:r>
      <w:r w:rsidR="000C2CD8" w:rsidRPr="008D54A5">
        <w:rPr>
          <w:rFonts w:eastAsiaTheme="minorHAnsi"/>
        </w:rPr>
        <w:t xml:space="preserve"> </w:t>
      </w:r>
      <w:r w:rsidR="00D46829" w:rsidRPr="008D54A5">
        <w:rPr>
          <w:rFonts w:eastAsiaTheme="minorHAnsi"/>
        </w:rPr>
        <w:t xml:space="preserve">1 </w:t>
      </w:r>
      <w:r w:rsidR="000C2CD8" w:rsidRPr="008D54A5">
        <w:rPr>
          <w:rFonts w:eastAsiaTheme="minorHAnsi"/>
        </w:rPr>
        <w:t xml:space="preserve">day before or </w:t>
      </w:r>
      <w:r w:rsidR="00D46829" w:rsidRPr="008D54A5">
        <w:rPr>
          <w:rFonts w:eastAsiaTheme="minorHAnsi"/>
        </w:rPr>
        <w:t xml:space="preserve">1 </w:t>
      </w:r>
      <w:r w:rsidR="000C2CD8" w:rsidRPr="008D54A5">
        <w:rPr>
          <w:rFonts w:eastAsiaTheme="minorHAnsi"/>
        </w:rPr>
        <w:t xml:space="preserve">day after an inpatient </w:t>
      </w:r>
      <w:r w:rsidR="004857F3" w:rsidRPr="008D54A5">
        <w:rPr>
          <w:rFonts w:eastAsiaTheme="minorHAnsi"/>
        </w:rPr>
        <w:t>HS</w:t>
      </w:r>
      <w:r w:rsidR="00D46829" w:rsidRPr="008D54A5">
        <w:rPr>
          <w:rFonts w:eastAsiaTheme="minorHAnsi"/>
        </w:rPr>
        <w:t>,</w:t>
      </w:r>
      <w:r w:rsidR="000C2CD8" w:rsidRPr="008D54A5">
        <w:rPr>
          <w:rFonts w:eastAsiaTheme="minorHAnsi"/>
        </w:rPr>
        <w:t xml:space="preserve"> it </w:t>
      </w:r>
      <w:r w:rsidRPr="008D54A5">
        <w:rPr>
          <w:rFonts w:eastAsiaTheme="minorHAnsi"/>
        </w:rPr>
        <w:t>is</w:t>
      </w:r>
      <w:r w:rsidR="000C2CD8" w:rsidRPr="008D54A5">
        <w:rPr>
          <w:rFonts w:eastAsiaTheme="minorHAnsi"/>
        </w:rPr>
        <w:t xml:space="preserve"> considered an SBD for the </w:t>
      </w:r>
      <w:r w:rsidR="009F0677">
        <w:rPr>
          <w:rFonts w:eastAsiaTheme="minorHAnsi"/>
        </w:rPr>
        <w:t>H</w:t>
      </w:r>
      <w:r w:rsidRPr="008D54A5">
        <w:rPr>
          <w:rFonts w:eastAsiaTheme="minorHAnsi"/>
        </w:rPr>
        <w:t xml:space="preserve">ospital </w:t>
      </w:r>
      <w:r w:rsidR="000C2CD8" w:rsidRPr="008D54A5">
        <w:rPr>
          <w:rFonts w:eastAsiaTheme="minorHAnsi"/>
        </w:rPr>
        <w:t>event.</w:t>
      </w:r>
    </w:p>
    <w:p w14:paraId="67FE26D5" w14:textId="5721473C" w:rsidR="00443422" w:rsidRPr="008D54A5" w:rsidRDefault="00FE28A9" w:rsidP="007A4CF4">
      <w:pPr>
        <w:pStyle w:val="bullets"/>
        <w:rPr>
          <w:rFonts w:eastAsiaTheme="minorHAnsi"/>
        </w:rPr>
      </w:pPr>
      <w:r w:rsidRPr="008D54A5">
        <w:rPr>
          <w:rFonts w:eastAsiaTheme="minorHAnsi"/>
        </w:rPr>
        <w:t xml:space="preserve">Otherwise, </w:t>
      </w:r>
      <w:r w:rsidR="00D46829" w:rsidRPr="008D54A5">
        <w:rPr>
          <w:rFonts w:eastAsiaTheme="minorHAnsi"/>
        </w:rPr>
        <w:t xml:space="preserve">if </w:t>
      </w:r>
      <w:r w:rsidR="000C2CD8" w:rsidRPr="008D54A5">
        <w:rPr>
          <w:rFonts w:eastAsiaTheme="minorHAnsi"/>
        </w:rPr>
        <w:t>the OBD event date occur</w:t>
      </w:r>
      <w:r w:rsidR="001A64FC" w:rsidRPr="008D54A5">
        <w:rPr>
          <w:rFonts w:eastAsiaTheme="minorHAnsi"/>
        </w:rPr>
        <w:t>s</w:t>
      </w:r>
      <w:r w:rsidR="000C2CD8" w:rsidRPr="008D54A5">
        <w:rPr>
          <w:rFonts w:eastAsiaTheme="minorHAnsi"/>
        </w:rPr>
        <w:t xml:space="preserve"> on the first day of an ER/OP </w:t>
      </w:r>
      <w:r w:rsidR="007A2832" w:rsidRPr="008D54A5">
        <w:rPr>
          <w:rFonts w:eastAsiaTheme="minorHAnsi"/>
        </w:rPr>
        <w:t>H</w:t>
      </w:r>
      <w:r w:rsidR="00350AE3" w:rsidRPr="008D54A5">
        <w:rPr>
          <w:rFonts w:eastAsiaTheme="minorHAnsi"/>
        </w:rPr>
        <w:t>ospital</w:t>
      </w:r>
      <w:r w:rsidR="000C2CD8" w:rsidRPr="008D54A5">
        <w:rPr>
          <w:rFonts w:eastAsiaTheme="minorHAnsi"/>
        </w:rPr>
        <w:t xml:space="preserve"> event</w:t>
      </w:r>
      <w:r w:rsidR="00D46829" w:rsidRPr="008D54A5">
        <w:rPr>
          <w:rFonts w:eastAsiaTheme="minorHAnsi"/>
        </w:rPr>
        <w:t>,</w:t>
      </w:r>
      <w:r w:rsidR="000C2CD8" w:rsidRPr="008D54A5">
        <w:rPr>
          <w:rFonts w:eastAsiaTheme="minorHAnsi"/>
        </w:rPr>
        <w:t xml:space="preserve"> the OBD event </w:t>
      </w:r>
      <w:r w:rsidRPr="008D54A5">
        <w:rPr>
          <w:rFonts w:eastAsiaTheme="minorHAnsi"/>
        </w:rPr>
        <w:t>is</w:t>
      </w:r>
      <w:r w:rsidR="000C2CD8" w:rsidRPr="008D54A5">
        <w:rPr>
          <w:rFonts w:eastAsiaTheme="minorHAnsi"/>
        </w:rPr>
        <w:t xml:space="preserve"> considered an SBD for the </w:t>
      </w:r>
      <w:r w:rsidR="009F0677">
        <w:rPr>
          <w:rFonts w:eastAsiaTheme="minorHAnsi"/>
        </w:rPr>
        <w:t>H</w:t>
      </w:r>
      <w:r w:rsidRPr="008D54A5">
        <w:rPr>
          <w:rFonts w:eastAsiaTheme="minorHAnsi"/>
        </w:rPr>
        <w:t xml:space="preserve">ospital </w:t>
      </w:r>
      <w:r w:rsidR="000C2CD8" w:rsidRPr="008D54A5">
        <w:rPr>
          <w:rFonts w:eastAsiaTheme="minorHAnsi"/>
        </w:rPr>
        <w:t>event</w:t>
      </w:r>
      <w:r w:rsidR="00D46829" w:rsidRPr="008D54A5">
        <w:rPr>
          <w:rFonts w:eastAsiaTheme="minorHAnsi"/>
        </w:rPr>
        <w:t>.</w:t>
      </w:r>
    </w:p>
    <w:p w14:paraId="1C249D7C" w14:textId="32B6A8EE" w:rsidR="0020688F" w:rsidRPr="008D54A5" w:rsidRDefault="00FE28A9" w:rsidP="007B19FD">
      <w:pPr>
        <w:pStyle w:val="bullets"/>
        <w:rPr>
          <w:rFonts w:eastAsiaTheme="minorHAnsi"/>
        </w:rPr>
      </w:pPr>
      <w:r w:rsidRPr="008D54A5">
        <w:rPr>
          <w:rFonts w:eastAsiaTheme="minorHAnsi"/>
        </w:rPr>
        <w:t xml:space="preserve">Otherwise, </w:t>
      </w:r>
      <w:r w:rsidR="00D46829" w:rsidRPr="008D54A5">
        <w:rPr>
          <w:rFonts w:eastAsiaTheme="minorHAnsi"/>
        </w:rPr>
        <w:t xml:space="preserve">if </w:t>
      </w:r>
      <w:r w:rsidR="000C2CD8" w:rsidRPr="008D54A5">
        <w:rPr>
          <w:rFonts w:eastAsiaTheme="minorHAnsi"/>
        </w:rPr>
        <w:t>the OBD event date occur</w:t>
      </w:r>
      <w:r w:rsidR="001A64FC" w:rsidRPr="008D54A5">
        <w:rPr>
          <w:rFonts w:eastAsiaTheme="minorHAnsi"/>
        </w:rPr>
        <w:t>s</w:t>
      </w:r>
      <w:r w:rsidR="000C2CD8" w:rsidRPr="008D54A5">
        <w:rPr>
          <w:rFonts w:eastAsiaTheme="minorHAnsi"/>
        </w:rPr>
        <w:t xml:space="preserve"> </w:t>
      </w:r>
      <w:r w:rsidR="00D46829" w:rsidRPr="008D54A5">
        <w:rPr>
          <w:rFonts w:eastAsiaTheme="minorHAnsi"/>
        </w:rPr>
        <w:t xml:space="preserve">1 </w:t>
      </w:r>
      <w:r w:rsidR="000C2CD8" w:rsidRPr="008D54A5">
        <w:rPr>
          <w:rFonts w:eastAsiaTheme="minorHAnsi"/>
        </w:rPr>
        <w:t xml:space="preserve">day before or </w:t>
      </w:r>
      <w:r w:rsidR="00D46829" w:rsidRPr="008D54A5">
        <w:rPr>
          <w:rFonts w:eastAsiaTheme="minorHAnsi"/>
        </w:rPr>
        <w:t xml:space="preserve">1 </w:t>
      </w:r>
      <w:r w:rsidR="000C2CD8" w:rsidRPr="008D54A5">
        <w:rPr>
          <w:rFonts w:eastAsiaTheme="minorHAnsi"/>
        </w:rPr>
        <w:t xml:space="preserve">day after an ER/OP </w:t>
      </w:r>
      <w:r w:rsidR="00350AE3" w:rsidRPr="008D54A5">
        <w:rPr>
          <w:rFonts w:eastAsiaTheme="minorHAnsi"/>
        </w:rPr>
        <w:t>hospital</w:t>
      </w:r>
      <w:r w:rsidR="000C2CD8" w:rsidRPr="008D54A5">
        <w:rPr>
          <w:rFonts w:eastAsiaTheme="minorHAnsi"/>
        </w:rPr>
        <w:t xml:space="preserve"> event</w:t>
      </w:r>
      <w:r w:rsidR="00D46829" w:rsidRPr="008D54A5">
        <w:rPr>
          <w:rFonts w:eastAsiaTheme="minorHAnsi"/>
        </w:rPr>
        <w:t>,</w:t>
      </w:r>
      <w:r w:rsidR="000C2CD8" w:rsidRPr="008D54A5">
        <w:rPr>
          <w:rFonts w:eastAsiaTheme="minorHAnsi"/>
        </w:rPr>
        <w:t xml:space="preserve"> the OBD event </w:t>
      </w:r>
      <w:r w:rsidRPr="008D54A5">
        <w:rPr>
          <w:rFonts w:eastAsiaTheme="minorHAnsi"/>
        </w:rPr>
        <w:t>is</w:t>
      </w:r>
      <w:r w:rsidR="000C2CD8" w:rsidRPr="008D54A5">
        <w:rPr>
          <w:rFonts w:eastAsiaTheme="minorHAnsi"/>
        </w:rPr>
        <w:t xml:space="preserve"> considered an SBD for the </w:t>
      </w:r>
      <w:r w:rsidR="009F0677">
        <w:rPr>
          <w:rFonts w:eastAsiaTheme="minorHAnsi"/>
        </w:rPr>
        <w:t>H</w:t>
      </w:r>
      <w:r w:rsidRPr="008D54A5">
        <w:rPr>
          <w:rFonts w:eastAsiaTheme="minorHAnsi"/>
        </w:rPr>
        <w:t xml:space="preserve">ospital </w:t>
      </w:r>
      <w:r w:rsidR="000C2CD8" w:rsidRPr="008D54A5">
        <w:rPr>
          <w:rFonts w:eastAsiaTheme="minorHAnsi"/>
        </w:rPr>
        <w:t>event.</w:t>
      </w:r>
    </w:p>
    <w:p w14:paraId="61B326DD" w14:textId="330454AC" w:rsidR="0020688F" w:rsidRPr="008D54A5" w:rsidRDefault="00624837" w:rsidP="007347D6">
      <w:pPr>
        <w:pStyle w:val="BodyText"/>
        <w:rPr>
          <w:rFonts w:eastAsiaTheme="minorHAnsi"/>
        </w:rPr>
      </w:pPr>
      <w:r w:rsidRPr="008D54A5">
        <w:rPr>
          <w:rFonts w:eastAsiaTheme="minorHAnsi"/>
        </w:rPr>
        <w:lastRenderedPageBreak/>
        <w:t xml:space="preserve">Because </w:t>
      </w:r>
      <w:r w:rsidR="000C2CD8" w:rsidRPr="008D54A5">
        <w:rPr>
          <w:rFonts w:eastAsiaTheme="minorHAnsi"/>
        </w:rPr>
        <w:t>an S-type OBD event c</w:t>
      </w:r>
      <w:r w:rsidR="00FE28A9" w:rsidRPr="008D54A5">
        <w:rPr>
          <w:rFonts w:eastAsiaTheme="minorHAnsi"/>
        </w:rPr>
        <w:t>an</w:t>
      </w:r>
      <w:r w:rsidR="000C2CD8" w:rsidRPr="008D54A5">
        <w:rPr>
          <w:rFonts w:eastAsiaTheme="minorHAnsi"/>
        </w:rPr>
        <w:t xml:space="preserve"> be linked to more than one </w:t>
      </w:r>
      <w:r w:rsidR="009F0677">
        <w:rPr>
          <w:rFonts w:eastAsiaTheme="minorHAnsi"/>
        </w:rPr>
        <w:t>H</w:t>
      </w:r>
      <w:r w:rsidR="000C2CD8" w:rsidRPr="008D54A5">
        <w:rPr>
          <w:rFonts w:eastAsiaTheme="minorHAnsi"/>
        </w:rPr>
        <w:t>ospital event, a priority</w:t>
      </w:r>
      <w:r w:rsidR="00FE28A9" w:rsidRPr="008D54A5">
        <w:rPr>
          <w:rFonts w:eastAsiaTheme="minorHAnsi"/>
        </w:rPr>
        <w:t xml:space="preserve"> is assigned to </w:t>
      </w:r>
      <w:r w:rsidR="00EF1779" w:rsidRPr="008D54A5">
        <w:rPr>
          <w:rFonts w:eastAsiaTheme="minorHAnsi"/>
        </w:rPr>
        <w:t xml:space="preserve">the </w:t>
      </w:r>
      <w:r w:rsidR="000C2CD8" w:rsidRPr="008D54A5">
        <w:rPr>
          <w:rFonts w:eastAsiaTheme="minorHAnsi"/>
        </w:rPr>
        <w:t xml:space="preserve">hospital event to </w:t>
      </w:r>
      <w:r w:rsidR="00EF1779" w:rsidRPr="008D54A5">
        <w:rPr>
          <w:rFonts w:eastAsiaTheme="minorHAnsi"/>
        </w:rPr>
        <w:t xml:space="preserve">which the </w:t>
      </w:r>
      <w:r w:rsidR="000C2CD8" w:rsidRPr="008D54A5">
        <w:rPr>
          <w:rFonts w:eastAsiaTheme="minorHAnsi"/>
        </w:rPr>
        <w:t xml:space="preserve">S-type OBD event </w:t>
      </w:r>
      <w:r w:rsidR="00EF1779" w:rsidRPr="008D54A5">
        <w:rPr>
          <w:rFonts w:eastAsiaTheme="minorHAnsi"/>
        </w:rPr>
        <w:t>is linked</w:t>
      </w:r>
      <w:r w:rsidR="000C2CD8" w:rsidRPr="008D54A5">
        <w:rPr>
          <w:rFonts w:eastAsiaTheme="minorHAnsi"/>
        </w:rPr>
        <w:t xml:space="preserve"> above by the </w:t>
      </w:r>
      <w:r w:rsidR="00EF1779" w:rsidRPr="008D54A5">
        <w:rPr>
          <w:rFonts w:eastAsiaTheme="minorHAnsi"/>
        </w:rPr>
        <w:t>numbering (1 to 4)</w:t>
      </w:r>
      <w:r w:rsidR="001A64FC" w:rsidRPr="008D54A5">
        <w:rPr>
          <w:rFonts w:eastAsiaTheme="minorHAnsi"/>
        </w:rPr>
        <w:t xml:space="preserve">. </w:t>
      </w:r>
      <w:r w:rsidR="000C2CD8" w:rsidRPr="008D54A5">
        <w:rPr>
          <w:rFonts w:eastAsiaTheme="minorHAnsi"/>
        </w:rPr>
        <w:t xml:space="preserve">The priority means that an S-type OBD event </w:t>
      </w:r>
      <w:r w:rsidR="00EE42BB" w:rsidRPr="008D54A5">
        <w:rPr>
          <w:rFonts w:eastAsiaTheme="minorHAnsi"/>
        </w:rPr>
        <w:t xml:space="preserve">is linked </w:t>
      </w:r>
      <w:r w:rsidR="000C2CD8" w:rsidRPr="008D54A5">
        <w:rPr>
          <w:rFonts w:eastAsiaTheme="minorHAnsi"/>
        </w:rPr>
        <w:t xml:space="preserve">to an inpatient stay if possible; otherwise, </w:t>
      </w:r>
      <w:r w:rsidR="00EE42BB" w:rsidRPr="008D54A5">
        <w:rPr>
          <w:rFonts w:eastAsiaTheme="minorHAnsi"/>
        </w:rPr>
        <w:t>the S-type OBD event is attempted to be linked</w:t>
      </w:r>
      <w:r w:rsidR="000C2CD8" w:rsidRPr="008D54A5">
        <w:rPr>
          <w:rFonts w:eastAsiaTheme="minorHAnsi"/>
        </w:rPr>
        <w:t xml:space="preserve"> to a</w:t>
      </w:r>
      <w:r w:rsidRPr="008D54A5">
        <w:rPr>
          <w:rFonts w:eastAsiaTheme="minorHAnsi"/>
        </w:rPr>
        <w:t>n</w:t>
      </w:r>
      <w:r w:rsidR="000C2CD8" w:rsidRPr="008D54A5">
        <w:rPr>
          <w:rFonts w:eastAsiaTheme="minorHAnsi"/>
        </w:rPr>
        <w:t xml:space="preserve"> ER/OP event.</w:t>
      </w:r>
      <w:r w:rsidR="001A4C10" w:rsidRPr="008D54A5">
        <w:rPr>
          <w:rFonts w:eastAsiaTheme="minorHAnsi"/>
        </w:rPr>
        <w:t xml:space="preserve"> Since 2010, a</w:t>
      </w:r>
      <w:r w:rsidR="000C2CD8" w:rsidRPr="008D54A5">
        <w:rPr>
          <w:rFonts w:eastAsiaTheme="minorHAnsi"/>
        </w:rPr>
        <w:t xml:space="preserve">ll </w:t>
      </w:r>
      <w:r w:rsidR="00423FA0" w:rsidRPr="008D54A5">
        <w:rPr>
          <w:rFonts w:eastAsiaTheme="minorHAnsi"/>
        </w:rPr>
        <w:t>S-type</w:t>
      </w:r>
      <w:r w:rsidR="000C2CD8" w:rsidRPr="008D54A5">
        <w:rPr>
          <w:rFonts w:eastAsiaTheme="minorHAnsi"/>
        </w:rPr>
        <w:t xml:space="preserve"> OBD events </w:t>
      </w:r>
      <w:r w:rsidR="00B05675" w:rsidRPr="008D54A5">
        <w:rPr>
          <w:rFonts w:eastAsiaTheme="minorHAnsi"/>
        </w:rPr>
        <w:t>are</w:t>
      </w:r>
      <w:r w:rsidR="000C2CD8" w:rsidRPr="008D54A5">
        <w:rPr>
          <w:rFonts w:eastAsiaTheme="minorHAnsi"/>
        </w:rPr>
        <w:t xml:space="preserve"> considered ineligible for matching</w:t>
      </w:r>
      <w:r w:rsidR="00CF6838" w:rsidRPr="008D54A5">
        <w:rPr>
          <w:rFonts w:eastAsiaTheme="minorHAnsi"/>
        </w:rPr>
        <w:t xml:space="preserve"> regardless of whether they c</w:t>
      </w:r>
      <w:r w:rsidR="00B05675" w:rsidRPr="008D54A5">
        <w:rPr>
          <w:rFonts w:eastAsiaTheme="minorHAnsi"/>
        </w:rPr>
        <w:t>an</w:t>
      </w:r>
      <w:r w:rsidR="00CF6838" w:rsidRPr="008D54A5">
        <w:rPr>
          <w:rFonts w:eastAsiaTheme="minorHAnsi"/>
        </w:rPr>
        <w:t xml:space="preserve"> be linked to a </w:t>
      </w:r>
      <w:proofErr w:type="gramStart"/>
      <w:r w:rsidR="009F0677">
        <w:rPr>
          <w:rFonts w:eastAsiaTheme="minorHAnsi"/>
        </w:rPr>
        <w:t>H</w:t>
      </w:r>
      <w:r w:rsidR="00CF6838" w:rsidRPr="008D54A5">
        <w:rPr>
          <w:rFonts w:eastAsiaTheme="minorHAnsi"/>
        </w:rPr>
        <w:t>ospital</w:t>
      </w:r>
      <w:proofErr w:type="gramEnd"/>
      <w:r w:rsidR="00CF6838" w:rsidRPr="008D54A5">
        <w:rPr>
          <w:rFonts w:eastAsiaTheme="minorHAnsi"/>
        </w:rPr>
        <w:t xml:space="preserve"> event</w:t>
      </w:r>
      <w:r w:rsidR="00A25201" w:rsidRPr="008D54A5">
        <w:rPr>
          <w:rFonts w:eastAsiaTheme="minorHAnsi"/>
        </w:rPr>
        <w:t>.</w:t>
      </w:r>
    </w:p>
    <w:p w14:paraId="30E6C779" w14:textId="18898324" w:rsidR="001A64FC" w:rsidRPr="008D54A5" w:rsidRDefault="000C2CD8" w:rsidP="00367EDD">
      <w:pPr>
        <w:pStyle w:val="BodyText"/>
        <w:rPr>
          <w:rFonts w:eastAsiaTheme="minorHAnsi"/>
        </w:rPr>
      </w:pPr>
      <w:r w:rsidRPr="008D54A5">
        <w:rPr>
          <w:rFonts w:eastAsiaTheme="minorHAnsi"/>
        </w:rPr>
        <w:t>Non</w:t>
      </w:r>
      <w:r w:rsidR="00027C80" w:rsidRPr="008D54A5">
        <w:rPr>
          <w:rFonts w:eastAsiaTheme="minorHAnsi"/>
        </w:rPr>
        <w:t>–</w:t>
      </w:r>
      <w:r w:rsidR="00423FA0" w:rsidRPr="008D54A5">
        <w:rPr>
          <w:rFonts w:eastAsiaTheme="minorHAnsi"/>
        </w:rPr>
        <w:t>S-type</w:t>
      </w:r>
      <w:r w:rsidRPr="008D54A5">
        <w:rPr>
          <w:rFonts w:eastAsiaTheme="minorHAnsi"/>
        </w:rPr>
        <w:t xml:space="preserve"> OBD </w:t>
      </w:r>
      <w:r w:rsidR="00350AE3" w:rsidRPr="008D54A5">
        <w:rPr>
          <w:rFonts w:eastAsiaTheme="minorHAnsi"/>
        </w:rPr>
        <w:t>e</w:t>
      </w:r>
      <w:r w:rsidRPr="008D54A5">
        <w:rPr>
          <w:rFonts w:eastAsiaTheme="minorHAnsi"/>
        </w:rPr>
        <w:t>vents (</w:t>
      </w:r>
      <w:r w:rsidR="00443422" w:rsidRPr="008D54A5">
        <w:rPr>
          <w:rFonts w:eastAsiaTheme="minorHAnsi"/>
        </w:rPr>
        <w:t xml:space="preserve">i.e., </w:t>
      </w:r>
      <w:r w:rsidR="00624837" w:rsidRPr="008D54A5">
        <w:rPr>
          <w:rFonts w:eastAsiaTheme="minorHAnsi"/>
        </w:rPr>
        <w:t xml:space="preserve">medical visit </w:t>
      </w:r>
      <w:r w:rsidRPr="008D54A5">
        <w:rPr>
          <w:rFonts w:eastAsiaTheme="minorHAnsi"/>
        </w:rPr>
        <w:t xml:space="preserve">events) are also examined and classified as SBDs if the date of the OBD event and dates of </w:t>
      </w:r>
      <w:r w:rsidR="007A2832" w:rsidRPr="008D54A5">
        <w:rPr>
          <w:rFonts w:eastAsiaTheme="minorHAnsi"/>
        </w:rPr>
        <w:t>H</w:t>
      </w:r>
      <w:r w:rsidR="00350AE3" w:rsidRPr="008D54A5">
        <w:rPr>
          <w:rFonts w:eastAsiaTheme="minorHAnsi"/>
        </w:rPr>
        <w:t>ospital</w:t>
      </w:r>
      <w:r w:rsidRPr="008D54A5">
        <w:rPr>
          <w:rFonts w:eastAsiaTheme="minorHAnsi"/>
        </w:rPr>
        <w:t xml:space="preserve"> events are close or concurrent. Specifically, if the OBD event is strictly within an inpatient </w:t>
      </w:r>
      <w:r w:rsidR="004857F3" w:rsidRPr="008D54A5">
        <w:rPr>
          <w:rFonts w:eastAsiaTheme="minorHAnsi"/>
        </w:rPr>
        <w:t>HS</w:t>
      </w:r>
      <w:r w:rsidRPr="008D54A5">
        <w:rPr>
          <w:rFonts w:eastAsiaTheme="minorHAnsi"/>
        </w:rPr>
        <w:t xml:space="preserve"> (i.e., it does not equal the first day or the last day, but equals one of the days in between)</w:t>
      </w:r>
      <w:r w:rsidR="00624837" w:rsidRPr="008D54A5">
        <w:rPr>
          <w:rFonts w:eastAsiaTheme="minorHAnsi"/>
        </w:rPr>
        <w:t>,</w:t>
      </w:r>
      <w:r w:rsidRPr="008D54A5">
        <w:rPr>
          <w:rFonts w:eastAsiaTheme="minorHAnsi"/>
        </w:rPr>
        <w:t xml:space="preserve"> then the OBD </w:t>
      </w:r>
      <w:r w:rsidR="005541AB" w:rsidRPr="008D54A5">
        <w:rPr>
          <w:rFonts w:eastAsiaTheme="minorHAnsi"/>
        </w:rPr>
        <w:t>is</w:t>
      </w:r>
      <w:r w:rsidRPr="008D54A5">
        <w:rPr>
          <w:rFonts w:eastAsiaTheme="minorHAnsi"/>
        </w:rPr>
        <w:t xml:space="preserve"> an SBD for the event</w:t>
      </w:r>
      <w:r w:rsidR="00624837" w:rsidRPr="008D54A5">
        <w:rPr>
          <w:rFonts w:eastAsiaTheme="minorHAnsi"/>
        </w:rPr>
        <w:t>.</w:t>
      </w:r>
    </w:p>
    <w:p w14:paraId="207F48F9" w14:textId="231414AC" w:rsidR="001A64FC" w:rsidRPr="008D54A5" w:rsidRDefault="001A64FC" w:rsidP="00DD4425">
      <w:pPr>
        <w:pStyle w:val="Heading2"/>
      </w:pPr>
      <w:bookmarkStart w:id="55" w:name="_Toc127287273"/>
      <w:bookmarkStart w:id="56" w:name="_Toc160529599"/>
      <w:bookmarkStart w:id="57" w:name="_Toc189128086"/>
      <w:r w:rsidRPr="008D54A5">
        <w:t>Editing SBD Data</w:t>
      </w:r>
      <w:bookmarkEnd w:id="55"/>
      <w:bookmarkEnd w:id="56"/>
      <w:bookmarkEnd w:id="57"/>
    </w:p>
    <w:p w14:paraId="4E1F2E08" w14:textId="483111D1" w:rsidR="00813973" w:rsidRPr="008D54A5" w:rsidRDefault="00F66AD2" w:rsidP="00E75D33">
      <w:pPr>
        <w:pStyle w:val="BodyText"/>
      </w:pPr>
      <w:r w:rsidRPr="008D54A5">
        <w:t xml:space="preserve">Numerous edits </w:t>
      </w:r>
      <w:r w:rsidR="001A64FC" w:rsidRPr="008D54A5">
        <w:t xml:space="preserve">are </w:t>
      </w:r>
      <w:r w:rsidRPr="008D54A5">
        <w:t xml:space="preserve">performed to prepare the SBD data file for delivery. The SBD </w:t>
      </w:r>
      <w:r w:rsidR="0012779D" w:rsidRPr="008D54A5">
        <w:t xml:space="preserve">file </w:t>
      </w:r>
      <w:r w:rsidRPr="008D54A5">
        <w:t xml:space="preserve">contains data pertaining to </w:t>
      </w:r>
      <w:r w:rsidR="009F0677">
        <w:t>H</w:t>
      </w:r>
      <w:r w:rsidRPr="008D54A5">
        <w:t xml:space="preserve">ospital events where a physician billed separately from the hospital, for services provided during the hospital event. For example, </w:t>
      </w:r>
      <w:r w:rsidR="007F51A8" w:rsidRPr="008D54A5">
        <w:t xml:space="preserve">a </w:t>
      </w:r>
      <w:r w:rsidRPr="008D54A5">
        <w:t xml:space="preserve">surgeon, anesthesiologist, or primary care physician could see a patient </w:t>
      </w:r>
      <w:r w:rsidR="00477129" w:rsidRPr="008D54A5">
        <w:t xml:space="preserve">more than one </w:t>
      </w:r>
      <w:r w:rsidRPr="008D54A5">
        <w:t>time during a hospital event, and each of these doctors may bill separately for their services.</w:t>
      </w:r>
    </w:p>
    <w:p w14:paraId="1D35BDE1" w14:textId="38DE18F4" w:rsidR="00443422" w:rsidRPr="008D54A5" w:rsidRDefault="00F66AD2" w:rsidP="00E75D33">
      <w:pPr>
        <w:pStyle w:val="BodyText"/>
      </w:pPr>
      <w:r w:rsidRPr="008D54A5">
        <w:t xml:space="preserve">The hospital event by </w:t>
      </w:r>
      <w:r w:rsidR="00613C37" w:rsidRPr="008D54A5">
        <w:t xml:space="preserve">an </w:t>
      </w:r>
      <w:r w:rsidR="00F027F5" w:rsidRPr="008D54A5">
        <w:t>SBD</w:t>
      </w:r>
      <w:r w:rsidRPr="008D54A5">
        <w:t xml:space="preserve"> </w:t>
      </w:r>
      <w:r w:rsidR="00B05675" w:rsidRPr="008D54A5">
        <w:t xml:space="preserve">combination </w:t>
      </w:r>
      <w:r w:rsidRPr="008D54A5">
        <w:t xml:space="preserve">(e.g., physician) is referred to as an </w:t>
      </w:r>
      <w:r w:rsidRPr="008D54A5">
        <w:rPr>
          <w:b/>
        </w:rPr>
        <w:t xml:space="preserve">SBD </w:t>
      </w:r>
      <w:r w:rsidR="009F2195" w:rsidRPr="008D54A5">
        <w:rPr>
          <w:b/>
        </w:rPr>
        <w:t>n</w:t>
      </w:r>
      <w:r w:rsidRPr="008D54A5">
        <w:rPr>
          <w:b/>
        </w:rPr>
        <w:t>ode</w:t>
      </w:r>
      <w:r w:rsidRPr="008D54A5">
        <w:t xml:space="preserve"> in MEPS. As noted above, each SBD </w:t>
      </w:r>
      <w:r w:rsidRPr="008D54A5">
        <w:rPr>
          <w:szCs w:val="24"/>
        </w:rPr>
        <w:t>n</w:t>
      </w:r>
      <w:r w:rsidRPr="008D54A5">
        <w:t xml:space="preserve">ode could have several visits during an inpatient stay, and each visit may be charged separately. Each visit provided by an SBD </w:t>
      </w:r>
      <w:r w:rsidR="00624837" w:rsidRPr="008D54A5">
        <w:t>n</w:t>
      </w:r>
      <w:r w:rsidRPr="008D54A5">
        <w:t xml:space="preserve">ode is </w:t>
      </w:r>
      <w:r w:rsidR="00624837" w:rsidRPr="008D54A5">
        <w:t>known</w:t>
      </w:r>
      <w:r w:rsidRPr="008D54A5">
        <w:t xml:space="preserve"> as an </w:t>
      </w:r>
      <w:r w:rsidR="0092605C" w:rsidRPr="008D54A5">
        <w:rPr>
          <w:b/>
        </w:rPr>
        <w:t>SBD e</w:t>
      </w:r>
      <w:r w:rsidRPr="008D54A5">
        <w:rPr>
          <w:b/>
        </w:rPr>
        <w:t>ncounter</w:t>
      </w:r>
      <w:r w:rsidRPr="008D54A5">
        <w:t xml:space="preserve"> in </w:t>
      </w:r>
      <w:r w:rsidR="00867B3C" w:rsidRPr="008D54A5">
        <w:t xml:space="preserve">the </w:t>
      </w:r>
      <w:r w:rsidRPr="008D54A5">
        <w:t>MEPS</w:t>
      </w:r>
      <w:r w:rsidR="00867B3C" w:rsidRPr="008D54A5">
        <w:t xml:space="preserve"> MPC</w:t>
      </w:r>
      <w:r w:rsidRPr="008D54A5">
        <w:t>.</w:t>
      </w:r>
    </w:p>
    <w:p w14:paraId="31C21377" w14:textId="41D385B9" w:rsidR="007F577A" w:rsidRPr="008D54A5" w:rsidRDefault="009F2195" w:rsidP="009F2195">
      <w:pPr>
        <w:pStyle w:val="BodyText"/>
      </w:pPr>
      <w:r w:rsidRPr="008D54A5">
        <w:t xml:space="preserve">Edits </w:t>
      </w:r>
      <w:r w:rsidR="007F51A8" w:rsidRPr="008D54A5">
        <w:t xml:space="preserve">are </w:t>
      </w:r>
      <w:r w:rsidRPr="008D54A5">
        <w:t xml:space="preserve">first performed to the </w:t>
      </w:r>
      <w:r w:rsidR="00F66AD2" w:rsidRPr="008D54A5">
        <w:t>encounter-level file (</w:t>
      </w:r>
      <w:r w:rsidR="00F66AD2" w:rsidRPr="008D54A5">
        <w:rPr>
          <w:b/>
        </w:rPr>
        <w:t xml:space="preserve">SBDENCTR </w:t>
      </w:r>
      <w:r w:rsidR="00F66AD2" w:rsidRPr="008D54A5">
        <w:t>is the name of the encounter-level file)</w:t>
      </w:r>
      <w:r w:rsidRPr="008D54A5">
        <w:t xml:space="preserve">. The encounter-level file </w:t>
      </w:r>
      <w:r w:rsidR="007F51A8" w:rsidRPr="008D54A5">
        <w:t>i</w:t>
      </w:r>
      <w:r w:rsidRPr="008D54A5">
        <w:t>s then summarized to the nod</w:t>
      </w:r>
      <w:r w:rsidR="0092605C" w:rsidRPr="008D54A5">
        <w:t>e</w:t>
      </w:r>
      <w:r w:rsidR="00624837" w:rsidRPr="008D54A5">
        <w:t xml:space="preserve"> </w:t>
      </w:r>
      <w:r w:rsidRPr="008D54A5">
        <w:t xml:space="preserve">level, and </w:t>
      </w:r>
      <w:r w:rsidR="0092605C" w:rsidRPr="008D54A5">
        <w:t>a</w:t>
      </w:r>
      <w:r w:rsidR="00F66AD2" w:rsidRPr="008D54A5">
        <w:t xml:space="preserve">dditional edits </w:t>
      </w:r>
      <w:r w:rsidR="007F51A8" w:rsidRPr="008D54A5">
        <w:t>a</w:t>
      </w:r>
      <w:r w:rsidRPr="008D54A5">
        <w:t>re performed</w:t>
      </w:r>
      <w:r w:rsidR="00F66AD2" w:rsidRPr="008D54A5">
        <w:t xml:space="preserve"> (</w:t>
      </w:r>
      <w:r w:rsidR="00F66AD2" w:rsidRPr="008D54A5">
        <w:rPr>
          <w:b/>
        </w:rPr>
        <w:t>SBD_SUM2</w:t>
      </w:r>
      <w:r w:rsidR="00F66AD2" w:rsidRPr="008D54A5">
        <w:t xml:space="preserve"> is the name of the node-level file). Edits at both the encounter and node</w:t>
      </w:r>
      <w:r w:rsidR="001631A9" w:rsidRPr="008D54A5">
        <w:t xml:space="preserve"> </w:t>
      </w:r>
      <w:r w:rsidR="00F66AD2" w:rsidRPr="008D54A5">
        <w:t>levels are discussed in this section.</w:t>
      </w:r>
    </w:p>
    <w:p w14:paraId="7D7194F1" w14:textId="162B3806" w:rsidR="00813973" w:rsidRPr="008D54A5" w:rsidRDefault="00F66AD2" w:rsidP="00245172">
      <w:pPr>
        <w:pStyle w:val="Heading3"/>
      </w:pPr>
      <w:bookmarkStart w:id="58" w:name="_Toc127287274"/>
      <w:bookmarkStart w:id="59" w:name="_Toc160529600"/>
      <w:bookmarkStart w:id="60" w:name="_Toc189128087"/>
      <w:r w:rsidRPr="008D54A5">
        <w:rPr>
          <w:rFonts w:cs="Arial"/>
          <w:szCs w:val="24"/>
        </w:rPr>
        <w:t>SBD Encounter-Level Data Edits</w:t>
      </w:r>
      <w:bookmarkEnd w:id="58"/>
      <w:bookmarkEnd w:id="59"/>
      <w:bookmarkEnd w:id="60"/>
    </w:p>
    <w:p w14:paraId="096BE428" w14:textId="7698D36A" w:rsidR="00031258" w:rsidRPr="008D54A5" w:rsidRDefault="00624837" w:rsidP="00367EDD">
      <w:pPr>
        <w:pStyle w:val="BodyText"/>
      </w:pPr>
      <w:r w:rsidRPr="008D54A5">
        <w:t>Data collection managers perform t</w:t>
      </w:r>
      <w:r w:rsidR="00C43BBE" w:rsidRPr="008D54A5">
        <w:t>he</w:t>
      </w:r>
      <w:r w:rsidR="000C2CD8" w:rsidRPr="008D54A5">
        <w:t xml:space="preserve"> following types of reviews (listed in </w:t>
      </w:r>
      <w:r w:rsidR="00356CD1" w:rsidRPr="00B53C63">
        <w:rPr>
          <w:b/>
          <w:bCs w:val="0"/>
        </w:rPr>
        <w:t>Exhibit </w:t>
      </w:r>
      <w:r w:rsidR="000C2CD8" w:rsidRPr="008D54A5">
        <w:rPr>
          <w:b/>
          <w:bCs w:val="0"/>
        </w:rPr>
        <w:t>3.2</w:t>
      </w:r>
      <w:r w:rsidR="000C2CD8" w:rsidRPr="008D54A5">
        <w:t xml:space="preserve">) </w:t>
      </w:r>
      <w:r w:rsidR="00C43BBE" w:rsidRPr="008D54A5">
        <w:t>for</w:t>
      </w:r>
      <w:r w:rsidR="000C2CD8" w:rsidRPr="008D54A5">
        <w:t xml:space="preserve"> the SBD data. All instances </w:t>
      </w:r>
      <w:r w:rsidR="00C43BBE" w:rsidRPr="008D54A5">
        <w:t>a</w:t>
      </w:r>
      <w:r w:rsidR="000C2CD8" w:rsidRPr="008D54A5">
        <w:t>re reviewed and corrected when necessary.</w:t>
      </w:r>
    </w:p>
    <w:p w14:paraId="0B1C76BA" w14:textId="2B1D3B97" w:rsidR="00031258" w:rsidRPr="008D54A5" w:rsidRDefault="000C2CD8" w:rsidP="007A4CF4">
      <w:pPr>
        <w:pStyle w:val="bullets"/>
      </w:pPr>
      <w:r w:rsidRPr="008D54A5">
        <w:t xml:space="preserve">Examine events where SBD total charge or payment </w:t>
      </w:r>
      <w:r w:rsidR="0012779D" w:rsidRPr="008D54A5">
        <w:t xml:space="preserve">is </w:t>
      </w:r>
      <w:r w:rsidRPr="008D54A5">
        <w:t xml:space="preserve">the same as the </w:t>
      </w:r>
      <w:r w:rsidR="007A2832" w:rsidRPr="008D54A5">
        <w:t>H</w:t>
      </w:r>
      <w:r w:rsidR="00350AE3" w:rsidRPr="008D54A5">
        <w:t>ospital</w:t>
      </w:r>
      <w:r w:rsidRPr="008D54A5">
        <w:t xml:space="preserve"> charge or payment. When the SBD and </w:t>
      </w:r>
      <w:r w:rsidR="007A2832" w:rsidRPr="008D54A5">
        <w:t>H</w:t>
      </w:r>
      <w:r w:rsidR="00350AE3" w:rsidRPr="008D54A5">
        <w:t>ospital</w:t>
      </w:r>
      <w:r w:rsidRPr="008D54A5">
        <w:t xml:space="preserve"> amounts are the same, </w:t>
      </w:r>
      <w:r w:rsidR="00624837" w:rsidRPr="008D54A5">
        <w:t xml:space="preserve">either </w:t>
      </w:r>
      <w:r w:rsidRPr="008D54A5">
        <w:t xml:space="preserve">the SBD charges are included in the hospital </w:t>
      </w:r>
      <w:proofErr w:type="gramStart"/>
      <w:r w:rsidRPr="008D54A5">
        <w:t>bill</w:t>
      </w:r>
      <w:proofErr w:type="gramEnd"/>
      <w:r w:rsidRPr="008D54A5">
        <w:t xml:space="preserve"> or a data collection abstraction error of some sort</w:t>
      </w:r>
      <w:r w:rsidR="00624837" w:rsidRPr="008D54A5">
        <w:t xml:space="preserve"> has occurred</w:t>
      </w:r>
      <w:r w:rsidRPr="008D54A5">
        <w:t xml:space="preserve">. The data collection managers review the SBD and hospital events and </w:t>
      </w:r>
      <w:r w:rsidR="00624837" w:rsidRPr="008D54A5">
        <w:t xml:space="preserve">make </w:t>
      </w:r>
      <w:r w:rsidRPr="008D54A5">
        <w:t>the appropriate corrections</w:t>
      </w:r>
      <w:r w:rsidR="00C43BBE" w:rsidRPr="008D54A5">
        <w:t>.</w:t>
      </w:r>
    </w:p>
    <w:p w14:paraId="5E0366C8" w14:textId="77777777" w:rsidR="00443422" w:rsidRPr="008D54A5" w:rsidRDefault="000C2CD8" w:rsidP="007B19FD">
      <w:pPr>
        <w:pStyle w:val="bullets"/>
        <w:spacing w:after="120"/>
      </w:pPr>
      <w:r w:rsidRPr="008D54A5">
        <w:t>Examine SBD encounters on the same day for the same patient</w:t>
      </w:r>
      <w:r w:rsidR="00624837" w:rsidRPr="008D54A5">
        <w:t xml:space="preserve"> with</w:t>
      </w:r>
      <w:r w:rsidRPr="008D54A5">
        <w:t xml:space="preserve"> the same role and specialty and same charge or payment to see if these are duplicate encounters, or if the procedure or event can be billed multiple times a day.</w:t>
      </w:r>
    </w:p>
    <w:p w14:paraId="438ADCC0" w14:textId="6ABDDC2E" w:rsidR="00443422" w:rsidRPr="008D54A5" w:rsidRDefault="000C2CD8" w:rsidP="00514FF9">
      <w:pPr>
        <w:pStyle w:val="bullets"/>
      </w:pPr>
      <w:r w:rsidRPr="008D54A5">
        <w:t xml:space="preserve">Examine OBD and SBD events for the same patient associated with the same </w:t>
      </w:r>
      <w:r w:rsidR="004857F3" w:rsidRPr="008D54A5">
        <w:t>HS</w:t>
      </w:r>
      <w:r w:rsidRPr="008D54A5">
        <w:t xml:space="preserve"> to determine if duplication </w:t>
      </w:r>
      <w:r w:rsidR="00624837" w:rsidRPr="008D54A5">
        <w:t xml:space="preserve">has taken place </w:t>
      </w:r>
      <w:r w:rsidRPr="008D54A5">
        <w:t>among the OBD and SBD events.</w:t>
      </w:r>
    </w:p>
    <w:p w14:paraId="559CE50E" w14:textId="54C16EF8" w:rsidR="007F577A" w:rsidRPr="008D54A5" w:rsidRDefault="00EE42BB" w:rsidP="00367EDD">
      <w:pPr>
        <w:pStyle w:val="BodyText"/>
        <w:spacing w:after="120"/>
      </w:pPr>
      <w:r w:rsidRPr="008D54A5">
        <w:t>T</w:t>
      </w:r>
      <w:r w:rsidR="00813973" w:rsidRPr="008D54A5">
        <w:t xml:space="preserve">he data </w:t>
      </w:r>
      <w:r w:rsidR="00E31F74" w:rsidRPr="008D54A5">
        <w:t>are</w:t>
      </w:r>
      <w:r w:rsidRPr="008D54A5">
        <w:t xml:space="preserve"> also reviewed </w:t>
      </w:r>
      <w:r w:rsidR="00813973" w:rsidRPr="008D54A5">
        <w:t xml:space="preserve">to ensure that certain variables </w:t>
      </w:r>
      <w:r w:rsidR="00C43BBE" w:rsidRPr="008D54A5">
        <w:t>a</w:t>
      </w:r>
      <w:r w:rsidR="00813973" w:rsidRPr="008D54A5">
        <w:t>re consistent across encounters in the same node</w:t>
      </w:r>
      <w:r w:rsidR="00452362" w:rsidRPr="008D54A5">
        <w:t xml:space="preserve">. </w:t>
      </w:r>
      <w:r w:rsidR="00813973" w:rsidRPr="008D54A5">
        <w:t>The variables considered in this review include</w:t>
      </w:r>
      <w:r w:rsidR="001631A9" w:rsidRPr="008D54A5">
        <w:t xml:space="preserve"> the following</w:t>
      </w:r>
      <w:r w:rsidR="008C40C3" w:rsidRPr="008D54A5">
        <w:t>:</w:t>
      </w:r>
    </w:p>
    <w:p w14:paraId="7F0C2BF0" w14:textId="56480A27" w:rsidR="00813973" w:rsidRPr="008D54A5" w:rsidRDefault="00813973" w:rsidP="007A4CF4">
      <w:pPr>
        <w:pStyle w:val="bullets"/>
      </w:pPr>
      <w:r w:rsidRPr="008D54A5">
        <w:lastRenderedPageBreak/>
        <w:t>SBD variables</w:t>
      </w:r>
    </w:p>
    <w:p w14:paraId="10FE9EEF" w14:textId="677FF56B" w:rsidR="00813973" w:rsidRPr="008D54A5" w:rsidRDefault="001631A9" w:rsidP="007A4CF4">
      <w:pPr>
        <w:pStyle w:val="bullets"/>
      </w:pPr>
      <w:r w:rsidRPr="008D54A5">
        <w:t xml:space="preserve">Role </w:t>
      </w:r>
      <w:r w:rsidR="00F66AD2" w:rsidRPr="008D54A5">
        <w:t xml:space="preserve">of </w:t>
      </w:r>
      <w:r w:rsidR="00F027F5" w:rsidRPr="008D54A5">
        <w:t>SBD</w:t>
      </w:r>
      <w:r w:rsidR="00F66AD2" w:rsidRPr="008D54A5">
        <w:t xml:space="preserve"> </w:t>
      </w:r>
    </w:p>
    <w:p w14:paraId="1323FD56" w14:textId="0B6B7752" w:rsidR="00813973" w:rsidRPr="008D54A5" w:rsidRDefault="001631A9" w:rsidP="007A4CF4">
      <w:pPr>
        <w:pStyle w:val="bullets"/>
      </w:pPr>
      <w:r w:rsidRPr="008D54A5">
        <w:t xml:space="preserve">Class </w:t>
      </w:r>
      <w:r w:rsidR="002809BD" w:rsidRPr="008D54A5">
        <w:t>of SBD (</w:t>
      </w:r>
      <w:r w:rsidR="00B90939" w:rsidRPr="008D54A5">
        <w:t>whether the doctor performed any of the following types of services:</w:t>
      </w:r>
      <w:r w:rsidR="00356CD1" w:rsidRPr="008D54A5">
        <w:t xml:space="preserve"> </w:t>
      </w:r>
      <w:r w:rsidR="00B90939" w:rsidRPr="008D54A5">
        <w:t>radiology, anesthesiology, pathology, surgery, none, or don</w:t>
      </w:r>
      <w:r w:rsidR="00356CD1" w:rsidRPr="008D54A5">
        <w:t>’</w:t>
      </w:r>
      <w:r w:rsidR="00B90939" w:rsidRPr="008D54A5">
        <w:t>t know</w:t>
      </w:r>
      <w:r w:rsidR="002F2DBD" w:rsidRPr="008D54A5">
        <w:t>)</w:t>
      </w:r>
    </w:p>
    <w:p w14:paraId="66BA7CCB" w14:textId="2DF58460" w:rsidR="00813973" w:rsidRPr="008D54A5" w:rsidRDefault="001631A9" w:rsidP="007A4CF4">
      <w:pPr>
        <w:pStyle w:val="bullets"/>
      </w:pPr>
      <w:r w:rsidRPr="008D54A5">
        <w:t xml:space="preserve">Specialty </w:t>
      </w:r>
      <w:r w:rsidR="00F66AD2" w:rsidRPr="008D54A5">
        <w:t>variables</w:t>
      </w:r>
      <w:r w:rsidR="002809BD" w:rsidRPr="008D54A5">
        <w:t xml:space="preserve"> </w:t>
      </w:r>
    </w:p>
    <w:p w14:paraId="1B526C90" w14:textId="7DF0B95C" w:rsidR="00443422" w:rsidRPr="008D54A5" w:rsidRDefault="001631A9" w:rsidP="007B19FD">
      <w:pPr>
        <w:pStyle w:val="bullets"/>
      </w:pPr>
      <w:r w:rsidRPr="008D54A5">
        <w:t xml:space="preserve">Indicator </w:t>
      </w:r>
      <w:r w:rsidR="00856E5D" w:rsidRPr="008D54A5">
        <w:t xml:space="preserve">of whether the </w:t>
      </w:r>
      <w:r w:rsidR="00F66AD2" w:rsidRPr="008D54A5">
        <w:t>SBD</w:t>
      </w:r>
      <w:r w:rsidR="00C43BBE" w:rsidRPr="008D54A5">
        <w:t xml:space="preserve"> events</w:t>
      </w:r>
      <w:r w:rsidR="00F66AD2" w:rsidRPr="008D54A5">
        <w:t xml:space="preserve"> </w:t>
      </w:r>
      <w:r w:rsidR="00C43BBE" w:rsidRPr="008D54A5">
        <w:t>are</w:t>
      </w:r>
      <w:r w:rsidR="00856E5D" w:rsidRPr="008D54A5">
        <w:t xml:space="preserve"> </w:t>
      </w:r>
      <w:r w:rsidR="00F66AD2" w:rsidRPr="008D54A5">
        <w:t>complete</w:t>
      </w:r>
      <w:r w:rsidR="002809BD" w:rsidRPr="008D54A5">
        <w:t xml:space="preserve">, partially complete, </w:t>
      </w:r>
      <w:r w:rsidR="00691A6F" w:rsidRPr="008D54A5">
        <w:t xml:space="preserve">partially complete with critical items missing, </w:t>
      </w:r>
      <w:r w:rsidR="002809BD" w:rsidRPr="008D54A5">
        <w:t>or not complete</w:t>
      </w:r>
    </w:p>
    <w:p w14:paraId="441B8A9B" w14:textId="66185673" w:rsidR="00443422" w:rsidRPr="008D54A5" w:rsidRDefault="002809BD" w:rsidP="00367EDD">
      <w:pPr>
        <w:pStyle w:val="BodyText"/>
        <w:rPr>
          <w:shd w:val="clear" w:color="auto" w:fill="FFFFFF"/>
        </w:rPr>
      </w:pPr>
      <w:r w:rsidRPr="008D54A5">
        <w:rPr>
          <w:shd w:val="clear" w:color="auto" w:fill="FFFFFF"/>
        </w:rPr>
        <w:t xml:space="preserve">These variables </w:t>
      </w:r>
      <w:r w:rsidR="00C43BBE" w:rsidRPr="008D54A5">
        <w:rPr>
          <w:shd w:val="clear" w:color="auto" w:fill="FFFFFF"/>
        </w:rPr>
        <w:t>a</w:t>
      </w:r>
      <w:r w:rsidRPr="008D54A5">
        <w:rPr>
          <w:shd w:val="clear" w:color="auto" w:fill="FFFFFF"/>
        </w:rPr>
        <w:t>re generally consistent</w:t>
      </w:r>
      <w:r w:rsidR="00B240E6" w:rsidRPr="008D54A5">
        <w:rPr>
          <w:shd w:val="clear" w:color="auto" w:fill="FFFFFF"/>
        </w:rPr>
        <w:t>. H</w:t>
      </w:r>
      <w:r w:rsidR="006E0728" w:rsidRPr="008D54A5">
        <w:rPr>
          <w:shd w:val="clear" w:color="auto" w:fill="FFFFFF"/>
        </w:rPr>
        <w:t>owever</w:t>
      </w:r>
      <w:r w:rsidR="003543ED" w:rsidRPr="008D54A5">
        <w:rPr>
          <w:shd w:val="clear" w:color="auto" w:fill="FFFFFF"/>
        </w:rPr>
        <w:t>,</w:t>
      </w:r>
      <w:r w:rsidR="006E0728" w:rsidRPr="008D54A5">
        <w:rPr>
          <w:shd w:val="clear" w:color="auto" w:fill="FFFFFF"/>
        </w:rPr>
        <w:t xml:space="preserve"> </w:t>
      </w:r>
      <w:r w:rsidRPr="008D54A5">
        <w:rPr>
          <w:shd w:val="clear" w:color="auto" w:fill="FFFFFF"/>
        </w:rPr>
        <w:t>when inconsistency</w:t>
      </w:r>
      <w:r w:rsidR="00624837" w:rsidRPr="008D54A5">
        <w:rPr>
          <w:shd w:val="clear" w:color="auto" w:fill="FFFFFF"/>
        </w:rPr>
        <w:t xml:space="preserve"> occurs</w:t>
      </w:r>
      <w:r w:rsidR="00560783" w:rsidRPr="008D54A5">
        <w:rPr>
          <w:shd w:val="clear" w:color="auto" w:fill="FFFFFF"/>
        </w:rPr>
        <w:t>,</w:t>
      </w:r>
      <w:r w:rsidRPr="008D54A5">
        <w:rPr>
          <w:shd w:val="clear" w:color="auto" w:fill="FFFFFF"/>
        </w:rPr>
        <w:t xml:space="preserve"> the value from the first encounter in the node </w:t>
      </w:r>
      <w:r w:rsidR="00C43BBE" w:rsidRPr="008D54A5">
        <w:rPr>
          <w:shd w:val="clear" w:color="auto" w:fill="FFFFFF"/>
        </w:rPr>
        <w:t>i</w:t>
      </w:r>
      <w:r w:rsidRPr="008D54A5">
        <w:rPr>
          <w:shd w:val="clear" w:color="auto" w:fill="FFFFFF"/>
        </w:rPr>
        <w:t xml:space="preserve">s used. </w:t>
      </w:r>
    </w:p>
    <w:p w14:paraId="6FA14249" w14:textId="044A5804" w:rsidR="00443422" w:rsidRPr="008D54A5" w:rsidRDefault="00566061" w:rsidP="00367EDD">
      <w:pPr>
        <w:pStyle w:val="BodyText"/>
        <w:rPr>
          <w:shd w:val="clear" w:color="auto" w:fill="FFFFFF"/>
        </w:rPr>
      </w:pPr>
      <w:r w:rsidRPr="008D54A5">
        <w:rPr>
          <w:shd w:val="clear" w:color="auto" w:fill="FFFFFF"/>
        </w:rPr>
        <w:t>S</w:t>
      </w:r>
      <w:r w:rsidR="00F66AD2" w:rsidRPr="008D54A5">
        <w:rPr>
          <w:shd w:val="clear" w:color="auto" w:fill="FFFFFF"/>
        </w:rPr>
        <w:t xml:space="preserve">everal variables unique to the SBD encounter-level data </w:t>
      </w:r>
      <w:r w:rsidR="00C43BBE" w:rsidRPr="008D54A5">
        <w:rPr>
          <w:shd w:val="clear" w:color="auto" w:fill="FFFFFF"/>
        </w:rPr>
        <w:t>a</w:t>
      </w:r>
      <w:r w:rsidR="00F66AD2" w:rsidRPr="008D54A5">
        <w:rPr>
          <w:shd w:val="clear" w:color="auto" w:fill="FFFFFF"/>
        </w:rPr>
        <w:t>re produced. These include</w:t>
      </w:r>
      <w:r w:rsidR="005E160D" w:rsidRPr="008D54A5">
        <w:rPr>
          <w:shd w:val="clear" w:color="auto" w:fill="FFFFFF"/>
        </w:rPr>
        <w:t xml:space="preserve"> </w:t>
      </w:r>
      <w:r w:rsidR="00F66AD2" w:rsidRPr="008D54A5">
        <w:rPr>
          <w:shd w:val="clear" w:color="auto" w:fill="FFFFFF"/>
        </w:rPr>
        <w:t>BUNDLTYP</w:t>
      </w:r>
      <w:r w:rsidR="00FA4D32" w:rsidRPr="008D54A5">
        <w:rPr>
          <w:shd w:val="clear" w:color="auto" w:fill="FFFFFF"/>
        </w:rPr>
        <w:t>,</w:t>
      </w:r>
      <w:r w:rsidR="005E160D" w:rsidRPr="008D54A5">
        <w:rPr>
          <w:shd w:val="clear" w:color="auto" w:fill="FFFFFF"/>
        </w:rPr>
        <w:t xml:space="preserve"> which identifies the type of global fee bundle</w:t>
      </w:r>
      <w:r w:rsidR="00FA4D32" w:rsidRPr="008D54A5">
        <w:rPr>
          <w:shd w:val="clear" w:color="auto" w:fill="FFFFFF"/>
        </w:rPr>
        <w:t>,</w:t>
      </w:r>
      <w:r w:rsidR="00F66AD2" w:rsidRPr="008D54A5">
        <w:rPr>
          <w:shd w:val="clear" w:color="auto" w:fill="FFFFFF"/>
        </w:rPr>
        <w:t xml:space="preserve"> as well as several variables carried over from the corresponding </w:t>
      </w:r>
      <w:r w:rsidR="007A2832" w:rsidRPr="008D54A5">
        <w:rPr>
          <w:shd w:val="clear" w:color="auto" w:fill="FFFFFF"/>
        </w:rPr>
        <w:t>H</w:t>
      </w:r>
      <w:r w:rsidR="00350AE3" w:rsidRPr="008D54A5">
        <w:rPr>
          <w:shd w:val="clear" w:color="auto" w:fill="FFFFFF"/>
        </w:rPr>
        <w:t>ospital</w:t>
      </w:r>
      <w:r w:rsidR="00F66AD2" w:rsidRPr="008D54A5">
        <w:rPr>
          <w:shd w:val="clear" w:color="auto" w:fill="FFFFFF"/>
        </w:rPr>
        <w:t xml:space="preserve"> event.</w:t>
      </w:r>
    </w:p>
    <w:p w14:paraId="1878CC87" w14:textId="57B9BC84" w:rsidR="007F577A" w:rsidRPr="008D54A5" w:rsidRDefault="00F66AD2" w:rsidP="00367EDD">
      <w:pPr>
        <w:pStyle w:val="BodyText"/>
      </w:pPr>
      <w:r w:rsidRPr="008D54A5">
        <w:t>Other variables created for the encounter-level file include the Final Disposition Codes and the Payment Amount and Source of Payment variables.</w:t>
      </w:r>
    </w:p>
    <w:p w14:paraId="6D4B20FF" w14:textId="77EEB596" w:rsidR="00443422" w:rsidRPr="008D54A5" w:rsidRDefault="000C2CD8" w:rsidP="00245172">
      <w:pPr>
        <w:pStyle w:val="Heading3"/>
      </w:pPr>
      <w:bookmarkStart w:id="61" w:name="_Toc127287275"/>
      <w:bookmarkStart w:id="62" w:name="_Toc160529601"/>
      <w:bookmarkStart w:id="63" w:name="_Hlk62106931"/>
      <w:bookmarkStart w:id="64" w:name="_Toc189128088"/>
      <w:r w:rsidRPr="008D54A5">
        <w:rPr>
          <w:rFonts w:cs="Arial"/>
          <w:szCs w:val="24"/>
        </w:rPr>
        <w:t>SBD Encounter</w:t>
      </w:r>
      <w:r w:rsidR="00F66AD2" w:rsidRPr="008D54A5">
        <w:rPr>
          <w:rFonts w:cs="Arial"/>
          <w:szCs w:val="24"/>
        </w:rPr>
        <w:t>-Level Final Disposition Code</w:t>
      </w:r>
      <w:bookmarkEnd w:id="61"/>
      <w:bookmarkEnd w:id="62"/>
      <w:bookmarkEnd w:id="64"/>
    </w:p>
    <w:p w14:paraId="763DBB30" w14:textId="719C6234" w:rsidR="00443422" w:rsidRPr="008D54A5" w:rsidRDefault="00F66AD2" w:rsidP="007347D6">
      <w:pPr>
        <w:pStyle w:val="BodyText"/>
        <w:rPr>
          <w:shd w:val="clear" w:color="auto" w:fill="FFFFFF"/>
        </w:rPr>
      </w:pPr>
      <w:r w:rsidRPr="008D54A5">
        <w:rPr>
          <w:shd w:val="clear" w:color="auto" w:fill="FFFFFF"/>
        </w:rPr>
        <w:t xml:space="preserve">The final disposition of each SBD encounter (stored in the variable FIN_DISP) </w:t>
      </w:r>
      <w:r w:rsidR="003C17EC" w:rsidRPr="008D54A5">
        <w:rPr>
          <w:shd w:val="clear" w:color="auto" w:fill="FFFFFF"/>
        </w:rPr>
        <w:t xml:space="preserve">is </w:t>
      </w:r>
      <w:r w:rsidRPr="008D54A5">
        <w:rPr>
          <w:shd w:val="clear" w:color="auto" w:fill="FFFFFF"/>
        </w:rPr>
        <w:t xml:space="preserve">coded based on whether the encounter </w:t>
      </w:r>
      <w:r w:rsidR="00FD7523" w:rsidRPr="008D54A5">
        <w:rPr>
          <w:shd w:val="clear" w:color="auto" w:fill="FFFFFF"/>
        </w:rPr>
        <w:t xml:space="preserve">is </w:t>
      </w:r>
      <w:r w:rsidRPr="008D54A5">
        <w:rPr>
          <w:shd w:val="clear" w:color="auto" w:fill="FFFFFF"/>
        </w:rPr>
        <w:t xml:space="preserve">considered complete </w:t>
      </w:r>
      <w:r w:rsidR="00C02CEB" w:rsidRPr="008D54A5">
        <w:rPr>
          <w:shd w:val="clear" w:color="auto" w:fill="FFFFFF"/>
        </w:rPr>
        <w:t>and on</w:t>
      </w:r>
      <w:r w:rsidR="008F2903" w:rsidRPr="008D54A5">
        <w:rPr>
          <w:shd w:val="clear" w:color="auto" w:fill="FFFFFF"/>
        </w:rPr>
        <w:t xml:space="preserve"> </w:t>
      </w:r>
      <w:r w:rsidR="007347D6" w:rsidRPr="008D54A5">
        <w:rPr>
          <w:shd w:val="clear" w:color="auto" w:fill="FFFFFF"/>
        </w:rPr>
        <w:t xml:space="preserve">the </w:t>
      </w:r>
      <w:r w:rsidR="006C6E90" w:rsidRPr="008D54A5">
        <w:rPr>
          <w:shd w:val="clear" w:color="auto" w:fill="FFFFFF"/>
        </w:rPr>
        <w:t>disposition of the node, encounter, pair, or group at the end of SBD data collection</w:t>
      </w:r>
      <w:r w:rsidRPr="008D54A5">
        <w:rPr>
          <w:shd w:val="clear" w:color="auto" w:fill="FFFFFF"/>
        </w:rPr>
        <w:t xml:space="preserve">. </w:t>
      </w:r>
      <w:r w:rsidR="00356CD1" w:rsidRPr="00B53C63">
        <w:rPr>
          <w:b/>
          <w:shd w:val="clear" w:color="auto" w:fill="FFFFFF"/>
        </w:rPr>
        <w:t>Exhibit </w:t>
      </w:r>
      <w:r w:rsidR="00A076B0" w:rsidRPr="008D54A5">
        <w:rPr>
          <w:b/>
          <w:shd w:val="clear" w:color="auto" w:fill="FFFFFF"/>
        </w:rPr>
        <w:t>3.3</w:t>
      </w:r>
      <w:r w:rsidR="00A076B0" w:rsidRPr="008D54A5">
        <w:rPr>
          <w:shd w:val="clear" w:color="auto" w:fill="FFFFFF"/>
        </w:rPr>
        <w:t xml:space="preserve"> shows the values for the node-level FIN_DISP status code variable and the corresponding values </w:t>
      </w:r>
      <w:r w:rsidR="006C6E90" w:rsidRPr="008D54A5">
        <w:rPr>
          <w:shd w:val="clear" w:color="auto" w:fill="FFFFFF"/>
        </w:rPr>
        <w:t>of final disposition of the node.</w:t>
      </w:r>
      <w:r w:rsidR="00A076B0" w:rsidRPr="008D54A5">
        <w:rPr>
          <w:shd w:val="clear" w:color="auto" w:fill="FFFFFF"/>
        </w:rPr>
        <w:t xml:space="preserve"> </w:t>
      </w:r>
      <w:bookmarkEnd w:id="63"/>
      <w:r w:rsidR="00A076B0" w:rsidRPr="008D54A5">
        <w:rPr>
          <w:shd w:val="clear" w:color="auto" w:fill="FFFFFF"/>
        </w:rPr>
        <w:t xml:space="preserve">Some status codes that are assigned at the pair and group levels should logically carry over to the encounter level </w:t>
      </w:r>
      <w:r w:rsidR="00C42D3B" w:rsidRPr="008D54A5">
        <w:rPr>
          <w:shd w:val="clear" w:color="auto" w:fill="FFFFFF"/>
        </w:rPr>
        <w:t>(</w:t>
      </w:r>
      <w:r w:rsidR="00A076B0" w:rsidRPr="008D54A5">
        <w:rPr>
          <w:shd w:val="clear" w:color="auto" w:fill="FFFFFF"/>
        </w:rPr>
        <w:t>e.g., refusals and disavowals</w:t>
      </w:r>
      <w:r w:rsidR="00C42D3B" w:rsidRPr="008D54A5">
        <w:rPr>
          <w:shd w:val="clear" w:color="auto" w:fill="FFFFFF"/>
        </w:rPr>
        <w:t>)</w:t>
      </w:r>
      <w:r w:rsidR="00A076B0" w:rsidRPr="008D54A5">
        <w:rPr>
          <w:shd w:val="clear" w:color="auto" w:fill="FFFFFF"/>
        </w:rPr>
        <w:t xml:space="preserve">. Within each node, encounters </w:t>
      </w:r>
      <w:r w:rsidR="00704DAE" w:rsidRPr="008D54A5">
        <w:rPr>
          <w:shd w:val="clear" w:color="auto" w:fill="FFFFFF"/>
        </w:rPr>
        <w:t xml:space="preserve">almost always have the </w:t>
      </w:r>
      <w:r w:rsidR="00A076B0" w:rsidRPr="008D54A5">
        <w:rPr>
          <w:shd w:val="clear" w:color="auto" w:fill="FFFFFF"/>
        </w:rPr>
        <w:t>same disposition status code</w:t>
      </w:r>
      <w:r w:rsidR="00704DAE" w:rsidRPr="008D54A5">
        <w:rPr>
          <w:shd w:val="clear" w:color="auto" w:fill="FFFFFF"/>
        </w:rPr>
        <w:t>; when encounters differ, the disposition of the primary node is used.</w:t>
      </w:r>
    </w:p>
    <w:p w14:paraId="47330914" w14:textId="4EB9600E" w:rsidR="00DC45E7" w:rsidRPr="008D54A5" w:rsidRDefault="00DC45E7" w:rsidP="00DC45E7">
      <w:pPr>
        <w:pStyle w:val="ExhibitTitle"/>
        <w:ind w:left="1526" w:hanging="1526"/>
      </w:pPr>
      <w:bookmarkStart w:id="65" w:name="_Toc128574184"/>
      <w:bookmarkStart w:id="66" w:name="_Toc188622341"/>
      <w:r w:rsidRPr="00B53C63">
        <w:t>Exhibit </w:t>
      </w:r>
      <w:r w:rsidRPr="008D54A5">
        <w:rPr>
          <w:noProof/>
        </w:rPr>
        <w:fldChar w:fldCharType="begin"/>
      </w:r>
      <w:r w:rsidRPr="008D54A5">
        <w:rPr>
          <w:noProof/>
        </w:rPr>
        <w:instrText xml:space="preserve"> STYLEREF 1 \s </w:instrText>
      </w:r>
      <w:r w:rsidRPr="008D54A5">
        <w:rPr>
          <w:noProof/>
        </w:rPr>
        <w:fldChar w:fldCharType="separate"/>
      </w:r>
      <w:r w:rsidR="00EC2444" w:rsidRPr="008D54A5">
        <w:rPr>
          <w:noProof/>
        </w:rPr>
        <w:t>3</w:t>
      </w:r>
      <w:r w:rsidRPr="008D54A5">
        <w:rPr>
          <w:noProof/>
        </w:rPr>
        <w:fldChar w:fldCharType="end"/>
      </w:r>
      <w:r w:rsidRPr="008D54A5">
        <w:t>.</w:t>
      </w:r>
      <w:r w:rsidRPr="008D54A5">
        <w:rPr>
          <w:noProof/>
        </w:rPr>
        <w:fldChar w:fldCharType="begin"/>
      </w:r>
      <w:r w:rsidRPr="008D54A5">
        <w:rPr>
          <w:noProof/>
        </w:rPr>
        <w:instrText xml:space="preserve"> SEQ Exhibit \* ARABIC \s 1 </w:instrText>
      </w:r>
      <w:r w:rsidRPr="008D54A5">
        <w:rPr>
          <w:noProof/>
        </w:rPr>
        <w:fldChar w:fldCharType="separate"/>
      </w:r>
      <w:r w:rsidR="00EC2444" w:rsidRPr="008D54A5">
        <w:rPr>
          <w:noProof/>
        </w:rPr>
        <w:t>3</w:t>
      </w:r>
      <w:r w:rsidRPr="008D54A5">
        <w:rPr>
          <w:noProof/>
        </w:rPr>
        <w:fldChar w:fldCharType="end"/>
      </w:r>
      <w:r w:rsidRPr="008D54A5">
        <w:tab/>
        <w:t>Mapping of the Final Disposition of the Node to FIN_DISP—2022 MPC</w:t>
      </w:r>
      <w:bookmarkEnd w:id="65"/>
      <w:bookmarkEnd w:id="66"/>
    </w:p>
    <w:tbl>
      <w:tblPr>
        <w:tblStyle w:val="TableGrid"/>
        <w:tblW w:w="3459" w:type="pct"/>
        <w:tblLayout w:type="fixed"/>
        <w:tblLook w:val="04A0" w:firstRow="1" w:lastRow="0" w:firstColumn="1" w:lastColumn="0" w:noHBand="0" w:noVBand="1"/>
      </w:tblPr>
      <w:tblGrid>
        <w:gridCol w:w="2676"/>
        <w:gridCol w:w="3792"/>
      </w:tblGrid>
      <w:tr w:rsidR="00FC7D2C" w:rsidRPr="008D54A5" w14:paraId="60DDCCC5" w14:textId="77777777" w:rsidTr="00B4238F">
        <w:trPr>
          <w:cnfStyle w:val="100000000000" w:firstRow="1" w:lastRow="0" w:firstColumn="0" w:lastColumn="0" w:oddVBand="0" w:evenVBand="0" w:oddHBand="0" w:evenHBand="0" w:firstRowFirstColumn="0" w:firstRowLastColumn="0" w:lastRowFirstColumn="0" w:lastRowLastColumn="0"/>
          <w:trHeight w:val="20"/>
        </w:trPr>
        <w:tc>
          <w:tcPr>
            <w:tcW w:w="2069" w:type="pct"/>
            <w:noWrap/>
            <w:hideMark/>
          </w:tcPr>
          <w:p w14:paraId="17F04A44" w14:textId="77777777" w:rsidR="00FC7D2C" w:rsidRPr="008D54A5" w:rsidRDefault="00FC7D2C" w:rsidP="00B26FC1">
            <w:pPr>
              <w:pStyle w:val="TableHeading"/>
            </w:pPr>
            <w:r w:rsidRPr="008D54A5">
              <w:t>FIN_DISP Label</w:t>
            </w:r>
          </w:p>
        </w:tc>
        <w:tc>
          <w:tcPr>
            <w:tcW w:w="2931" w:type="pct"/>
            <w:hideMark/>
          </w:tcPr>
          <w:p w14:paraId="40C501AB" w14:textId="77777777" w:rsidR="00FC7D2C" w:rsidRPr="008D54A5" w:rsidRDefault="00FC7D2C" w:rsidP="00B26FC1">
            <w:pPr>
              <w:pStyle w:val="TableHeading"/>
            </w:pPr>
            <w:r w:rsidRPr="008D54A5">
              <w:t>Node Status Label</w:t>
            </w:r>
          </w:p>
        </w:tc>
      </w:tr>
      <w:tr w:rsidR="00FC7D2C" w:rsidRPr="008D54A5" w14:paraId="0F79138D" w14:textId="77777777" w:rsidTr="00B4238F">
        <w:trPr>
          <w:trHeight w:val="20"/>
        </w:trPr>
        <w:tc>
          <w:tcPr>
            <w:tcW w:w="2069" w:type="pct"/>
            <w:noWrap/>
            <w:hideMark/>
          </w:tcPr>
          <w:p w14:paraId="45D7B0E4" w14:textId="77777777" w:rsidR="00FC7D2C" w:rsidRPr="008D54A5" w:rsidRDefault="00FC7D2C" w:rsidP="00B26FC1">
            <w:pPr>
              <w:pStyle w:val="TableText"/>
              <w:spacing w:before="0"/>
            </w:pPr>
            <w:r w:rsidRPr="008D54A5">
              <w:t>Partially Complete</w:t>
            </w:r>
          </w:p>
        </w:tc>
        <w:tc>
          <w:tcPr>
            <w:tcW w:w="2931" w:type="pct"/>
            <w:hideMark/>
          </w:tcPr>
          <w:p w14:paraId="5B3B5D59" w14:textId="77777777" w:rsidR="00FC7D2C" w:rsidRPr="008D54A5" w:rsidRDefault="00FC7D2C" w:rsidP="00B26FC1">
            <w:pPr>
              <w:pStyle w:val="TableText"/>
              <w:spacing w:before="0"/>
            </w:pPr>
            <w:r w:rsidRPr="008D54A5">
              <w:t xml:space="preserve">Partially Complete </w:t>
            </w:r>
          </w:p>
        </w:tc>
      </w:tr>
      <w:tr w:rsidR="00FC7D2C" w:rsidRPr="008D54A5" w14:paraId="1BDAF1CF" w14:textId="77777777" w:rsidTr="00B4238F">
        <w:trPr>
          <w:trHeight w:val="20"/>
        </w:trPr>
        <w:tc>
          <w:tcPr>
            <w:tcW w:w="2069" w:type="pct"/>
            <w:noWrap/>
            <w:hideMark/>
          </w:tcPr>
          <w:p w14:paraId="306B45EF" w14:textId="77777777" w:rsidR="00FC7D2C" w:rsidRPr="008D54A5" w:rsidRDefault="00FC7D2C" w:rsidP="00B26FC1">
            <w:pPr>
              <w:pStyle w:val="TableText"/>
              <w:spacing w:before="0"/>
            </w:pPr>
            <w:r w:rsidRPr="008D54A5">
              <w:t>Complete</w:t>
            </w:r>
          </w:p>
        </w:tc>
        <w:tc>
          <w:tcPr>
            <w:tcW w:w="2931" w:type="pct"/>
            <w:hideMark/>
          </w:tcPr>
          <w:p w14:paraId="67009181" w14:textId="77777777" w:rsidR="00FC7D2C" w:rsidRPr="008D54A5" w:rsidRDefault="00FC7D2C" w:rsidP="00B26FC1">
            <w:pPr>
              <w:pStyle w:val="TableText"/>
              <w:spacing w:before="0"/>
            </w:pPr>
            <w:r w:rsidRPr="008D54A5">
              <w:t xml:space="preserve">Complete </w:t>
            </w:r>
          </w:p>
        </w:tc>
      </w:tr>
      <w:tr w:rsidR="00FC7D2C" w:rsidRPr="008D54A5" w14:paraId="5680A40B" w14:textId="77777777" w:rsidTr="00B4238F">
        <w:trPr>
          <w:trHeight w:val="20"/>
        </w:trPr>
        <w:tc>
          <w:tcPr>
            <w:tcW w:w="2069" w:type="pct"/>
            <w:noWrap/>
            <w:hideMark/>
          </w:tcPr>
          <w:p w14:paraId="4B4EF6F2" w14:textId="77777777" w:rsidR="00FC7D2C" w:rsidRPr="008D54A5" w:rsidRDefault="00FC7D2C" w:rsidP="00B26FC1">
            <w:pPr>
              <w:pStyle w:val="TableText"/>
              <w:spacing w:before="0"/>
            </w:pPr>
            <w:r w:rsidRPr="008D54A5">
              <w:t>Other Refusal</w:t>
            </w:r>
          </w:p>
        </w:tc>
        <w:tc>
          <w:tcPr>
            <w:tcW w:w="2931" w:type="pct"/>
            <w:hideMark/>
          </w:tcPr>
          <w:p w14:paraId="403F4681" w14:textId="77777777" w:rsidR="00FC7D2C" w:rsidRPr="008D54A5" w:rsidRDefault="00FC7D2C" w:rsidP="00B26FC1">
            <w:pPr>
              <w:pStyle w:val="TableText"/>
              <w:spacing w:before="0"/>
            </w:pPr>
            <w:r w:rsidRPr="008D54A5">
              <w:t xml:space="preserve">Other Refusal </w:t>
            </w:r>
          </w:p>
        </w:tc>
      </w:tr>
      <w:tr w:rsidR="00FC7D2C" w:rsidRPr="008D54A5" w14:paraId="52FED47A" w14:textId="77777777" w:rsidTr="00B4238F">
        <w:trPr>
          <w:trHeight w:val="20"/>
        </w:trPr>
        <w:tc>
          <w:tcPr>
            <w:tcW w:w="2069" w:type="pct"/>
            <w:noWrap/>
            <w:hideMark/>
          </w:tcPr>
          <w:p w14:paraId="59C1037C" w14:textId="77777777" w:rsidR="00FC7D2C" w:rsidRPr="008D54A5" w:rsidRDefault="00FC7D2C" w:rsidP="00B26FC1">
            <w:pPr>
              <w:pStyle w:val="TableText"/>
              <w:spacing w:before="0"/>
            </w:pPr>
            <w:r w:rsidRPr="008D54A5">
              <w:t>Unlocatable</w:t>
            </w:r>
          </w:p>
        </w:tc>
        <w:tc>
          <w:tcPr>
            <w:tcW w:w="2931" w:type="pct"/>
            <w:hideMark/>
          </w:tcPr>
          <w:p w14:paraId="58731BD0" w14:textId="77777777" w:rsidR="00FC7D2C" w:rsidRPr="008D54A5" w:rsidRDefault="00FC7D2C" w:rsidP="00B26FC1">
            <w:pPr>
              <w:pStyle w:val="TableText"/>
              <w:spacing w:before="0"/>
            </w:pPr>
            <w:r w:rsidRPr="008D54A5">
              <w:t xml:space="preserve">Unlocatable </w:t>
            </w:r>
          </w:p>
        </w:tc>
      </w:tr>
      <w:tr w:rsidR="00FC7D2C" w:rsidRPr="008D54A5" w14:paraId="24AA7F45" w14:textId="77777777" w:rsidTr="00B4238F">
        <w:trPr>
          <w:trHeight w:val="20"/>
        </w:trPr>
        <w:tc>
          <w:tcPr>
            <w:tcW w:w="2069" w:type="pct"/>
            <w:noWrap/>
          </w:tcPr>
          <w:p w14:paraId="0CD8C6A4" w14:textId="77777777" w:rsidR="00FC7D2C" w:rsidRPr="008D54A5" w:rsidRDefault="00FC7D2C" w:rsidP="00B26FC1">
            <w:pPr>
              <w:pStyle w:val="TableText"/>
              <w:spacing w:before="0"/>
            </w:pPr>
            <w:r w:rsidRPr="008D54A5">
              <w:t>Unlocatable</w:t>
            </w:r>
          </w:p>
        </w:tc>
        <w:tc>
          <w:tcPr>
            <w:tcW w:w="2931" w:type="pct"/>
          </w:tcPr>
          <w:p w14:paraId="58D5FF28" w14:textId="77777777" w:rsidR="00FC7D2C" w:rsidRPr="008D54A5" w:rsidRDefault="00FC7D2C" w:rsidP="00B26FC1">
            <w:pPr>
              <w:pStyle w:val="TableText"/>
              <w:spacing w:before="0"/>
            </w:pPr>
            <w:r w:rsidRPr="008D54A5">
              <w:t>Insufficient info to locate</w:t>
            </w:r>
          </w:p>
        </w:tc>
      </w:tr>
      <w:tr w:rsidR="00FC7D2C" w:rsidRPr="008D54A5" w14:paraId="30218717" w14:textId="77777777" w:rsidTr="00B4238F">
        <w:trPr>
          <w:trHeight w:val="20"/>
        </w:trPr>
        <w:tc>
          <w:tcPr>
            <w:tcW w:w="2069" w:type="pct"/>
            <w:noWrap/>
            <w:hideMark/>
          </w:tcPr>
          <w:p w14:paraId="49F30FC7" w14:textId="77777777" w:rsidR="00FC7D2C" w:rsidRPr="008D54A5" w:rsidRDefault="00FC7D2C" w:rsidP="00B26FC1">
            <w:pPr>
              <w:pStyle w:val="TableText"/>
              <w:spacing w:before="0"/>
            </w:pPr>
            <w:r w:rsidRPr="008D54A5">
              <w:t>No data, info purged</w:t>
            </w:r>
          </w:p>
        </w:tc>
        <w:tc>
          <w:tcPr>
            <w:tcW w:w="2931" w:type="pct"/>
            <w:hideMark/>
          </w:tcPr>
          <w:p w14:paraId="0331FF73" w14:textId="77777777" w:rsidR="00FC7D2C" w:rsidRPr="008D54A5" w:rsidRDefault="00FC7D2C" w:rsidP="00B26FC1">
            <w:pPr>
              <w:pStyle w:val="TableText"/>
              <w:spacing w:before="0"/>
            </w:pPr>
            <w:r w:rsidRPr="008D54A5">
              <w:t xml:space="preserve">No data, info purged </w:t>
            </w:r>
          </w:p>
        </w:tc>
      </w:tr>
      <w:tr w:rsidR="00FC7D2C" w:rsidRPr="008D54A5" w14:paraId="4E05545F" w14:textId="77777777" w:rsidTr="00B4238F">
        <w:trPr>
          <w:trHeight w:val="20"/>
        </w:trPr>
        <w:tc>
          <w:tcPr>
            <w:tcW w:w="2069" w:type="pct"/>
            <w:noWrap/>
            <w:hideMark/>
          </w:tcPr>
          <w:p w14:paraId="1DADD435" w14:textId="77777777" w:rsidR="00FC7D2C" w:rsidRPr="008D54A5" w:rsidRDefault="00FC7D2C" w:rsidP="00B26FC1">
            <w:pPr>
              <w:pStyle w:val="TableText"/>
              <w:spacing w:before="0"/>
            </w:pPr>
            <w:r w:rsidRPr="008D54A5">
              <w:t>Refuses to retrieve</w:t>
            </w:r>
          </w:p>
        </w:tc>
        <w:tc>
          <w:tcPr>
            <w:tcW w:w="2931" w:type="pct"/>
            <w:hideMark/>
          </w:tcPr>
          <w:p w14:paraId="51087F37" w14:textId="77777777" w:rsidR="00FC7D2C" w:rsidRPr="008D54A5" w:rsidRDefault="00FC7D2C" w:rsidP="00B26FC1">
            <w:pPr>
              <w:pStyle w:val="TableText"/>
              <w:spacing w:before="0"/>
            </w:pPr>
            <w:r w:rsidRPr="008D54A5">
              <w:t xml:space="preserve">Refuses to retrieve </w:t>
            </w:r>
          </w:p>
        </w:tc>
      </w:tr>
      <w:tr w:rsidR="00FC7D2C" w:rsidRPr="008D54A5" w14:paraId="2C58C084" w14:textId="77777777" w:rsidTr="00B4238F">
        <w:trPr>
          <w:trHeight w:val="20"/>
        </w:trPr>
        <w:tc>
          <w:tcPr>
            <w:tcW w:w="2069" w:type="pct"/>
            <w:noWrap/>
            <w:hideMark/>
          </w:tcPr>
          <w:p w14:paraId="54D5D279" w14:textId="77777777" w:rsidR="00FC7D2C" w:rsidRPr="008D54A5" w:rsidRDefault="00FC7D2C" w:rsidP="00B26FC1">
            <w:pPr>
              <w:pStyle w:val="TableText"/>
              <w:spacing w:before="0"/>
            </w:pPr>
            <w:r w:rsidRPr="008D54A5">
              <w:t>Included in Another Nonresponse OBD</w:t>
            </w:r>
          </w:p>
        </w:tc>
        <w:tc>
          <w:tcPr>
            <w:tcW w:w="2931" w:type="pct"/>
            <w:hideMark/>
          </w:tcPr>
          <w:p w14:paraId="34C2B2F9" w14:textId="77777777" w:rsidR="00FC7D2C" w:rsidRPr="008D54A5" w:rsidRDefault="00FC7D2C" w:rsidP="00B26FC1">
            <w:pPr>
              <w:pStyle w:val="TableText"/>
              <w:spacing w:before="0"/>
            </w:pPr>
            <w:r w:rsidRPr="008D54A5">
              <w:t xml:space="preserve">Included in Another Nonresponse OBD </w:t>
            </w:r>
          </w:p>
        </w:tc>
      </w:tr>
      <w:tr w:rsidR="00FC7D2C" w:rsidRPr="008D54A5" w14:paraId="15B35011" w14:textId="77777777" w:rsidTr="00B4238F">
        <w:trPr>
          <w:trHeight w:val="20"/>
        </w:trPr>
        <w:tc>
          <w:tcPr>
            <w:tcW w:w="2069" w:type="pct"/>
            <w:noWrap/>
            <w:hideMark/>
          </w:tcPr>
          <w:p w14:paraId="64662569" w14:textId="77777777" w:rsidR="00FC7D2C" w:rsidRPr="008D54A5" w:rsidRDefault="00FC7D2C" w:rsidP="00B26FC1">
            <w:pPr>
              <w:pStyle w:val="TableText"/>
              <w:spacing w:before="0"/>
            </w:pPr>
            <w:r w:rsidRPr="008D54A5">
              <w:t>Disavowal 1</w:t>
            </w:r>
          </w:p>
        </w:tc>
        <w:tc>
          <w:tcPr>
            <w:tcW w:w="2931" w:type="pct"/>
            <w:hideMark/>
          </w:tcPr>
          <w:p w14:paraId="0BE61B55" w14:textId="77777777" w:rsidR="00FC7D2C" w:rsidRPr="008D54A5" w:rsidRDefault="00FC7D2C" w:rsidP="00B26FC1">
            <w:pPr>
              <w:pStyle w:val="TableText"/>
              <w:spacing w:before="0"/>
            </w:pPr>
            <w:r w:rsidRPr="008D54A5">
              <w:t xml:space="preserve">Disavowal 1 </w:t>
            </w:r>
          </w:p>
        </w:tc>
      </w:tr>
      <w:tr w:rsidR="00FC7D2C" w:rsidRPr="008D54A5" w14:paraId="52C2B863" w14:textId="77777777" w:rsidTr="00B4238F">
        <w:trPr>
          <w:trHeight w:val="20"/>
        </w:trPr>
        <w:tc>
          <w:tcPr>
            <w:tcW w:w="2069" w:type="pct"/>
            <w:noWrap/>
            <w:hideMark/>
          </w:tcPr>
          <w:p w14:paraId="5092B7F1" w14:textId="77777777" w:rsidR="00FC7D2C" w:rsidRPr="008D54A5" w:rsidRDefault="00FC7D2C" w:rsidP="00B26FC1">
            <w:pPr>
              <w:pStyle w:val="TableText"/>
              <w:spacing w:before="0"/>
            </w:pPr>
            <w:r w:rsidRPr="008D54A5">
              <w:t>Disavowal 2</w:t>
            </w:r>
          </w:p>
        </w:tc>
        <w:tc>
          <w:tcPr>
            <w:tcW w:w="2931" w:type="pct"/>
            <w:hideMark/>
          </w:tcPr>
          <w:p w14:paraId="5D244046" w14:textId="77777777" w:rsidR="00FC7D2C" w:rsidRPr="008D54A5" w:rsidRDefault="00FC7D2C" w:rsidP="00B26FC1">
            <w:pPr>
              <w:pStyle w:val="TableText"/>
              <w:spacing w:before="0"/>
            </w:pPr>
            <w:r w:rsidRPr="008D54A5">
              <w:t xml:space="preserve">Disavowal 2 </w:t>
            </w:r>
          </w:p>
        </w:tc>
      </w:tr>
      <w:tr w:rsidR="00FC7D2C" w:rsidRPr="008D54A5" w14:paraId="390E3088" w14:textId="77777777" w:rsidTr="00B4238F">
        <w:trPr>
          <w:trHeight w:val="20"/>
        </w:trPr>
        <w:tc>
          <w:tcPr>
            <w:tcW w:w="2069" w:type="pct"/>
            <w:noWrap/>
            <w:hideMark/>
          </w:tcPr>
          <w:p w14:paraId="155916BA" w14:textId="77777777" w:rsidR="00FC7D2C" w:rsidRPr="008D54A5" w:rsidRDefault="00FC7D2C" w:rsidP="00B26FC1">
            <w:pPr>
              <w:pStyle w:val="TableText"/>
              <w:spacing w:before="0"/>
            </w:pPr>
            <w:r w:rsidRPr="008D54A5">
              <w:t>Referred / Copied Physician</w:t>
            </w:r>
          </w:p>
        </w:tc>
        <w:tc>
          <w:tcPr>
            <w:tcW w:w="2931" w:type="pct"/>
            <w:hideMark/>
          </w:tcPr>
          <w:p w14:paraId="70E26A20" w14:textId="77777777" w:rsidR="00FC7D2C" w:rsidRPr="008D54A5" w:rsidRDefault="00FC7D2C" w:rsidP="00B26FC1">
            <w:pPr>
              <w:pStyle w:val="TableText"/>
              <w:spacing w:before="0"/>
            </w:pPr>
            <w:r w:rsidRPr="008D54A5">
              <w:t>Referred / Copied Physician</w:t>
            </w:r>
          </w:p>
        </w:tc>
      </w:tr>
      <w:tr w:rsidR="00FC7D2C" w:rsidRPr="008D54A5" w14:paraId="33393581" w14:textId="77777777" w:rsidTr="00B4238F">
        <w:trPr>
          <w:trHeight w:val="20"/>
        </w:trPr>
        <w:tc>
          <w:tcPr>
            <w:tcW w:w="2069" w:type="pct"/>
            <w:noWrap/>
            <w:hideMark/>
          </w:tcPr>
          <w:p w14:paraId="79257113" w14:textId="77777777" w:rsidR="00FC7D2C" w:rsidRPr="008D54A5" w:rsidRDefault="00FC7D2C" w:rsidP="00B26FC1">
            <w:pPr>
              <w:pStyle w:val="TableText"/>
              <w:spacing w:before="0"/>
            </w:pPr>
            <w:r w:rsidRPr="008D54A5">
              <w:t>Dept Head Follow-up</w:t>
            </w:r>
          </w:p>
        </w:tc>
        <w:tc>
          <w:tcPr>
            <w:tcW w:w="2931" w:type="pct"/>
            <w:hideMark/>
          </w:tcPr>
          <w:p w14:paraId="5B2EF350" w14:textId="77777777" w:rsidR="00FC7D2C" w:rsidRPr="008D54A5" w:rsidRDefault="00FC7D2C" w:rsidP="00B26FC1">
            <w:pPr>
              <w:pStyle w:val="TableText"/>
              <w:spacing w:before="0"/>
            </w:pPr>
            <w:r w:rsidRPr="008D54A5">
              <w:t xml:space="preserve">Dept Head follow-up </w:t>
            </w:r>
          </w:p>
        </w:tc>
      </w:tr>
      <w:tr w:rsidR="00FC7D2C" w:rsidRPr="008D54A5" w14:paraId="4B089B8A" w14:textId="77777777" w:rsidTr="00B4238F">
        <w:trPr>
          <w:trHeight w:val="20"/>
        </w:trPr>
        <w:tc>
          <w:tcPr>
            <w:tcW w:w="2069" w:type="pct"/>
            <w:noWrap/>
          </w:tcPr>
          <w:p w14:paraId="3BBDDDCE" w14:textId="0B81FB95" w:rsidR="00FC7D2C" w:rsidRPr="008D54A5" w:rsidRDefault="00FC7D2C" w:rsidP="00B26FC1">
            <w:pPr>
              <w:pStyle w:val="TableText"/>
              <w:spacing w:before="0"/>
            </w:pPr>
            <w:r w:rsidRPr="008D54A5">
              <w:t xml:space="preserve">Not an SBD </w:t>
            </w:r>
          </w:p>
        </w:tc>
        <w:tc>
          <w:tcPr>
            <w:tcW w:w="2931" w:type="pct"/>
          </w:tcPr>
          <w:p w14:paraId="6D46AA85" w14:textId="149D3EA0" w:rsidR="00FC7D2C" w:rsidRPr="008D54A5" w:rsidRDefault="00FC7D2C" w:rsidP="00B26FC1">
            <w:pPr>
              <w:pStyle w:val="TableText"/>
              <w:spacing w:before="0"/>
            </w:pPr>
            <w:r w:rsidRPr="008D54A5">
              <w:t xml:space="preserve">Not an SBD </w:t>
            </w:r>
          </w:p>
        </w:tc>
      </w:tr>
      <w:tr w:rsidR="00FC7D2C" w:rsidRPr="008D54A5" w14:paraId="4C36B5B3" w14:textId="77777777" w:rsidTr="00B4238F">
        <w:trPr>
          <w:trHeight w:val="20"/>
        </w:trPr>
        <w:tc>
          <w:tcPr>
            <w:tcW w:w="2069" w:type="pct"/>
            <w:noWrap/>
          </w:tcPr>
          <w:p w14:paraId="593364C9" w14:textId="6F783C24" w:rsidR="00FC7D2C" w:rsidRPr="008D54A5" w:rsidRDefault="00FC7D2C" w:rsidP="00B26FC1">
            <w:pPr>
              <w:pStyle w:val="TableText"/>
              <w:spacing w:before="0"/>
            </w:pPr>
            <w:r w:rsidRPr="008D54A5">
              <w:t xml:space="preserve">Not an SBD </w:t>
            </w:r>
          </w:p>
        </w:tc>
        <w:tc>
          <w:tcPr>
            <w:tcW w:w="2931" w:type="pct"/>
          </w:tcPr>
          <w:p w14:paraId="6FF2AF29" w14:textId="77777777" w:rsidR="00FC7D2C" w:rsidRPr="008D54A5" w:rsidRDefault="00FC7D2C" w:rsidP="00B26FC1">
            <w:pPr>
              <w:pStyle w:val="TableText"/>
              <w:spacing w:before="0"/>
            </w:pPr>
            <w:r w:rsidRPr="008D54A5">
              <w:t xml:space="preserve">Final — Not SBD per AO </w:t>
            </w:r>
          </w:p>
        </w:tc>
      </w:tr>
      <w:tr w:rsidR="00FC7D2C" w:rsidRPr="008D54A5" w14:paraId="0F0D3A84" w14:textId="77777777" w:rsidTr="00B4238F">
        <w:trPr>
          <w:trHeight w:val="20"/>
        </w:trPr>
        <w:tc>
          <w:tcPr>
            <w:tcW w:w="2069" w:type="pct"/>
            <w:noWrap/>
          </w:tcPr>
          <w:p w14:paraId="219230E0" w14:textId="77777777" w:rsidR="00FC7D2C" w:rsidRPr="008D54A5" w:rsidRDefault="00FC7D2C" w:rsidP="00B26FC1">
            <w:pPr>
              <w:pStyle w:val="TableText"/>
              <w:spacing w:before="0"/>
            </w:pPr>
            <w:r w:rsidRPr="008D54A5">
              <w:t>Other</w:t>
            </w:r>
          </w:p>
        </w:tc>
        <w:tc>
          <w:tcPr>
            <w:tcW w:w="2931" w:type="pct"/>
          </w:tcPr>
          <w:p w14:paraId="73E40E80" w14:textId="77777777" w:rsidR="00FC7D2C" w:rsidRPr="008D54A5" w:rsidRDefault="00FC7D2C" w:rsidP="00B26FC1">
            <w:pPr>
              <w:pStyle w:val="TableText"/>
              <w:spacing w:before="0"/>
            </w:pPr>
            <w:r w:rsidRPr="008D54A5">
              <w:t>Empty Node or Pending Code</w:t>
            </w:r>
          </w:p>
        </w:tc>
      </w:tr>
      <w:tr w:rsidR="00FC7D2C" w:rsidRPr="008D54A5" w14:paraId="7A5F9295" w14:textId="77777777" w:rsidTr="00B4238F">
        <w:trPr>
          <w:trHeight w:val="20"/>
        </w:trPr>
        <w:tc>
          <w:tcPr>
            <w:tcW w:w="2069" w:type="pct"/>
            <w:noWrap/>
          </w:tcPr>
          <w:p w14:paraId="2606E81D" w14:textId="77777777" w:rsidR="00FC7D2C" w:rsidRPr="008D54A5" w:rsidRDefault="00FC7D2C" w:rsidP="00B26FC1">
            <w:pPr>
              <w:pStyle w:val="TableText"/>
              <w:spacing w:before="0"/>
            </w:pPr>
            <w:r w:rsidRPr="008D54A5">
              <w:lastRenderedPageBreak/>
              <w:t>Other</w:t>
            </w:r>
          </w:p>
        </w:tc>
        <w:tc>
          <w:tcPr>
            <w:tcW w:w="2931" w:type="pct"/>
          </w:tcPr>
          <w:p w14:paraId="0863DE9B" w14:textId="77777777" w:rsidR="00FC7D2C" w:rsidRPr="008D54A5" w:rsidRDefault="00FC7D2C" w:rsidP="00B26FC1">
            <w:pPr>
              <w:pStyle w:val="TableText"/>
              <w:spacing w:before="0"/>
            </w:pPr>
            <w:r w:rsidRPr="008D54A5">
              <w:t xml:space="preserve">Reached Max Call Attempts </w:t>
            </w:r>
          </w:p>
        </w:tc>
      </w:tr>
      <w:tr w:rsidR="00FC7D2C" w:rsidRPr="008D54A5" w14:paraId="5431D410" w14:textId="77777777" w:rsidTr="00B4238F">
        <w:trPr>
          <w:trHeight w:val="20"/>
        </w:trPr>
        <w:tc>
          <w:tcPr>
            <w:tcW w:w="2069" w:type="pct"/>
            <w:noWrap/>
          </w:tcPr>
          <w:p w14:paraId="468B5C97" w14:textId="77777777" w:rsidR="00FC7D2C" w:rsidRPr="008D54A5" w:rsidRDefault="00FC7D2C" w:rsidP="00B26FC1">
            <w:pPr>
              <w:pStyle w:val="TableText"/>
              <w:spacing w:before="0"/>
            </w:pPr>
            <w:r w:rsidRPr="008D54A5">
              <w:t>Other</w:t>
            </w:r>
          </w:p>
        </w:tc>
        <w:tc>
          <w:tcPr>
            <w:tcW w:w="2931" w:type="pct"/>
          </w:tcPr>
          <w:p w14:paraId="24F132AD" w14:textId="77777777" w:rsidR="00FC7D2C" w:rsidRPr="008D54A5" w:rsidRDefault="00FC7D2C" w:rsidP="00B26FC1">
            <w:pPr>
              <w:pStyle w:val="TableText"/>
              <w:spacing w:before="0"/>
            </w:pPr>
            <w:r w:rsidRPr="008D54A5">
              <w:t xml:space="preserve">Contact Group Not Worked </w:t>
            </w:r>
          </w:p>
        </w:tc>
      </w:tr>
      <w:tr w:rsidR="00FC7D2C" w:rsidRPr="008D54A5" w14:paraId="3B6131AF" w14:textId="77777777" w:rsidTr="00B4238F">
        <w:trPr>
          <w:trHeight w:val="20"/>
        </w:trPr>
        <w:tc>
          <w:tcPr>
            <w:tcW w:w="2069" w:type="pct"/>
            <w:noWrap/>
          </w:tcPr>
          <w:p w14:paraId="45FA74D4" w14:textId="77777777" w:rsidR="00FC7D2C" w:rsidRPr="008D54A5" w:rsidRDefault="00FC7D2C" w:rsidP="00B26FC1">
            <w:pPr>
              <w:pStyle w:val="TableText"/>
              <w:spacing w:before="0"/>
            </w:pPr>
            <w:r w:rsidRPr="008D54A5">
              <w:t>Other</w:t>
            </w:r>
          </w:p>
        </w:tc>
        <w:tc>
          <w:tcPr>
            <w:tcW w:w="2931" w:type="pct"/>
          </w:tcPr>
          <w:p w14:paraId="7EEF3F6D" w14:textId="77777777" w:rsidR="00FC7D2C" w:rsidRPr="008D54A5" w:rsidRDefault="00FC7D2C" w:rsidP="00B26FC1">
            <w:pPr>
              <w:pStyle w:val="TableText"/>
              <w:spacing w:before="0"/>
            </w:pPr>
            <w:r w:rsidRPr="008D54A5">
              <w:t xml:space="preserve">Other Nonresponse </w:t>
            </w:r>
          </w:p>
        </w:tc>
      </w:tr>
      <w:tr w:rsidR="00FC7D2C" w:rsidRPr="008D54A5" w14:paraId="067742AF" w14:textId="77777777" w:rsidTr="00B4238F">
        <w:trPr>
          <w:trHeight w:val="20"/>
        </w:trPr>
        <w:tc>
          <w:tcPr>
            <w:tcW w:w="2069" w:type="pct"/>
            <w:noWrap/>
          </w:tcPr>
          <w:p w14:paraId="31EB3338" w14:textId="77777777" w:rsidR="00FC7D2C" w:rsidRPr="008D54A5" w:rsidRDefault="00FC7D2C" w:rsidP="00B26FC1">
            <w:pPr>
              <w:pStyle w:val="TableText"/>
              <w:spacing w:before="0"/>
            </w:pPr>
            <w:r w:rsidRPr="008D54A5">
              <w:t>Other</w:t>
            </w:r>
          </w:p>
        </w:tc>
        <w:tc>
          <w:tcPr>
            <w:tcW w:w="2931" w:type="pct"/>
          </w:tcPr>
          <w:p w14:paraId="7AFE3D01" w14:textId="77777777" w:rsidR="00FC7D2C" w:rsidRPr="008D54A5" w:rsidRDefault="00FC7D2C" w:rsidP="00B26FC1">
            <w:pPr>
              <w:pStyle w:val="TableText"/>
              <w:spacing w:before="0"/>
            </w:pPr>
            <w:r w:rsidRPr="008D54A5">
              <w:t xml:space="preserve">Abstracted but not Fielded — HOSP/INST EF created in error </w:t>
            </w:r>
          </w:p>
        </w:tc>
      </w:tr>
      <w:tr w:rsidR="00FC7D2C" w:rsidRPr="008D54A5" w14:paraId="3FB8FDB4" w14:textId="77777777" w:rsidTr="00B4238F">
        <w:trPr>
          <w:trHeight w:val="20"/>
        </w:trPr>
        <w:tc>
          <w:tcPr>
            <w:tcW w:w="2069" w:type="pct"/>
            <w:noWrap/>
          </w:tcPr>
          <w:p w14:paraId="1A22CD67" w14:textId="77777777" w:rsidR="00FC7D2C" w:rsidRPr="008D54A5" w:rsidRDefault="00FC7D2C" w:rsidP="00B26FC1">
            <w:pPr>
              <w:pStyle w:val="TableText"/>
              <w:spacing w:before="0"/>
            </w:pPr>
            <w:r w:rsidRPr="008D54A5">
              <w:t>Other</w:t>
            </w:r>
          </w:p>
        </w:tc>
        <w:tc>
          <w:tcPr>
            <w:tcW w:w="2931" w:type="pct"/>
          </w:tcPr>
          <w:p w14:paraId="4A9B37D0" w14:textId="77777777" w:rsidR="00FC7D2C" w:rsidRPr="008D54A5" w:rsidRDefault="00FC7D2C" w:rsidP="00B26FC1">
            <w:pPr>
              <w:pStyle w:val="TableText"/>
              <w:spacing w:before="0"/>
            </w:pPr>
            <w:r w:rsidRPr="008D54A5">
              <w:t xml:space="preserve">SBD is a duplicate of a non-SBD </w:t>
            </w:r>
          </w:p>
        </w:tc>
      </w:tr>
      <w:tr w:rsidR="00FC7D2C" w:rsidRPr="008D54A5" w14:paraId="768D8FBA" w14:textId="77777777" w:rsidTr="00B4238F">
        <w:trPr>
          <w:trHeight w:val="20"/>
        </w:trPr>
        <w:tc>
          <w:tcPr>
            <w:tcW w:w="2069" w:type="pct"/>
            <w:noWrap/>
          </w:tcPr>
          <w:p w14:paraId="415404AE" w14:textId="77777777" w:rsidR="00FC7D2C" w:rsidRPr="008D54A5" w:rsidRDefault="00FC7D2C" w:rsidP="00B26FC1">
            <w:pPr>
              <w:pStyle w:val="TableText"/>
              <w:spacing w:before="0"/>
            </w:pPr>
            <w:r w:rsidRPr="008D54A5">
              <w:t>Other</w:t>
            </w:r>
          </w:p>
        </w:tc>
        <w:tc>
          <w:tcPr>
            <w:tcW w:w="2931" w:type="pct"/>
          </w:tcPr>
          <w:p w14:paraId="0F48CA82" w14:textId="77777777" w:rsidR="00FC7D2C" w:rsidRPr="008D54A5" w:rsidRDefault="00FC7D2C" w:rsidP="00B26FC1">
            <w:pPr>
              <w:pStyle w:val="TableText"/>
              <w:spacing w:before="0"/>
            </w:pPr>
            <w:r w:rsidRPr="008D54A5">
              <w:t xml:space="preserve">Abstracted but not Fielded — SBD Node Created from HOSP Event Form </w:t>
            </w:r>
          </w:p>
        </w:tc>
      </w:tr>
      <w:tr w:rsidR="00FC7D2C" w:rsidRPr="008D54A5" w14:paraId="12CD549B" w14:textId="77777777" w:rsidTr="00B4238F">
        <w:trPr>
          <w:trHeight w:val="20"/>
        </w:trPr>
        <w:tc>
          <w:tcPr>
            <w:tcW w:w="2069" w:type="pct"/>
            <w:noWrap/>
          </w:tcPr>
          <w:p w14:paraId="59119133" w14:textId="77777777" w:rsidR="00FC7D2C" w:rsidRPr="008D54A5" w:rsidRDefault="00FC7D2C" w:rsidP="00B26FC1">
            <w:pPr>
              <w:pStyle w:val="TableText"/>
            </w:pPr>
            <w:r w:rsidRPr="008D54A5">
              <w:t>Other</w:t>
            </w:r>
          </w:p>
        </w:tc>
        <w:tc>
          <w:tcPr>
            <w:tcW w:w="2931" w:type="pct"/>
          </w:tcPr>
          <w:p w14:paraId="13071C17" w14:textId="77777777" w:rsidR="00FC7D2C" w:rsidRPr="008D54A5" w:rsidRDefault="00FC7D2C" w:rsidP="00B26FC1">
            <w:pPr>
              <w:pStyle w:val="TableText"/>
            </w:pPr>
            <w:r w:rsidRPr="008D54A5">
              <w:t>Coding incomplete</w:t>
            </w:r>
          </w:p>
        </w:tc>
      </w:tr>
      <w:tr w:rsidR="00FC7D2C" w:rsidRPr="008D54A5" w14:paraId="3816CEBC" w14:textId="77777777" w:rsidTr="00B4238F">
        <w:trPr>
          <w:trHeight w:val="20"/>
        </w:trPr>
        <w:tc>
          <w:tcPr>
            <w:tcW w:w="2069" w:type="pct"/>
            <w:noWrap/>
          </w:tcPr>
          <w:p w14:paraId="558C5C11" w14:textId="77777777" w:rsidR="00FC7D2C" w:rsidRPr="008D54A5" w:rsidRDefault="00FC7D2C" w:rsidP="00B26FC1">
            <w:pPr>
              <w:pStyle w:val="TableText"/>
            </w:pPr>
            <w:r w:rsidRPr="008D54A5">
              <w:t>Abstracted in Error</w:t>
            </w:r>
          </w:p>
        </w:tc>
        <w:tc>
          <w:tcPr>
            <w:tcW w:w="2931" w:type="pct"/>
          </w:tcPr>
          <w:p w14:paraId="283FF13F" w14:textId="77777777" w:rsidR="00FC7D2C" w:rsidRPr="008D54A5" w:rsidRDefault="00FC7D2C" w:rsidP="00B26FC1">
            <w:pPr>
              <w:pStyle w:val="TableText"/>
            </w:pPr>
            <w:r w:rsidRPr="008D54A5">
              <w:t xml:space="preserve">Abstracted in Error </w:t>
            </w:r>
          </w:p>
        </w:tc>
      </w:tr>
      <w:tr w:rsidR="00FC7D2C" w:rsidRPr="008D54A5" w14:paraId="7B6AE76C" w14:textId="77777777" w:rsidTr="00B4238F">
        <w:trPr>
          <w:trHeight w:val="20"/>
        </w:trPr>
        <w:tc>
          <w:tcPr>
            <w:tcW w:w="2069" w:type="pct"/>
            <w:noWrap/>
          </w:tcPr>
          <w:p w14:paraId="21CC9D09" w14:textId="729D83C7" w:rsidR="00FC7D2C" w:rsidRPr="008D54A5" w:rsidRDefault="00FC7D2C" w:rsidP="00B26FC1">
            <w:pPr>
              <w:pStyle w:val="TableText"/>
            </w:pPr>
            <w:r w:rsidRPr="008D54A5">
              <w:t>Abstracted in Error</w:t>
            </w:r>
          </w:p>
        </w:tc>
        <w:tc>
          <w:tcPr>
            <w:tcW w:w="2931" w:type="pct"/>
          </w:tcPr>
          <w:p w14:paraId="44A14F45" w14:textId="77777777" w:rsidR="00FC7D2C" w:rsidRPr="008D54A5" w:rsidRDefault="00FC7D2C" w:rsidP="00B26FC1">
            <w:pPr>
              <w:pStyle w:val="TableText"/>
            </w:pPr>
            <w:r w:rsidRPr="008D54A5">
              <w:t>Duplicate of existing node from same hospital event</w:t>
            </w:r>
          </w:p>
        </w:tc>
      </w:tr>
      <w:tr w:rsidR="00FC7D2C" w:rsidRPr="008D54A5" w14:paraId="3C71EB98" w14:textId="77777777" w:rsidTr="00B4238F">
        <w:trPr>
          <w:trHeight w:val="20"/>
        </w:trPr>
        <w:tc>
          <w:tcPr>
            <w:tcW w:w="2069" w:type="pct"/>
            <w:noWrap/>
          </w:tcPr>
          <w:p w14:paraId="780936F7" w14:textId="77777777" w:rsidR="00FC7D2C" w:rsidRPr="008D54A5" w:rsidRDefault="00FC7D2C" w:rsidP="00B26FC1">
            <w:pPr>
              <w:pStyle w:val="TableText"/>
            </w:pPr>
            <w:r w:rsidRPr="008D54A5">
              <w:t>Included in Another SBD</w:t>
            </w:r>
          </w:p>
        </w:tc>
        <w:tc>
          <w:tcPr>
            <w:tcW w:w="2931" w:type="pct"/>
          </w:tcPr>
          <w:p w14:paraId="3B18AB57" w14:textId="77777777" w:rsidR="00FC7D2C" w:rsidRPr="008D54A5" w:rsidRDefault="00FC7D2C" w:rsidP="00B26FC1">
            <w:pPr>
              <w:pStyle w:val="TableText"/>
            </w:pPr>
            <w:r w:rsidRPr="008D54A5">
              <w:t xml:space="preserve">Included in Another SBD </w:t>
            </w:r>
          </w:p>
        </w:tc>
      </w:tr>
      <w:tr w:rsidR="00FC7D2C" w:rsidRPr="008D54A5" w14:paraId="665A3A14" w14:textId="77777777" w:rsidTr="00B4238F">
        <w:trPr>
          <w:trHeight w:val="20"/>
        </w:trPr>
        <w:tc>
          <w:tcPr>
            <w:tcW w:w="2069" w:type="pct"/>
            <w:noWrap/>
          </w:tcPr>
          <w:p w14:paraId="225079BB" w14:textId="77777777" w:rsidR="00FC7D2C" w:rsidRPr="008D54A5" w:rsidRDefault="00FC7D2C" w:rsidP="00B26FC1">
            <w:pPr>
              <w:pStyle w:val="TableText"/>
            </w:pPr>
            <w:r w:rsidRPr="008D54A5">
              <w:t>Included in Hospital</w:t>
            </w:r>
          </w:p>
        </w:tc>
        <w:tc>
          <w:tcPr>
            <w:tcW w:w="2931" w:type="pct"/>
          </w:tcPr>
          <w:p w14:paraId="2A03943A" w14:textId="77777777" w:rsidR="00FC7D2C" w:rsidRPr="008D54A5" w:rsidRDefault="00FC7D2C" w:rsidP="00B26FC1">
            <w:pPr>
              <w:pStyle w:val="TableText"/>
            </w:pPr>
            <w:r w:rsidRPr="008D54A5">
              <w:t xml:space="preserve">Included in Hospital Event </w:t>
            </w:r>
          </w:p>
        </w:tc>
      </w:tr>
      <w:tr w:rsidR="00FC7D2C" w:rsidRPr="008D54A5" w14:paraId="1D3B76B9" w14:textId="77777777" w:rsidTr="00B4238F">
        <w:trPr>
          <w:trHeight w:val="20"/>
        </w:trPr>
        <w:tc>
          <w:tcPr>
            <w:tcW w:w="2069" w:type="pct"/>
            <w:noWrap/>
          </w:tcPr>
          <w:p w14:paraId="0B5E8937" w14:textId="77777777" w:rsidR="00FC7D2C" w:rsidRPr="008D54A5" w:rsidRDefault="00FC7D2C" w:rsidP="00B26FC1">
            <w:pPr>
              <w:pStyle w:val="TableText"/>
            </w:pPr>
            <w:r w:rsidRPr="008D54A5">
              <w:t>Included in OBD</w:t>
            </w:r>
          </w:p>
        </w:tc>
        <w:tc>
          <w:tcPr>
            <w:tcW w:w="2931" w:type="pct"/>
          </w:tcPr>
          <w:p w14:paraId="7CC49956" w14:textId="77777777" w:rsidR="00FC7D2C" w:rsidRPr="008D54A5" w:rsidRDefault="00FC7D2C" w:rsidP="00B26FC1">
            <w:pPr>
              <w:pStyle w:val="TableText"/>
            </w:pPr>
            <w:r w:rsidRPr="008D54A5">
              <w:t xml:space="preserve">Included in OBD </w:t>
            </w:r>
          </w:p>
        </w:tc>
      </w:tr>
    </w:tbl>
    <w:p w14:paraId="1D27AF56" w14:textId="3569BECA" w:rsidR="00DC45E7" w:rsidRPr="008D54A5" w:rsidRDefault="00DC45E7" w:rsidP="00DC45E7">
      <w:pPr>
        <w:pStyle w:val="tablecont"/>
        <w:rPr>
          <w:sz w:val="20"/>
        </w:rPr>
      </w:pPr>
      <w:bookmarkStart w:id="67" w:name="_Hlk68007728"/>
      <w:r w:rsidRPr="008D54A5">
        <w:t>(continued)</w:t>
      </w:r>
    </w:p>
    <w:p w14:paraId="7B2A3BD2" w14:textId="1FD54F59" w:rsidR="00DC45E7" w:rsidRPr="008D54A5" w:rsidRDefault="00DC45E7" w:rsidP="00DC45E7">
      <w:pPr>
        <w:pStyle w:val="ExhibitTitleContinued0"/>
      </w:pPr>
      <w:r w:rsidRPr="00B53C63">
        <w:lastRenderedPageBreak/>
        <w:t>Exhibit </w:t>
      </w:r>
      <w:r w:rsidRPr="008D54A5">
        <w:rPr>
          <w:noProof/>
        </w:rPr>
        <w:t>3</w:t>
      </w:r>
      <w:r w:rsidRPr="008D54A5">
        <w:t>.</w:t>
      </w:r>
      <w:r w:rsidRPr="008D54A5">
        <w:rPr>
          <w:noProof/>
        </w:rPr>
        <w:t>3</w:t>
      </w:r>
      <w:r w:rsidRPr="008D54A5">
        <w:tab/>
        <w:t>Mapping of the Final Disposition of the Node to FIN_DISP—2022 MPC (continued)</w:t>
      </w:r>
    </w:p>
    <w:tbl>
      <w:tblPr>
        <w:tblStyle w:val="TableGrid"/>
        <w:tblW w:w="3459" w:type="pct"/>
        <w:tblLayout w:type="fixed"/>
        <w:tblLook w:val="04A0" w:firstRow="1" w:lastRow="0" w:firstColumn="1" w:lastColumn="0" w:noHBand="0" w:noVBand="1"/>
      </w:tblPr>
      <w:tblGrid>
        <w:gridCol w:w="2676"/>
        <w:gridCol w:w="3792"/>
      </w:tblGrid>
      <w:tr w:rsidR="00193477" w:rsidRPr="008D54A5" w14:paraId="47CE04FE" w14:textId="77777777" w:rsidTr="00B4238F">
        <w:trPr>
          <w:cnfStyle w:val="100000000000" w:firstRow="1" w:lastRow="0" w:firstColumn="0" w:lastColumn="0" w:oddVBand="0" w:evenVBand="0" w:oddHBand="0" w:evenHBand="0" w:firstRowFirstColumn="0" w:firstRowLastColumn="0" w:lastRowFirstColumn="0" w:lastRowLastColumn="0"/>
          <w:trHeight w:val="20"/>
        </w:trPr>
        <w:tc>
          <w:tcPr>
            <w:tcW w:w="2069" w:type="pct"/>
            <w:noWrap/>
            <w:hideMark/>
          </w:tcPr>
          <w:p w14:paraId="78FCF378" w14:textId="77777777" w:rsidR="00193477" w:rsidRPr="008D54A5" w:rsidRDefault="00193477" w:rsidP="00B26FC1">
            <w:pPr>
              <w:pStyle w:val="TableHeading"/>
            </w:pPr>
            <w:r w:rsidRPr="008D54A5">
              <w:t>FIN_DISP Label</w:t>
            </w:r>
          </w:p>
        </w:tc>
        <w:tc>
          <w:tcPr>
            <w:tcW w:w="2931" w:type="pct"/>
            <w:hideMark/>
          </w:tcPr>
          <w:p w14:paraId="173ADA1B" w14:textId="77777777" w:rsidR="00193477" w:rsidRPr="008D54A5" w:rsidRDefault="00193477" w:rsidP="00B26FC1">
            <w:pPr>
              <w:pStyle w:val="TableHeading"/>
            </w:pPr>
            <w:r w:rsidRPr="008D54A5">
              <w:t>Node Status Label</w:t>
            </w:r>
          </w:p>
        </w:tc>
      </w:tr>
      <w:tr w:rsidR="00193477" w:rsidRPr="008D54A5" w14:paraId="682A2BB2" w14:textId="77777777" w:rsidTr="00B4238F">
        <w:trPr>
          <w:trHeight w:val="20"/>
        </w:trPr>
        <w:tc>
          <w:tcPr>
            <w:tcW w:w="2069" w:type="pct"/>
            <w:noWrap/>
          </w:tcPr>
          <w:p w14:paraId="602CC4E5" w14:textId="77777777" w:rsidR="00193477" w:rsidRPr="008D54A5" w:rsidRDefault="00193477" w:rsidP="00B26FC1">
            <w:pPr>
              <w:pStyle w:val="TableText"/>
            </w:pPr>
            <w:r w:rsidRPr="008D54A5">
              <w:t>Held nodes (subsampled and not fielded)</w:t>
            </w:r>
          </w:p>
        </w:tc>
        <w:tc>
          <w:tcPr>
            <w:tcW w:w="2931" w:type="pct"/>
          </w:tcPr>
          <w:p w14:paraId="4A242848" w14:textId="77777777" w:rsidR="00193477" w:rsidRPr="008D54A5" w:rsidRDefault="00193477" w:rsidP="00B26FC1">
            <w:pPr>
              <w:pStyle w:val="TableText"/>
            </w:pPr>
            <w:r w:rsidRPr="008D54A5">
              <w:t>Abstracted but not Fielded — SBD Node built into Sample</w:t>
            </w:r>
          </w:p>
        </w:tc>
      </w:tr>
      <w:tr w:rsidR="00193477" w:rsidRPr="008D54A5" w14:paraId="496EE887" w14:textId="77777777" w:rsidTr="00B4238F">
        <w:trPr>
          <w:trHeight w:val="20"/>
        </w:trPr>
        <w:tc>
          <w:tcPr>
            <w:tcW w:w="2069" w:type="pct"/>
            <w:noWrap/>
          </w:tcPr>
          <w:p w14:paraId="5693B386" w14:textId="77777777" w:rsidR="00193477" w:rsidRPr="008D54A5" w:rsidRDefault="00193477" w:rsidP="00B26FC1">
            <w:pPr>
              <w:pStyle w:val="TableText"/>
            </w:pPr>
            <w:r w:rsidRPr="008D54A5">
              <w:t>Node is a leaf</w:t>
            </w:r>
          </w:p>
        </w:tc>
        <w:tc>
          <w:tcPr>
            <w:tcW w:w="2931" w:type="pct"/>
          </w:tcPr>
          <w:p w14:paraId="6F527567" w14:textId="77777777" w:rsidR="00193477" w:rsidRPr="008D54A5" w:rsidRDefault="00193477" w:rsidP="00B26FC1">
            <w:pPr>
              <w:pStyle w:val="TableText"/>
            </w:pPr>
            <w:r w:rsidRPr="008D54A5">
              <w:t xml:space="preserve">Node is a leaf </w:t>
            </w:r>
          </w:p>
        </w:tc>
      </w:tr>
    </w:tbl>
    <w:p w14:paraId="3EDB637A" w14:textId="77777777" w:rsidR="00DC45E7" w:rsidRPr="008D54A5" w:rsidRDefault="00DC45E7" w:rsidP="00DC45E7">
      <w:pPr>
        <w:pStyle w:val="Source-9-1"/>
      </w:pPr>
      <w:r w:rsidRPr="008D54A5">
        <w:t>AO = administrative office; EF = Event Form; HOSP = hospital; INST = institution; OBD = office-based doctor; SBD = separately billing doctor.</w:t>
      </w:r>
    </w:p>
    <w:bookmarkEnd w:id="67"/>
    <w:p w14:paraId="6788554D" w14:textId="3649EEB9" w:rsidR="00704DAE" w:rsidRPr="008D54A5" w:rsidRDefault="00704DAE" w:rsidP="007347D6">
      <w:pPr>
        <w:pStyle w:val="BodyText"/>
        <w:rPr>
          <w:shd w:val="clear" w:color="auto" w:fill="FFFFFF"/>
        </w:rPr>
      </w:pPr>
      <w:r w:rsidRPr="008D54A5">
        <w:rPr>
          <w:shd w:val="clear" w:color="auto" w:fill="FFFFFF"/>
        </w:rPr>
        <w:t xml:space="preserve">The node-level file that RTI delivers includes all nodes that are linked to complete or partial </w:t>
      </w:r>
      <w:r w:rsidR="00691384" w:rsidRPr="008D54A5">
        <w:rPr>
          <w:shd w:val="clear" w:color="auto" w:fill="FFFFFF"/>
        </w:rPr>
        <w:t>H</w:t>
      </w:r>
      <w:r w:rsidRPr="008D54A5">
        <w:rPr>
          <w:shd w:val="clear" w:color="auto" w:fill="FFFFFF"/>
        </w:rPr>
        <w:t>ospital events. This includes some nodes that are not fielded (</w:t>
      </w:r>
      <w:r w:rsidR="00DE409E" w:rsidRPr="008D54A5">
        <w:rPr>
          <w:shd w:val="clear" w:color="auto" w:fill="FFFFFF"/>
        </w:rPr>
        <w:t>e.g.</w:t>
      </w:r>
      <w:r w:rsidRPr="008D54A5">
        <w:rPr>
          <w:shd w:val="clear" w:color="auto" w:fill="FFFFFF"/>
        </w:rPr>
        <w:t xml:space="preserve">, because they are determined to not be SBDs prior to data collection, </w:t>
      </w:r>
      <w:r w:rsidR="00B509E8" w:rsidRPr="008D54A5">
        <w:rPr>
          <w:shd w:val="clear" w:color="auto" w:fill="FFFFFF"/>
        </w:rPr>
        <w:t>because there was not enough information to attempt to locate the SBD, or because the node was held from fielding due to subsampling).</w:t>
      </w:r>
    </w:p>
    <w:p w14:paraId="35FFBC9D" w14:textId="46754684" w:rsidR="00386741" w:rsidRPr="008D54A5" w:rsidRDefault="00386741" w:rsidP="00386741">
      <w:pPr>
        <w:pStyle w:val="BodyText1212"/>
      </w:pPr>
      <w:r w:rsidRPr="008D54A5">
        <w:rPr>
          <w:shd w:val="clear" w:color="auto" w:fill="FFFFFF"/>
        </w:rPr>
        <w:t>Complete or partially complete SBD encounters can include SBDs collected on the SBD event form, OBD events (including S-type events) that are reclassified as SBDs, and OBDs that are determined to overlap (or duplicate) an SBD and whose data are copied into the SBD fields.</w:t>
      </w:r>
    </w:p>
    <w:p w14:paraId="4CA6C910" w14:textId="12EB6A7A" w:rsidR="00813973" w:rsidRPr="008D54A5" w:rsidRDefault="00F66AD2" w:rsidP="00245172">
      <w:pPr>
        <w:pStyle w:val="Heading3"/>
      </w:pPr>
      <w:bookmarkStart w:id="68" w:name="_Toc127287276"/>
      <w:bookmarkStart w:id="69" w:name="_Toc160529602"/>
      <w:bookmarkStart w:id="70" w:name="_Hlk36200367"/>
      <w:bookmarkStart w:id="71" w:name="_Toc189128089"/>
      <w:bookmarkEnd w:id="42"/>
      <w:r w:rsidRPr="008D54A5">
        <w:t>SBD Node-Level Data Edits</w:t>
      </w:r>
      <w:bookmarkEnd w:id="68"/>
      <w:bookmarkEnd w:id="69"/>
      <w:bookmarkEnd w:id="71"/>
    </w:p>
    <w:p w14:paraId="357C5BF5" w14:textId="4D2628B9" w:rsidR="00AB6FEE" w:rsidRPr="008D54A5" w:rsidRDefault="00AB6FEE" w:rsidP="00896374">
      <w:pPr>
        <w:pStyle w:val="BodyText"/>
        <w:keepNext/>
        <w:spacing w:after="120"/>
        <w:rPr>
          <w:rFonts w:asciiTheme="majorBidi" w:hAnsiTheme="majorBidi" w:cstheme="majorBidi"/>
        </w:rPr>
      </w:pPr>
      <w:r w:rsidRPr="008D54A5">
        <w:rPr>
          <w:rFonts w:asciiTheme="majorBidi" w:hAnsiTheme="majorBidi" w:cstheme="majorBidi"/>
        </w:rPr>
        <w:t>The SBD node-level file contains</w:t>
      </w:r>
      <w:r w:rsidR="00846C4B" w:rsidRPr="008D54A5">
        <w:rPr>
          <w:rFonts w:asciiTheme="majorBidi" w:hAnsiTheme="majorBidi" w:cstheme="majorBidi"/>
        </w:rPr>
        <w:t xml:space="preserve"> the following</w:t>
      </w:r>
      <w:r w:rsidR="00FA4D32" w:rsidRPr="008D54A5">
        <w:rPr>
          <w:rFonts w:asciiTheme="majorBidi" w:hAnsiTheme="majorBidi" w:cstheme="majorBidi"/>
        </w:rPr>
        <w:t>:</w:t>
      </w:r>
      <w:r w:rsidRPr="008D54A5">
        <w:rPr>
          <w:rFonts w:asciiTheme="majorBidi" w:hAnsiTheme="majorBidi" w:cstheme="majorBidi"/>
        </w:rPr>
        <w:t xml:space="preserve"> </w:t>
      </w:r>
    </w:p>
    <w:p w14:paraId="7EE0841E" w14:textId="4CA88F62" w:rsidR="00AB6FEE" w:rsidRPr="008D54A5" w:rsidRDefault="00AB6FEE" w:rsidP="007A4CF4">
      <w:pPr>
        <w:pStyle w:val="bullets"/>
      </w:pPr>
      <w:r w:rsidRPr="008D54A5">
        <w:t xml:space="preserve">SBD nodes and encounters </w:t>
      </w:r>
      <w:r w:rsidR="002F2DBD" w:rsidRPr="008D54A5">
        <w:t xml:space="preserve">that are </w:t>
      </w:r>
      <w:r w:rsidRPr="008D54A5">
        <w:t xml:space="preserve">summarized to the node level </w:t>
      </w:r>
      <w:r w:rsidR="000631F0" w:rsidRPr="008D54A5">
        <w:t xml:space="preserve">that are </w:t>
      </w:r>
      <w:r w:rsidRPr="008D54A5">
        <w:t xml:space="preserve">collected on the SBD event form </w:t>
      </w:r>
    </w:p>
    <w:p w14:paraId="063962FF" w14:textId="17E4F1FB" w:rsidR="00AB6FEE" w:rsidRPr="008D54A5" w:rsidRDefault="00AB6FEE" w:rsidP="007A4CF4">
      <w:pPr>
        <w:pStyle w:val="bullets"/>
      </w:pPr>
      <w:r w:rsidRPr="008D54A5">
        <w:t xml:space="preserve">OBD events that are classified as SBD events because of the location of service and date in relation to the </w:t>
      </w:r>
      <w:r w:rsidR="004857F3" w:rsidRPr="008D54A5">
        <w:t>HS</w:t>
      </w:r>
      <w:r w:rsidRPr="008D54A5">
        <w:t xml:space="preserve">, and OBD </w:t>
      </w:r>
      <w:r w:rsidR="006C62E1" w:rsidRPr="008D54A5">
        <w:t xml:space="preserve">medical visit </w:t>
      </w:r>
      <w:r w:rsidRPr="008D54A5">
        <w:t xml:space="preserve">events that are classified as SBD events based on the date in relation to the </w:t>
      </w:r>
      <w:r w:rsidR="0080600C" w:rsidRPr="008D54A5">
        <w:t>H</w:t>
      </w:r>
      <w:r w:rsidRPr="008D54A5">
        <w:t xml:space="preserve">ospital event </w:t>
      </w:r>
    </w:p>
    <w:p w14:paraId="629779EC" w14:textId="4ECAD7E2" w:rsidR="00AB6FEE" w:rsidRPr="008D54A5" w:rsidRDefault="00AB6FEE" w:rsidP="00514FF9">
      <w:pPr>
        <w:pStyle w:val="bullets"/>
      </w:pPr>
      <w:r w:rsidRPr="008D54A5">
        <w:t>OBD events that are determined to be the same as an SBD event during the SBD</w:t>
      </w:r>
      <w:r w:rsidR="00C42D3B" w:rsidRPr="008D54A5">
        <w:t>–</w:t>
      </w:r>
      <w:r w:rsidRPr="008D54A5">
        <w:t xml:space="preserve">OBD overlap review </w:t>
      </w:r>
    </w:p>
    <w:p w14:paraId="682D2FCB" w14:textId="4D6734C9" w:rsidR="00AB6FEE" w:rsidRPr="008D54A5" w:rsidRDefault="00AB6FEE" w:rsidP="00514FF9">
      <w:pPr>
        <w:pStyle w:val="bullets"/>
      </w:pPr>
      <w:r w:rsidRPr="008D54A5">
        <w:t xml:space="preserve">OBD events with the same </w:t>
      </w:r>
      <w:r w:rsidR="00691384" w:rsidRPr="008D54A5">
        <w:t>H</w:t>
      </w:r>
      <w:r w:rsidRPr="008D54A5">
        <w:t xml:space="preserve">ospital event </w:t>
      </w:r>
      <w:r w:rsidR="00C42D3B" w:rsidRPr="008D54A5">
        <w:t xml:space="preserve">ID </w:t>
      </w:r>
      <w:r w:rsidRPr="008D54A5">
        <w:t xml:space="preserve">and SBD provider </w:t>
      </w:r>
      <w:r w:rsidR="00C42D3B" w:rsidRPr="008D54A5">
        <w:t xml:space="preserve">ID </w:t>
      </w:r>
      <w:r w:rsidRPr="008D54A5">
        <w:t>as an SBD encounter are placed in the same node as the SBD encounter for processing.</w:t>
      </w:r>
    </w:p>
    <w:p w14:paraId="288F6F84" w14:textId="3DF394EF" w:rsidR="00FF5E7B" w:rsidRPr="008D54A5" w:rsidRDefault="00F66AD2" w:rsidP="00981643">
      <w:pPr>
        <w:pStyle w:val="BodyText"/>
        <w:keepNext/>
        <w:spacing w:after="120"/>
      </w:pPr>
      <w:r w:rsidRPr="008D54A5">
        <w:rPr>
          <w:rFonts w:asciiTheme="majorBidi" w:hAnsiTheme="majorBidi" w:cstheme="majorBidi"/>
        </w:rPr>
        <w:t>A key step in editing</w:t>
      </w:r>
      <w:r w:rsidRPr="008D54A5">
        <w:t xml:space="preserve"> the node-level SBD data </w:t>
      </w:r>
      <w:r w:rsidR="003C17EC" w:rsidRPr="008D54A5">
        <w:t>is</w:t>
      </w:r>
      <w:r w:rsidRPr="008D54A5">
        <w:t xml:space="preserve"> to </w:t>
      </w:r>
      <w:r w:rsidR="003C17EC" w:rsidRPr="008D54A5">
        <w:t>summarize</w:t>
      </w:r>
      <w:r w:rsidRPr="008D54A5">
        <w:t xml:space="preserve"> the encounter-level data to the node level. Prior to </w:t>
      </w:r>
      <w:r w:rsidR="003C17EC" w:rsidRPr="008D54A5">
        <w:t>summarizing</w:t>
      </w:r>
      <w:r w:rsidRPr="008D54A5">
        <w:t xml:space="preserve"> to the node</w:t>
      </w:r>
      <w:r w:rsidR="001667B8" w:rsidRPr="008D54A5">
        <w:t xml:space="preserve"> </w:t>
      </w:r>
      <w:r w:rsidRPr="008D54A5">
        <w:t>level, SBD Source of Payment and Payment Amount variables</w:t>
      </w:r>
      <w:r w:rsidR="00EE42BB" w:rsidRPr="008D54A5">
        <w:t xml:space="preserve"> are created</w:t>
      </w:r>
      <w:r w:rsidRPr="008D54A5">
        <w:t xml:space="preserve"> at the encounter level. These variables </w:t>
      </w:r>
      <w:r w:rsidR="003C17EC" w:rsidRPr="008D54A5">
        <w:t>are</w:t>
      </w:r>
      <w:r w:rsidRPr="008D54A5">
        <w:t xml:space="preserve"> created for the following payment sources:</w:t>
      </w:r>
    </w:p>
    <w:tbl>
      <w:tblPr>
        <w:tblW w:w="0" w:type="auto"/>
        <w:tblLayout w:type="fixed"/>
        <w:tblCellMar>
          <w:left w:w="0" w:type="dxa"/>
          <w:right w:w="0" w:type="dxa"/>
        </w:tblCellMar>
        <w:tblLook w:val="04A0" w:firstRow="1" w:lastRow="0" w:firstColumn="1" w:lastColumn="0" w:noHBand="0" w:noVBand="1"/>
      </w:tblPr>
      <w:tblGrid>
        <w:gridCol w:w="3240"/>
        <w:gridCol w:w="3240"/>
        <w:gridCol w:w="3240"/>
      </w:tblGrid>
      <w:tr w:rsidR="007A4CF4" w:rsidRPr="008D54A5" w14:paraId="41577E4E" w14:textId="77777777" w:rsidTr="007A4CF4">
        <w:tc>
          <w:tcPr>
            <w:tcW w:w="3240" w:type="dxa"/>
          </w:tcPr>
          <w:p w14:paraId="16B7248D" w14:textId="504849D6" w:rsidR="007A4CF4" w:rsidRPr="008D54A5" w:rsidRDefault="007A4CF4" w:rsidP="0058399B">
            <w:pPr>
              <w:pStyle w:val="bullets"/>
            </w:pPr>
            <w:r w:rsidRPr="008D54A5">
              <w:t>Patient or patient</w:t>
            </w:r>
            <w:r w:rsidR="00356CD1" w:rsidRPr="008D54A5">
              <w:t>’</w:t>
            </w:r>
            <w:r w:rsidRPr="008D54A5">
              <w:t>s family</w:t>
            </w:r>
          </w:p>
          <w:p w14:paraId="0B01E0FC" w14:textId="4603EBF4" w:rsidR="007A4CF4" w:rsidRPr="008D54A5" w:rsidRDefault="007A4CF4" w:rsidP="0058399B">
            <w:pPr>
              <w:pStyle w:val="bullets"/>
            </w:pPr>
            <w:r w:rsidRPr="008D54A5">
              <w:t>Medicare</w:t>
            </w:r>
          </w:p>
          <w:p w14:paraId="6220DA05" w14:textId="26FD4BE6" w:rsidR="007A4CF4" w:rsidRPr="008D54A5" w:rsidRDefault="007A4CF4" w:rsidP="0058399B">
            <w:pPr>
              <w:pStyle w:val="bullets"/>
            </w:pPr>
            <w:r w:rsidRPr="008D54A5">
              <w:t>Medicaid</w:t>
            </w:r>
          </w:p>
          <w:p w14:paraId="79E5544C" w14:textId="5217BC8F" w:rsidR="007A4CF4" w:rsidRPr="008D54A5" w:rsidRDefault="007A4CF4" w:rsidP="0058399B">
            <w:pPr>
              <w:pStyle w:val="bullets"/>
            </w:pPr>
            <w:r w:rsidRPr="008D54A5">
              <w:t>Private insurance</w:t>
            </w:r>
          </w:p>
        </w:tc>
        <w:tc>
          <w:tcPr>
            <w:tcW w:w="3240" w:type="dxa"/>
          </w:tcPr>
          <w:p w14:paraId="66D75A36" w14:textId="101B5BAF" w:rsidR="007A4CF4" w:rsidRPr="008D54A5" w:rsidRDefault="007A4CF4" w:rsidP="00EA05D9">
            <w:pPr>
              <w:pStyle w:val="bullets"/>
            </w:pPr>
            <w:r w:rsidRPr="008D54A5">
              <w:t>VA/CHAMPVA</w:t>
            </w:r>
          </w:p>
          <w:p w14:paraId="6EACA6D3" w14:textId="1DC55A4F" w:rsidR="007A4CF4" w:rsidRPr="008D54A5" w:rsidRDefault="007A4CF4" w:rsidP="00EA05D9">
            <w:pPr>
              <w:pStyle w:val="bullets"/>
            </w:pPr>
            <w:r w:rsidRPr="008D54A5">
              <w:t>TRICARE</w:t>
            </w:r>
          </w:p>
          <w:p w14:paraId="0CCA3D66" w14:textId="467A7CE0" w:rsidR="007A4CF4" w:rsidRPr="008D54A5" w:rsidRDefault="007A4CF4" w:rsidP="00EA05D9">
            <w:pPr>
              <w:pStyle w:val="bullets"/>
            </w:pPr>
            <w:r w:rsidRPr="008D54A5">
              <w:t xml:space="preserve">Other </w:t>
            </w:r>
            <w:r w:rsidR="002D4D78" w:rsidRPr="008D54A5">
              <w:t>Federal</w:t>
            </w:r>
            <w:r w:rsidRPr="008D54A5">
              <w:t xml:space="preserve"> payment source</w:t>
            </w:r>
          </w:p>
        </w:tc>
        <w:tc>
          <w:tcPr>
            <w:tcW w:w="3240" w:type="dxa"/>
          </w:tcPr>
          <w:p w14:paraId="4FB9E1E4" w14:textId="641572B7" w:rsidR="007A4CF4" w:rsidRPr="008D54A5" w:rsidRDefault="007A4CF4" w:rsidP="00EA05D9">
            <w:pPr>
              <w:pStyle w:val="bullets"/>
            </w:pPr>
            <w:r w:rsidRPr="008D54A5">
              <w:t xml:space="preserve">Other </w:t>
            </w:r>
            <w:r w:rsidR="008F36B4" w:rsidRPr="008D54A5">
              <w:t>S</w:t>
            </w:r>
            <w:r w:rsidRPr="008D54A5">
              <w:t>tate/local payment source</w:t>
            </w:r>
          </w:p>
          <w:p w14:paraId="291BCDF5" w14:textId="051C1D5D" w:rsidR="007A4CF4" w:rsidRPr="008D54A5" w:rsidRDefault="007A4CF4" w:rsidP="00EA05D9">
            <w:pPr>
              <w:pStyle w:val="bullets"/>
            </w:pPr>
            <w:r w:rsidRPr="008D54A5">
              <w:t>Worker</w:t>
            </w:r>
            <w:r w:rsidR="00356CD1" w:rsidRPr="008D54A5">
              <w:t>’</w:t>
            </w:r>
            <w:r w:rsidRPr="008D54A5">
              <w:t>s compensation</w:t>
            </w:r>
          </w:p>
          <w:p w14:paraId="2A595D28" w14:textId="6C241681" w:rsidR="007A4CF4" w:rsidRPr="008D54A5" w:rsidRDefault="007A4CF4" w:rsidP="00EA05D9">
            <w:pPr>
              <w:pStyle w:val="bullets"/>
            </w:pPr>
            <w:r w:rsidRPr="008D54A5">
              <w:t>Other payment source</w:t>
            </w:r>
          </w:p>
        </w:tc>
      </w:tr>
    </w:tbl>
    <w:p w14:paraId="5DCFF64E" w14:textId="2EBB996C" w:rsidR="00443422" w:rsidRPr="008D54A5" w:rsidRDefault="00F66AD2" w:rsidP="00DC45E7">
      <w:pPr>
        <w:pStyle w:val="BodyText2"/>
        <w:rPr>
          <w:shd w:val="clear" w:color="auto" w:fill="FFFFFF"/>
        </w:rPr>
      </w:pPr>
      <w:r w:rsidRPr="008D54A5">
        <w:rPr>
          <w:shd w:val="clear" w:color="auto" w:fill="FFFFFF"/>
        </w:rPr>
        <w:t xml:space="preserve">Collapsing the encounter-level </w:t>
      </w:r>
      <w:r w:rsidR="00BC0326" w:rsidRPr="008D54A5">
        <w:t>source of payment and payment amount variables</w:t>
      </w:r>
      <w:r w:rsidRPr="008D54A5">
        <w:rPr>
          <w:shd w:val="clear" w:color="auto" w:fill="FFFFFF"/>
        </w:rPr>
        <w:t xml:space="preserve"> to the node level </w:t>
      </w:r>
      <w:r w:rsidR="003C17EC" w:rsidRPr="008D54A5">
        <w:rPr>
          <w:shd w:val="clear" w:color="auto" w:fill="FFFFFF"/>
        </w:rPr>
        <w:t>is</w:t>
      </w:r>
      <w:r w:rsidRPr="008D54A5">
        <w:rPr>
          <w:shd w:val="clear" w:color="auto" w:fill="FFFFFF"/>
        </w:rPr>
        <w:t xml:space="preserve"> not as easy as adding payments. The process </w:t>
      </w:r>
      <w:r w:rsidR="003C17EC" w:rsidRPr="008D54A5">
        <w:rPr>
          <w:shd w:val="clear" w:color="auto" w:fill="FFFFFF"/>
        </w:rPr>
        <w:t>is</w:t>
      </w:r>
      <w:r w:rsidRPr="008D54A5">
        <w:rPr>
          <w:shd w:val="clear" w:color="auto" w:fill="FFFFFF"/>
        </w:rPr>
        <w:t xml:space="preserve"> complicated </w:t>
      </w:r>
      <w:r w:rsidR="001667B8" w:rsidRPr="008D54A5">
        <w:rPr>
          <w:shd w:val="clear" w:color="auto" w:fill="FFFFFF"/>
        </w:rPr>
        <w:t>because of</w:t>
      </w:r>
      <w:r w:rsidRPr="008D54A5">
        <w:rPr>
          <w:shd w:val="clear" w:color="auto" w:fill="FFFFFF"/>
        </w:rPr>
        <w:t xml:space="preserve"> the varying values assigned to the payment variables across encounters within the same node</w:t>
      </w:r>
      <w:r w:rsidR="00BC0326" w:rsidRPr="008D54A5">
        <w:rPr>
          <w:shd w:val="clear" w:color="auto" w:fill="FFFFFF"/>
        </w:rPr>
        <w:t>,</w:t>
      </w:r>
      <w:r w:rsidRPr="008D54A5">
        <w:rPr>
          <w:shd w:val="clear" w:color="auto" w:fill="FFFFFF"/>
        </w:rPr>
        <w:t xml:space="preserve"> such as codes for missing payment sources and amounts</w:t>
      </w:r>
      <w:r w:rsidR="00BC0326" w:rsidRPr="008D54A5">
        <w:rPr>
          <w:shd w:val="clear" w:color="auto" w:fill="FFFFFF"/>
        </w:rPr>
        <w:t>,</w:t>
      </w:r>
      <w:r w:rsidRPr="008D54A5">
        <w:rPr>
          <w:shd w:val="clear" w:color="auto" w:fill="FFFFFF"/>
        </w:rPr>
        <w:t xml:space="preserve"> as well as inconsistencies in the data between source of </w:t>
      </w:r>
      <w:r w:rsidR="00990C2B" w:rsidRPr="008D54A5">
        <w:rPr>
          <w:shd w:val="clear" w:color="auto" w:fill="FFFFFF"/>
        </w:rPr>
        <w:t xml:space="preserve">payment </w:t>
      </w:r>
      <w:r w:rsidRPr="008D54A5">
        <w:rPr>
          <w:shd w:val="clear" w:color="auto" w:fill="FFFFFF"/>
        </w:rPr>
        <w:t xml:space="preserve">and </w:t>
      </w:r>
      <w:r w:rsidR="00990C2B" w:rsidRPr="008D54A5">
        <w:rPr>
          <w:shd w:val="clear" w:color="auto" w:fill="FFFFFF"/>
        </w:rPr>
        <w:t xml:space="preserve">amounts of </w:t>
      </w:r>
      <w:r w:rsidRPr="008D54A5">
        <w:rPr>
          <w:shd w:val="clear" w:color="auto" w:fill="FFFFFF"/>
        </w:rPr>
        <w:t>payment</w:t>
      </w:r>
      <w:r w:rsidR="00990C2B" w:rsidRPr="008D54A5">
        <w:rPr>
          <w:shd w:val="clear" w:color="auto" w:fill="FFFFFF"/>
        </w:rPr>
        <w:t xml:space="preserve"> by</w:t>
      </w:r>
      <w:r w:rsidRPr="008D54A5">
        <w:rPr>
          <w:shd w:val="clear" w:color="auto" w:fill="FFFFFF"/>
        </w:rPr>
        <w:t xml:space="preserve"> sources. For example, the source of payment may indicate that private insurance made a payment, but the payment amount for private insurance </w:t>
      </w:r>
      <w:r w:rsidR="003C17EC" w:rsidRPr="008D54A5">
        <w:rPr>
          <w:shd w:val="clear" w:color="auto" w:fill="FFFFFF"/>
        </w:rPr>
        <w:t>is</w:t>
      </w:r>
      <w:r w:rsidRPr="008D54A5">
        <w:rPr>
          <w:shd w:val="clear" w:color="auto" w:fill="FFFFFF"/>
        </w:rPr>
        <w:t xml:space="preserve"> </w:t>
      </w:r>
      <w:r w:rsidRPr="008D54A5">
        <w:rPr>
          <w:shd w:val="clear" w:color="auto" w:fill="FFFFFF"/>
        </w:rPr>
        <w:lastRenderedPageBreak/>
        <w:t xml:space="preserve">missing or vice versa. </w:t>
      </w:r>
      <w:r w:rsidR="00BC0326" w:rsidRPr="008D54A5">
        <w:rPr>
          <w:shd w:val="clear" w:color="auto" w:fill="FFFFFF"/>
        </w:rPr>
        <w:t>T</w:t>
      </w:r>
      <w:r w:rsidRPr="008D54A5">
        <w:rPr>
          <w:shd w:val="clear" w:color="auto" w:fill="FFFFFF"/>
        </w:rPr>
        <w:t xml:space="preserve">o </w:t>
      </w:r>
      <w:r w:rsidR="003C17EC" w:rsidRPr="008D54A5">
        <w:rPr>
          <w:shd w:val="clear" w:color="auto" w:fill="FFFFFF"/>
        </w:rPr>
        <w:t>summarize</w:t>
      </w:r>
      <w:r w:rsidRPr="008D54A5">
        <w:rPr>
          <w:shd w:val="clear" w:color="auto" w:fill="FFFFFF"/>
        </w:rPr>
        <w:t xml:space="preserve"> these payment variables to the node level so that the node-level values </w:t>
      </w:r>
      <w:r w:rsidR="003C17EC" w:rsidRPr="008D54A5">
        <w:rPr>
          <w:shd w:val="clear" w:color="auto" w:fill="FFFFFF"/>
        </w:rPr>
        <w:t>are</w:t>
      </w:r>
      <w:r w:rsidRPr="008D54A5">
        <w:rPr>
          <w:shd w:val="clear" w:color="auto" w:fill="FFFFFF"/>
        </w:rPr>
        <w:t xml:space="preserve"> indicative of all encounters in the node, the SBD data </w:t>
      </w:r>
      <w:r w:rsidR="00E31F74" w:rsidRPr="008D54A5">
        <w:rPr>
          <w:shd w:val="clear" w:color="auto" w:fill="FFFFFF"/>
        </w:rPr>
        <w:t>are</w:t>
      </w:r>
      <w:r w:rsidR="00EE42BB" w:rsidRPr="008D54A5">
        <w:rPr>
          <w:shd w:val="clear" w:color="auto" w:fill="FFFFFF"/>
        </w:rPr>
        <w:t xml:space="preserve"> </w:t>
      </w:r>
      <w:r w:rsidR="002508FD" w:rsidRPr="008D54A5">
        <w:rPr>
          <w:shd w:val="clear" w:color="auto" w:fill="FFFFFF"/>
        </w:rPr>
        <w:t>processed</w:t>
      </w:r>
      <w:r w:rsidR="00EE42BB" w:rsidRPr="008D54A5">
        <w:rPr>
          <w:shd w:val="clear" w:color="auto" w:fill="FFFFFF"/>
        </w:rPr>
        <w:t xml:space="preserve"> </w:t>
      </w:r>
      <w:r w:rsidRPr="008D54A5">
        <w:rPr>
          <w:shd w:val="clear" w:color="auto" w:fill="FFFFFF"/>
        </w:rPr>
        <w:t xml:space="preserve">by performing edits </w:t>
      </w:r>
      <w:r w:rsidR="00E31F74" w:rsidRPr="008D54A5">
        <w:rPr>
          <w:shd w:val="clear" w:color="auto" w:fill="FFFFFF"/>
        </w:rPr>
        <w:t>provided by</w:t>
      </w:r>
      <w:r w:rsidRPr="008D54A5">
        <w:rPr>
          <w:shd w:val="clear" w:color="auto" w:fill="FFFFFF"/>
        </w:rPr>
        <w:t xml:space="preserve"> </w:t>
      </w:r>
      <w:r w:rsidR="00686DB0" w:rsidRPr="008D54A5">
        <w:rPr>
          <w:shd w:val="clear" w:color="auto" w:fill="FFFFFF"/>
        </w:rPr>
        <w:t xml:space="preserve">AHRQ and the </w:t>
      </w:r>
      <w:r w:rsidR="003E77E3" w:rsidRPr="008D54A5">
        <w:rPr>
          <w:shd w:val="clear" w:color="auto" w:fill="FFFFFF"/>
        </w:rPr>
        <w:t xml:space="preserve">HC </w:t>
      </w:r>
      <w:r w:rsidRPr="008D54A5">
        <w:rPr>
          <w:shd w:val="clear" w:color="auto" w:fill="FFFFFF"/>
        </w:rPr>
        <w:t>contractor who will us</w:t>
      </w:r>
      <w:r w:rsidR="004D5317" w:rsidRPr="008D54A5">
        <w:rPr>
          <w:shd w:val="clear" w:color="auto" w:fill="FFFFFF"/>
        </w:rPr>
        <w:t>e</w:t>
      </w:r>
      <w:r w:rsidRPr="008D54A5">
        <w:rPr>
          <w:shd w:val="clear" w:color="auto" w:fill="FFFFFF"/>
        </w:rPr>
        <w:t xml:space="preserve"> these data in the subsequent MEPS estimation phase</w:t>
      </w:r>
      <w:r w:rsidR="00B95A55">
        <w:rPr>
          <w:shd w:val="clear" w:color="auto" w:fill="FFFFFF"/>
        </w:rPr>
        <w:t>.</w:t>
      </w:r>
      <w:r w:rsidR="00C64407" w:rsidRPr="008D54A5">
        <w:rPr>
          <w:shd w:val="clear" w:color="auto" w:fill="FFFFFF"/>
        </w:rPr>
        <w:t xml:space="preserve"> </w:t>
      </w:r>
      <w:r w:rsidRPr="008D54A5">
        <w:rPr>
          <w:shd w:val="clear" w:color="auto" w:fill="FFFFFF"/>
        </w:rPr>
        <w:t xml:space="preserve">The end results of these edits </w:t>
      </w:r>
      <w:r w:rsidR="003C17EC" w:rsidRPr="008D54A5">
        <w:rPr>
          <w:shd w:val="clear" w:color="auto" w:fill="FFFFFF"/>
        </w:rPr>
        <w:t>are</w:t>
      </w:r>
      <w:r w:rsidRPr="008D54A5">
        <w:rPr>
          <w:shd w:val="clear" w:color="auto" w:fill="FFFFFF"/>
        </w:rPr>
        <w:t xml:space="preserve"> node-level variables for the </w:t>
      </w:r>
      <w:r w:rsidRPr="008D54A5">
        <w:t xml:space="preserve">SBD </w:t>
      </w:r>
      <w:r w:rsidR="00BC0326" w:rsidRPr="008D54A5">
        <w:t>source of payment</w:t>
      </w:r>
      <w:r w:rsidRPr="008D54A5">
        <w:t xml:space="preserve"> (SBDSOP1-10) and SBD </w:t>
      </w:r>
      <w:r w:rsidR="00BC0326" w:rsidRPr="008D54A5">
        <w:t>payment amount</w:t>
      </w:r>
      <w:r w:rsidRPr="008D54A5">
        <w:t xml:space="preserve"> (SBDAMT1-10). These edits prepare </w:t>
      </w:r>
      <w:r w:rsidRPr="008D54A5">
        <w:rPr>
          <w:shd w:val="clear" w:color="auto" w:fill="FFFFFF"/>
        </w:rPr>
        <w:t>the payment source and amount variables for the contractor</w:t>
      </w:r>
      <w:r w:rsidR="00356CD1" w:rsidRPr="008D54A5">
        <w:rPr>
          <w:shd w:val="clear" w:color="auto" w:fill="FFFFFF"/>
        </w:rPr>
        <w:t>’</w:t>
      </w:r>
      <w:r w:rsidR="00F17D54" w:rsidRPr="008D54A5">
        <w:rPr>
          <w:shd w:val="clear" w:color="auto" w:fill="FFFFFF"/>
        </w:rPr>
        <w:t>s</w:t>
      </w:r>
      <w:r w:rsidRPr="008D54A5">
        <w:rPr>
          <w:shd w:val="clear" w:color="auto" w:fill="FFFFFF"/>
        </w:rPr>
        <w:t xml:space="preserve"> imputation process.</w:t>
      </w:r>
    </w:p>
    <w:p w14:paraId="0E28F7B0" w14:textId="14D36EAF" w:rsidR="007F577A" w:rsidRPr="008D54A5" w:rsidRDefault="00C36516" w:rsidP="00E75D33">
      <w:pPr>
        <w:pStyle w:val="BodyText"/>
      </w:pPr>
      <w:r w:rsidRPr="008D54A5">
        <w:t>F</w:t>
      </w:r>
      <w:r w:rsidR="00F66AD2" w:rsidRPr="008D54A5">
        <w:t xml:space="preserve">inal disposition codes </w:t>
      </w:r>
      <w:r w:rsidRPr="008D54A5">
        <w:t xml:space="preserve">are also created </w:t>
      </w:r>
      <w:r w:rsidR="00F66AD2" w:rsidRPr="008D54A5">
        <w:t>at the node level. In general, all encounters within each node ha</w:t>
      </w:r>
      <w:r w:rsidR="003C17EC" w:rsidRPr="008D54A5">
        <w:t>ve</w:t>
      </w:r>
      <w:r w:rsidR="00F66AD2" w:rsidRPr="008D54A5">
        <w:t xml:space="preserve"> the same disposition code except for </w:t>
      </w:r>
      <w:r w:rsidR="003C17EC" w:rsidRPr="008D54A5">
        <w:t>occasional</w:t>
      </w:r>
      <w:r w:rsidR="00F66AD2" w:rsidRPr="008D54A5">
        <w:t xml:space="preserve"> node</w:t>
      </w:r>
      <w:r w:rsidR="003C17EC" w:rsidRPr="008D54A5">
        <w:t>s</w:t>
      </w:r>
      <w:r w:rsidR="00F66AD2" w:rsidRPr="008D54A5">
        <w:t xml:space="preserve"> that contain encounters with disposition codes of complete and partially complete. The final disposition of th</w:t>
      </w:r>
      <w:r w:rsidR="003C17EC" w:rsidRPr="008D54A5">
        <w:t>ese</w:t>
      </w:r>
      <w:r w:rsidR="00F66AD2" w:rsidRPr="008D54A5">
        <w:t xml:space="preserve"> node</w:t>
      </w:r>
      <w:r w:rsidR="003C17EC" w:rsidRPr="008D54A5">
        <w:t>s is</w:t>
      </w:r>
      <w:r w:rsidR="00F66AD2" w:rsidRPr="008D54A5">
        <w:t xml:space="preserve"> assigned to </w:t>
      </w:r>
      <w:r w:rsidR="00356CD1" w:rsidRPr="008D54A5">
        <w:t>“</w:t>
      </w:r>
      <w:r w:rsidR="00F66AD2" w:rsidRPr="008D54A5">
        <w:t>complete</w:t>
      </w:r>
      <w:r w:rsidR="00F40678" w:rsidRPr="008D54A5">
        <w:t>.”</w:t>
      </w:r>
    </w:p>
    <w:p w14:paraId="54B2DD40" w14:textId="6C7F55BB" w:rsidR="00443422" w:rsidRPr="008D54A5" w:rsidRDefault="00F66AD2" w:rsidP="00E75D33">
      <w:pPr>
        <w:pStyle w:val="BodyText"/>
      </w:pPr>
      <w:r w:rsidRPr="008D54A5">
        <w:t xml:space="preserve">Several variables unique to the node-level data </w:t>
      </w:r>
      <w:r w:rsidR="003C17EC" w:rsidRPr="008D54A5">
        <w:t>are</w:t>
      </w:r>
      <w:r w:rsidRPr="008D54A5">
        <w:t xml:space="preserve"> produced. </w:t>
      </w:r>
      <w:r w:rsidR="00EE42BB" w:rsidRPr="008D54A5">
        <w:t>A</w:t>
      </w:r>
      <w:r w:rsidRPr="008D54A5">
        <w:t xml:space="preserve"> variable </w:t>
      </w:r>
      <w:r w:rsidR="00EE42BB" w:rsidRPr="008D54A5">
        <w:t xml:space="preserve">is created </w:t>
      </w:r>
      <w:r w:rsidRPr="008D54A5">
        <w:t xml:space="preserve">for the number of SBD nodes in a </w:t>
      </w:r>
      <w:r w:rsidR="00BC0326" w:rsidRPr="008D54A5">
        <w:t xml:space="preserve">global fee </w:t>
      </w:r>
      <w:proofErr w:type="gramStart"/>
      <w:r w:rsidR="00BC0326" w:rsidRPr="008D54A5">
        <w:t xml:space="preserve">bundle </w:t>
      </w:r>
      <w:r w:rsidR="000E49D8" w:rsidRPr="008D54A5">
        <w:t xml:space="preserve"> and</w:t>
      </w:r>
      <w:proofErr w:type="gramEnd"/>
      <w:r w:rsidR="00A516E2" w:rsidRPr="008D54A5">
        <w:t xml:space="preserve"> </w:t>
      </w:r>
      <w:r w:rsidRPr="008D54A5">
        <w:t>a flag for out-of-</w:t>
      </w:r>
      <w:r w:rsidR="00813973" w:rsidRPr="008D54A5">
        <w:t xml:space="preserve">scope SBD nodes </w:t>
      </w:r>
      <w:r w:rsidR="000E49D8" w:rsidRPr="008D54A5">
        <w:t>.</w:t>
      </w:r>
      <w:r w:rsidR="00443422" w:rsidRPr="008D54A5">
        <w:t xml:space="preserve"> </w:t>
      </w:r>
      <w:r w:rsidR="000E49D8" w:rsidRPr="008D54A5">
        <w:t xml:space="preserve">After the MPC-HC </w:t>
      </w:r>
      <w:r w:rsidR="0080600C" w:rsidRPr="008D54A5">
        <w:t>H</w:t>
      </w:r>
      <w:r w:rsidR="000E49D8" w:rsidRPr="008D54A5">
        <w:t xml:space="preserve">ospital </w:t>
      </w:r>
      <w:r w:rsidR="00A74169" w:rsidRPr="008D54A5">
        <w:t xml:space="preserve">event </w:t>
      </w:r>
      <w:r w:rsidR="000E49D8" w:rsidRPr="008D54A5">
        <w:t>matching, two additional variables related to the matching results</w:t>
      </w:r>
      <w:r w:rsidR="00EE42BB" w:rsidRPr="008D54A5">
        <w:t xml:space="preserve"> are created</w:t>
      </w:r>
      <w:proofErr w:type="gramStart"/>
      <w:r w:rsidR="00443422" w:rsidRPr="008D54A5">
        <w:t>—</w:t>
      </w:r>
      <w:r w:rsidR="00BC0326" w:rsidRPr="008D54A5">
        <w:t>(</w:t>
      </w:r>
      <w:proofErr w:type="gramEnd"/>
      <w:r w:rsidR="000E49D8" w:rsidRPr="008D54A5">
        <w:t>1)</w:t>
      </w:r>
      <w:r w:rsidR="00813973" w:rsidRPr="008D54A5">
        <w:t xml:space="preserve"> an indicator of whether the </w:t>
      </w:r>
      <w:r w:rsidR="007A2832" w:rsidRPr="008D54A5">
        <w:t>H</w:t>
      </w:r>
      <w:r w:rsidR="00350AE3" w:rsidRPr="008D54A5">
        <w:t>ospital</w:t>
      </w:r>
      <w:r w:rsidR="00813973" w:rsidRPr="008D54A5">
        <w:t xml:space="preserve"> event </w:t>
      </w:r>
      <w:r w:rsidR="003C17EC" w:rsidRPr="008D54A5">
        <w:t>is</w:t>
      </w:r>
      <w:r w:rsidR="00813973" w:rsidRPr="008D54A5">
        <w:t xml:space="preserve"> match</w:t>
      </w:r>
      <w:r w:rsidR="00452362" w:rsidRPr="008D54A5">
        <w:t xml:space="preserve">ed to an HC event </w:t>
      </w:r>
      <w:r w:rsidR="000E49D8" w:rsidRPr="008D54A5">
        <w:t xml:space="preserve"> and </w:t>
      </w:r>
      <w:r w:rsidR="00BC0326" w:rsidRPr="008D54A5">
        <w:t xml:space="preserve">(2) </w:t>
      </w:r>
      <w:r w:rsidR="00813973" w:rsidRPr="008D54A5">
        <w:t xml:space="preserve">a variable to flag out-of-scope nodes that </w:t>
      </w:r>
      <w:r w:rsidR="003C17EC" w:rsidRPr="008D54A5">
        <w:t>are</w:t>
      </w:r>
      <w:r w:rsidR="00813973" w:rsidRPr="008D54A5">
        <w:t xml:space="preserve"> matched to an HC event</w:t>
      </w:r>
      <w:r w:rsidR="000E49D8" w:rsidRPr="008D54A5">
        <w:t xml:space="preserve"> </w:t>
      </w:r>
      <w:r w:rsidR="00813973" w:rsidRPr="008D54A5">
        <w:t>.</w:t>
      </w:r>
    </w:p>
    <w:p w14:paraId="6CDEB092" w14:textId="358D064D" w:rsidR="007F577A" w:rsidRPr="008D54A5" w:rsidRDefault="00566061" w:rsidP="00E75D33">
      <w:pPr>
        <w:pStyle w:val="BodyText"/>
      </w:pPr>
      <w:r w:rsidRPr="008D54A5">
        <w:t>The follow</w:t>
      </w:r>
      <w:r w:rsidR="000227F2" w:rsidRPr="008D54A5">
        <w:t>i</w:t>
      </w:r>
      <w:r w:rsidRPr="008D54A5">
        <w:t>ng</w:t>
      </w:r>
      <w:r w:rsidR="00BC0326" w:rsidRPr="008D54A5">
        <w:t xml:space="preserve"> </w:t>
      </w:r>
      <w:r w:rsidR="005D562C" w:rsidRPr="008D54A5">
        <w:t>H</w:t>
      </w:r>
      <w:r w:rsidR="00350AE3" w:rsidRPr="008D54A5">
        <w:t>ospital</w:t>
      </w:r>
      <w:r w:rsidR="00813973" w:rsidRPr="008D54A5">
        <w:t xml:space="preserve"> variables </w:t>
      </w:r>
      <w:r w:rsidR="003C17EC" w:rsidRPr="008D54A5">
        <w:t>are</w:t>
      </w:r>
      <w:r w:rsidR="00813973" w:rsidRPr="008D54A5">
        <w:t xml:space="preserve"> merged onto the node-level data</w:t>
      </w:r>
      <w:r w:rsidR="00BC0326" w:rsidRPr="008D54A5">
        <w:t>:</w:t>
      </w:r>
      <w:r w:rsidR="00813973" w:rsidRPr="008D54A5">
        <w:t xml:space="preserve"> </w:t>
      </w:r>
      <w:r w:rsidR="005D562C" w:rsidRPr="008D54A5">
        <w:t>H</w:t>
      </w:r>
      <w:r w:rsidR="00350AE3" w:rsidRPr="008D54A5">
        <w:t>ospital</w:t>
      </w:r>
      <w:r w:rsidR="00813973" w:rsidRPr="008D54A5">
        <w:t xml:space="preserve"> IDs, </w:t>
      </w:r>
      <w:r w:rsidR="005D562C" w:rsidRPr="008D54A5">
        <w:t>H</w:t>
      </w:r>
      <w:r w:rsidR="00350AE3" w:rsidRPr="008D54A5">
        <w:t>ospital</w:t>
      </w:r>
      <w:r w:rsidR="00813973" w:rsidRPr="008D54A5">
        <w:t xml:space="preserve"> event setting, </w:t>
      </w:r>
      <w:r w:rsidR="005D562C" w:rsidRPr="008D54A5">
        <w:t>H</w:t>
      </w:r>
      <w:r w:rsidR="00350AE3" w:rsidRPr="008D54A5">
        <w:t>ospital</w:t>
      </w:r>
      <w:r w:rsidR="00813973" w:rsidRPr="008D54A5">
        <w:t xml:space="preserve"> total charge</w:t>
      </w:r>
      <w:r w:rsidR="00F66AD2" w:rsidRPr="008D54A5">
        <w:t>, and flags for radiology, surgery, and lab.</w:t>
      </w:r>
    </w:p>
    <w:p w14:paraId="3628C674" w14:textId="6B887943" w:rsidR="00443422" w:rsidRPr="008D54A5" w:rsidRDefault="00867B3C" w:rsidP="00867B3C">
      <w:pPr>
        <w:pStyle w:val="BodyText"/>
      </w:pPr>
      <w:r w:rsidRPr="008D54A5">
        <w:t>Finally</w:t>
      </w:r>
      <w:r w:rsidR="00F66AD2" w:rsidRPr="008D54A5">
        <w:t xml:space="preserve">, several node-level pre-edits </w:t>
      </w:r>
      <w:r w:rsidR="00EE42BB" w:rsidRPr="008D54A5">
        <w:t xml:space="preserve">are performed </w:t>
      </w:r>
      <w:r w:rsidR="001667B8" w:rsidRPr="008D54A5">
        <w:t xml:space="preserve">that </w:t>
      </w:r>
      <w:proofErr w:type="gramStart"/>
      <w:r w:rsidR="00BC0326" w:rsidRPr="008D54A5">
        <w:t>AHRQ</w:t>
      </w:r>
      <w:proofErr w:type="gramEnd"/>
      <w:r w:rsidR="00BC0326" w:rsidRPr="008D54A5">
        <w:t xml:space="preserve"> </w:t>
      </w:r>
      <w:r w:rsidR="00FB7D73" w:rsidRPr="008D54A5">
        <w:t xml:space="preserve">and the HC contractor </w:t>
      </w:r>
      <w:r w:rsidR="00BC0326" w:rsidRPr="008D54A5">
        <w:t>provide</w:t>
      </w:r>
      <w:r w:rsidR="00E31F74" w:rsidRPr="008D54A5">
        <w:t>d</w:t>
      </w:r>
      <w:r w:rsidR="00BC0326" w:rsidRPr="008D54A5">
        <w:t xml:space="preserve"> </w:t>
      </w:r>
      <w:r w:rsidR="00F66AD2" w:rsidRPr="008D54A5">
        <w:t xml:space="preserve">to us. </w:t>
      </w:r>
    </w:p>
    <w:p w14:paraId="280F3428" w14:textId="12A02E5D" w:rsidR="00B83989" w:rsidRPr="008D54A5" w:rsidRDefault="00356CD1" w:rsidP="00DC45E7">
      <w:pPr>
        <w:pStyle w:val="BodyText"/>
        <w:rPr>
          <w:rFonts w:ascii="Arial" w:hAnsi="Arial"/>
          <w:b/>
          <w:bCs w:val="0"/>
        </w:rPr>
      </w:pPr>
      <w:bookmarkStart w:id="72" w:name="_Hlk65062730"/>
      <w:r w:rsidRPr="00B53C63">
        <w:rPr>
          <w:b/>
        </w:rPr>
        <w:t>Exhibit </w:t>
      </w:r>
      <w:r w:rsidR="00F66AD2" w:rsidRPr="008D54A5">
        <w:rPr>
          <w:b/>
        </w:rPr>
        <w:t>3.</w:t>
      </w:r>
      <w:r w:rsidR="00A076B0" w:rsidRPr="008D54A5">
        <w:rPr>
          <w:b/>
        </w:rPr>
        <w:t>4</w:t>
      </w:r>
      <w:r w:rsidR="00A076B0" w:rsidRPr="008D54A5">
        <w:t xml:space="preserve"> </w:t>
      </w:r>
      <w:r w:rsidR="00F66AD2" w:rsidRPr="008D54A5">
        <w:t xml:space="preserve">displays the average number of SBD encounters per responding node by event type and several </w:t>
      </w:r>
      <w:r w:rsidR="005D562C" w:rsidRPr="008D54A5">
        <w:t>H</w:t>
      </w:r>
      <w:r w:rsidR="00350AE3" w:rsidRPr="008D54A5">
        <w:t>ospital</w:t>
      </w:r>
      <w:r w:rsidR="00F66AD2" w:rsidRPr="008D54A5">
        <w:t xml:space="preserve">-level variables for </w:t>
      </w:r>
      <w:r w:rsidR="001A4C10" w:rsidRPr="008D54A5">
        <w:t xml:space="preserve">the most recent </w:t>
      </w:r>
      <w:r w:rsidR="001667B8" w:rsidRPr="008D54A5">
        <w:t>3</w:t>
      </w:r>
      <w:r w:rsidR="001A4C10" w:rsidRPr="008D54A5">
        <w:t xml:space="preserve">-year </w:t>
      </w:r>
      <w:r w:rsidR="006C6E90" w:rsidRPr="008D54A5">
        <w:t>period</w:t>
      </w:r>
      <w:r w:rsidR="00F66AD2" w:rsidRPr="008D54A5">
        <w:t xml:space="preserve">. </w:t>
      </w:r>
      <w:r w:rsidR="006745B4" w:rsidRPr="008D54A5">
        <w:t xml:space="preserve">Generally, </w:t>
      </w:r>
      <w:r w:rsidR="001A4C10" w:rsidRPr="008D54A5">
        <w:t xml:space="preserve">the yearly averages </w:t>
      </w:r>
      <w:r w:rsidR="006745B4" w:rsidRPr="008D54A5">
        <w:t xml:space="preserve">are </w:t>
      </w:r>
      <w:r w:rsidR="005541AB" w:rsidRPr="008D54A5">
        <w:t>similar</w:t>
      </w:r>
      <w:r w:rsidR="00990C2B" w:rsidRPr="008D54A5">
        <w:t xml:space="preserve">, and the patterns for the average number of </w:t>
      </w:r>
      <w:r w:rsidR="00BD65E4" w:rsidRPr="008D54A5">
        <w:t xml:space="preserve">SBD </w:t>
      </w:r>
      <w:r w:rsidR="00990C2B" w:rsidRPr="008D54A5">
        <w:t xml:space="preserve">encounters across </w:t>
      </w:r>
      <w:r w:rsidR="005D562C" w:rsidRPr="008D54A5">
        <w:t>H</w:t>
      </w:r>
      <w:r w:rsidR="00350AE3" w:rsidRPr="008D54A5">
        <w:t>ospital</w:t>
      </w:r>
      <w:r w:rsidR="00990C2B" w:rsidRPr="008D54A5">
        <w:t xml:space="preserve"> event type</w:t>
      </w:r>
      <w:r w:rsidR="00D2316A" w:rsidRPr="008D54A5">
        <w:t>s</w:t>
      </w:r>
      <w:r w:rsidR="00990C2B" w:rsidRPr="008D54A5">
        <w:t xml:space="preserve"> and </w:t>
      </w:r>
      <w:r w:rsidR="005D562C" w:rsidRPr="008D54A5">
        <w:t>H</w:t>
      </w:r>
      <w:r w:rsidR="00350AE3" w:rsidRPr="008D54A5">
        <w:t>ospital</w:t>
      </w:r>
      <w:r w:rsidR="00990C2B" w:rsidRPr="008D54A5">
        <w:t xml:space="preserve"> event characteristics </w:t>
      </w:r>
      <w:r w:rsidR="00F66AD2" w:rsidRPr="008D54A5">
        <w:t xml:space="preserve">follow </w:t>
      </w:r>
      <w:r w:rsidR="00EE42BB" w:rsidRPr="008D54A5">
        <w:t>an expected pattern</w:t>
      </w:r>
      <w:r w:rsidR="00F66AD2" w:rsidRPr="008D54A5">
        <w:t xml:space="preserve">. For example, as charges and payments associated with the </w:t>
      </w:r>
      <w:r w:rsidR="004857F3" w:rsidRPr="008D54A5">
        <w:t>HS</w:t>
      </w:r>
      <w:r w:rsidR="00F66AD2" w:rsidRPr="008D54A5">
        <w:t xml:space="preserve"> increase, the number of</w:t>
      </w:r>
      <w:r w:rsidR="00BD65E4" w:rsidRPr="008D54A5">
        <w:t xml:space="preserve"> SBD</w:t>
      </w:r>
      <w:r w:rsidR="00F66AD2" w:rsidRPr="008D54A5">
        <w:t xml:space="preserve"> encounters per node increase</w:t>
      </w:r>
      <w:r w:rsidR="002508FD" w:rsidRPr="008D54A5">
        <w:t>s</w:t>
      </w:r>
      <w:r w:rsidR="00F66AD2" w:rsidRPr="008D54A5">
        <w:t>.</w:t>
      </w:r>
      <w:r w:rsidR="00D24B69" w:rsidRPr="008D54A5">
        <w:t xml:space="preserve"> In </w:t>
      </w:r>
      <w:r w:rsidR="00630C8D" w:rsidRPr="008D54A5">
        <w:t>2022</w:t>
      </w:r>
      <w:r w:rsidR="00D24B69" w:rsidRPr="008D54A5">
        <w:t xml:space="preserve">, the average number of SBD encounters per node for events at institutions </w:t>
      </w:r>
      <w:r w:rsidR="00566061" w:rsidRPr="008D54A5">
        <w:t xml:space="preserve">was </w:t>
      </w:r>
      <w:r w:rsidR="00630C8D" w:rsidRPr="008D54A5">
        <w:t>4.4</w:t>
      </w:r>
      <w:r w:rsidR="00566061" w:rsidRPr="008D54A5">
        <w:t xml:space="preserve">, compared to </w:t>
      </w:r>
      <w:r w:rsidR="00630C8D" w:rsidRPr="008D54A5">
        <w:t>3</w:t>
      </w:r>
      <w:r w:rsidR="00566061" w:rsidRPr="008D54A5">
        <w:t>.</w:t>
      </w:r>
      <w:r w:rsidR="00630C8D" w:rsidRPr="008D54A5">
        <w:t>0</w:t>
      </w:r>
      <w:r w:rsidR="00566061" w:rsidRPr="008D54A5">
        <w:t xml:space="preserve"> in 202</w:t>
      </w:r>
      <w:r w:rsidR="00630C8D" w:rsidRPr="008D54A5">
        <w:t>1</w:t>
      </w:r>
      <w:r w:rsidR="00D24B69" w:rsidRPr="008D54A5">
        <w:t xml:space="preserve">. When examining </w:t>
      </w:r>
      <w:r w:rsidR="00532998" w:rsidRPr="008D54A5">
        <w:t xml:space="preserve">the </w:t>
      </w:r>
      <w:r w:rsidR="00630C8D" w:rsidRPr="008D54A5">
        <w:t xml:space="preserve">2022 </w:t>
      </w:r>
      <w:r w:rsidR="00BD65E4" w:rsidRPr="008D54A5">
        <w:t xml:space="preserve">total charge </w:t>
      </w:r>
      <w:r w:rsidR="00D24B69" w:rsidRPr="008D54A5">
        <w:t xml:space="preserve">for </w:t>
      </w:r>
      <w:r w:rsidR="005D562C" w:rsidRPr="008D54A5">
        <w:t>H</w:t>
      </w:r>
      <w:r w:rsidR="00350AE3" w:rsidRPr="008D54A5">
        <w:t>ospital</w:t>
      </w:r>
      <w:r w:rsidR="00532998" w:rsidRPr="008D54A5">
        <w:t xml:space="preserve"> events</w:t>
      </w:r>
      <w:r w:rsidR="00D24B69" w:rsidRPr="008D54A5">
        <w:t xml:space="preserve">, the </w:t>
      </w:r>
      <w:r w:rsidR="00B05675" w:rsidRPr="008D54A5">
        <w:t xml:space="preserve">encounters per node </w:t>
      </w:r>
      <w:r w:rsidR="00532998" w:rsidRPr="008D54A5">
        <w:t xml:space="preserve">range from an average of </w:t>
      </w:r>
      <w:r w:rsidR="0055504C" w:rsidRPr="008D54A5">
        <w:t>1.0</w:t>
      </w:r>
      <w:r w:rsidR="00532998" w:rsidRPr="008D54A5">
        <w:t xml:space="preserve"> SBD encounter</w:t>
      </w:r>
      <w:r w:rsidR="0055504C" w:rsidRPr="008D54A5">
        <w:t xml:space="preserve"> per </w:t>
      </w:r>
      <w:r w:rsidR="00AB36E1" w:rsidRPr="008D54A5">
        <w:t>node to</w:t>
      </w:r>
      <w:r w:rsidR="00532998" w:rsidRPr="008D54A5">
        <w:t xml:space="preserve"> </w:t>
      </w:r>
      <w:r w:rsidR="00954E8D" w:rsidRPr="008D54A5">
        <w:t>1.</w:t>
      </w:r>
      <w:r w:rsidR="00ED1091">
        <w:t>4</w:t>
      </w:r>
      <w:r w:rsidR="00ED1091" w:rsidRPr="008D54A5">
        <w:t xml:space="preserve"> </w:t>
      </w:r>
      <w:r w:rsidR="0055504C" w:rsidRPr="008D54A5">
        <w:t xml:space="preserve">SBD encounters per node </w:t>
      </w:r>
      <w:r w:rsidR="00532998" w:rsidRPr="008D54A5">
        <w:t xml:space="preserve">as charges increase from $0 to over $10,000. </w:t>
      </w:r>
      <w:bookmarkStart w:id="73" w:name="RANGE!A1"/>
      <w:bookmarkStart w:id="74" w:name="_Toc128574185"/>
      <w:bookmarkEnd w:id="70"/>
      <w:bookmarkEnd w:id="72"/>
    </w:p>
    <w:p w14:paraId="1BDA6CFF" w14:textId="1D2E7FD0" w:rsidR="00A322E7" w:rsidRPr="008D54A5" w:rsidRDefault="0058399B" w:rsidP="00FD4A4F">
      <w:pPr>
        <w:pStyle w:val="ExhibitTitle"/>
      </w:pPr>
      <w:bookmarkStart w:id="75" w:name="_Toc188622342"/>
      <w:r w:rsidRPr="00B53C63">
        <w:t>Exhibit </w:t>
      </w:r>
      <w:r w:rsidRPr="008D54A5">
        <w:rPr>
          <w:noProof/>
        </w:rPr>
        <w:fldChar w:fldCharType="begin"/>
      </w:r>
      <w:r w:rsidRPr="008D54A5">
        <w:rPr>
          <w:noProof/>
        </w:rPr>
        <w:instrText xml:space="preserve"> STYLEREF 1 \s </w:instrText>
      </w:r>
      <w:r w:rsidRPr="008D54A5">
        <w:rPr>
          <w:noProof/>
        </w:rPr>
        <w:fldChar w:fldCharType="separate"/>
      </w:r>
      <w:r w:rsidR="00EC2444" w:rsidRPr="008D54A5">
        <w:rPr>
          <w:noProof/>
        </w:rPr>
        <w:t>3</w:t>
      </w:r>
      <w:r w:rsidRPr="008D54A5">
        <w:rPr>
          <w:noProof/>
        </w:rPr>
        <w:fldChar w:fldCharType="end"/>
      </w:r>
      <w:r w:rsidRPr="008D54A5">
        <w:t>.</w:t>
      </w:r>
      <w:r w:rsidRPr="008D54A5">
        <w:rPr>
          <w:noProof/>
        </w:rPr>
        <w:fldChar w:fldCharType="begin"/>
      </w:r>
      <w:r w:rsidRPr="008D54A5">
        <w:rPr>
          <w:noProof/>
        </w:rPr>
        <w:instrText xml:space="preserve"> SEQ Exhibit \* ARABIC \s 1 </w:instrText>
      </w:r>
      <w:r w:rsidRPr="008D54A5">
        <w:rPr>
          <w:noProof/>
        </w:rPr>
        <w:fldChar w:fldCharType="separate"/>
      </w:r>
      <w:r w:rsidR="00EC2444" w:rsidRPr="008D54A5">
        <w:rPr>
          <w:noProof/>
        </w:rPr>
        <w:t>4</w:t>
      </w:r>
      <w:r w:rsidRPr="008D54A5">
        <w:rPr>
          <w:noProof/>
        </w:rPr>
        <w:fldChar w:fldCharType="end"/>
      </w:r>
      <w:r w:rsidRPr="008D54A5">
        <w:tab/>
      </w:r>
      <w:r w:rsidR="00A322E7" w:rsidRPr="008D54A5">
        <w:t xml:space="preserve">Average Number of SBD Encounters per Responding Node, </w:t>
      </w:r>
      <w:r w:rsidR="000E472F" w:rsidRPr="008D54A5">
        <w:t>2020</w:t>
      </w:r>
      <w:r w:rsidR="005B7458" w:rsidRPr="008D54A5">
        <w:t>–</w:t>
      </w:r>
      <w:bookmarkEnd w:id="73"/>
      <w:r w:rsidR="003234EE" w:rsidRPr="008D54A5">
        <w:t>202</w:t>
      </w:r>
      <w:r w:rsidR="000E472F" w:rsidRPr="008D54A5">
        <w:t>2</w:t>
      </w:r>
      <w:bookmarkEnd w:id="74"/>
      <w:bookmarkEnd w:id="75"/>
    </w:p>
    <w:tbl>
      <w:tblPr>
        <w:tblStyle w:val="TableGrid"/>
        <w:tblW w:w="5003" w:type="pct"/>
        <w:tblLayout w:type="fixed"/>
        <w:tblLook w:val="04A0" w:firstRow="1" w:lastRow="0" w:firstColumn="1" w:lastColumn="0" w:noHBand="0" w:noVBand="1"/>
      </w:tblPr>
      <w:tblGrid>
        <w:gridCol w:w="2975"/>
        <w:gridCol w:w="2161"/>
        <w:gridCol w:w="1409"/>
        <w:gridCol w:w="1409"/>
        <w:gridCol w:w="1402"/>
      </w:tblGrid>
      <w:tr w:rsidR="008F219E" w:rsidRPr="008D54A5" w14:paraId="51560379" w14:textId="77777777" w:rsidTr="000E472F">
        <w:trPr>
          <w:cnfStyle w:val="100000000000" w:firstRow="1" w:lastRow="0" w:firstColumn="0" w:lastColumn="0" w:oddVBand="0" w:evenVBand="0" w:oddHBand="0" w:evenHBand="0" w:firstRowFirstColumn="0" w:firstRowLastColumn="0" w:lastRowFirstColumn="0" w:lastRowLastColumn="0"/>
          <w:trHeight w:val="20"/>
        </w:trPr>
        <w:tc>
          <w:tcPr>
            <w:tcW w:w="1590" w:type="pct"/>
            <w:noWrap/>
            <w:hideMark/>
          </w:tcPr>
          <w:p w14:paraId="25943254" w14:textId="77777777" w:rsidR="008F219E" w:rsidRPr="008D54A5" w:rsidRDefault="008F219E" w:rsidP="008F219E">
            <w:pPr>
              <w:pStyle w:val="TableHeading-12"/>
            </w:pPr>
            <w:r w:rsidRPr="008D54A5">
              <w:t>Group</w:t>
            </w:r>
          </w:p>
        </w:tc>
        <w:tc>
          <w:tcPr>
            <w:tcW w:w="1155" w:type="pct"/>
            <w:noWrap/>
            <w:hideMark/>
          </w:tcPr>
          <w:p w14:paraId="415B8321" w14:textId="77777777" w:rsidR="008F219E" w:rsidRPr="008D54A5" w:rsidRDefault="008F219E" w:rsidP="008F219E">
            <w:pPr>
              <w:pStyle w:val="TableHeading-12"/>
            </w:pPr>
            <w:r w:rsidRPr="008D54A5">
              <w:t>Category</w:t>
            </w:r>
          </w:p>
        </w:tc>
        <w:tc>
          <w:tcPr>
            <w:tcW w:w="753" w:type="pct"/>
          </w:tcPr>
          <w:p w14:paraId="64A2A07E" w14:textId="1BEA1CF1" w:rsidR="008F219E" w:rsidRPr="008D54A5" w:rsidRDefault="000E472F" w:rsidP="008F219E">
            <w:pPr>
              <w:pStyle w:val="TableHeading-12"/>
            </w:pPr>
            <w:r w:rsidRPr="008D54A5">
              <w:t>2020</w:t>
            </w:r>
          </w:p>
        </w:tc>
        <w:tc>
          <w:tcPr>
            <w:tcW w:w="753" w:type="pct"/>
          </w:tcPr>
          <w:p w14:paraId="0730FEC5" w14:textId="7F64FCE0" w:rsidR="008F219E" w:rsidRPr="008D54A5" w:rsidRDefault="000E472F" w:rsidP="008F219E">
            <w:pPr>
              <w:pStyle w:val="TableHeading-12"/>
            </w:pPr>
            <w:r w:rsidRPr="008D54A5">
              <w:t>2021</w:t>
            </w:r>
          </w:p>
        </w:tc>
        <w:tc>
          <w:tcPr>
            <w:tcW w:w="749" w:type="pct"/>
            <w:noWrap/>
            <w:hideMark/>
          </w:tcPr>
          <w:p w14:paraId="6EC24ED2" w14:textId="60460779" w:rsidR="008F219E" w:rsidRPr="008D54A5" w:rsidRDefault="000E472F" w:rsidP="008F219E">
            <w:pPr>
              <w:pStyle w:val="TableHeading-12"/>
            </w:pPr>
            <w:r w:rsidRPr="008D54A5">
              <w:t>2022</w:t>
            </w:r>
          </w:p>
        </w:tc>
      </w:tr>
      <w:tr w:rsidR="000E472F" w:rsidRPr="008D54A5" w14:paraId="24A3E02F" w14:textId="77777777" w:rsidTr="006E4110">
        <w:trPr>
          <w:trHeight w:val="20"/>
        </w:trPr>
        <w:tc>
          <w:tcPr>
            <w:tcW w:w="0" w:type="pct"/>
            <w:noWrap/>
            <w:hideMark/>
          </w:tcPr>
          <w:p w14:paraId="6BD01424" w14:textId="77777777" w:rsidR="000E472F" w:rsidRPr="008D54A5" w:rsidRDefault="000E472F" w:rsidP="00E47419">
            <w:pPr>
              <w:pStyle w:val="TableText-12"/>
            </w:pPr>
            <w:r w:rsidRPr="008D54A5">
              <w:t>Total Sample</w:t>
            </w:r>
          </w:p>
        </w:tc>
        <w:tc>
          <w:tcPr>
            <w:tcW w:w="1155" w:type="pct"/>
            <w:noWrap/>
            <w:hideMark/>
          </w:tcPr>
          <w:p w14:paraId="28A1AB75" w14:textId="77777777" w:rsidR="000E472F" w:rsidRPr="008D54A5" w:rsidRDefault="000E472F" w:rsidP="00E47419">
            <w:pPr>
              <w:pStyle w:val="TableText-12"/>
            </w:pPr>
            <w:r w:rsidRPr="008D54A5">
              <w:t>Total</w:t>
            </w:r>
          </w:p>
        </w:tc>
        <w:tc>
          <w:tcPr>
            <w:tcW w:w="753" w:type="pct"/>
            <w:tcBorders>
              <w:top w:val="single" w:sz="4" w:space="0" w:color="auto"/>
              <w:left w:val="single" w:sz="4" w:space="0" w:color="auto"/>
              <w:bottom w:val="single" w:sz="4" w:space="0" w:color="auto"/>
              <w:right w:val="single" w:sz="4" w:space="0" w:color="auto"/>
            </w:tcBorders>
            <w:shd w:val="clear" w:color="auto" w:fill="auto"/>
          </w:tcPr>
          <w:p w14:paraId="1FBB6205" w14:textId="79998E96" w:rsidR="000E472F" w:rsidRPr="008D54A5" w:rsidRDefault="000E472F" w:rsidP="00E47419">
            <w:pPr>
              <w:pStyle w:val="TableText-center-12"/>
            </w:pPr>
            <w:r w:rsidRPr="008D54A5">
              <w:t>1.2</w:t>
            </w:r>
          </w:p>
        </w:tc>
        <w:tc>
          <w:tcPr>
            <w:tcW w:w="753" w:type="pct"/>
            <w:tcBorders>
              <w:top w:val="single" w:sz="4" w:space="0" w:color="auto"/>
              <w:left w:val="nil"/>
              <w:bottom w:val="single" w:sz="4" w:space="0" w:color="auto"/>
              <w:right w:val="single" w:sz="4" w:space="0" w:color="auto"/>
            </w:tcBorders>
            <w:shd w:val="clear" w:color="auto" w:fill="auto"/>
          </w:tcPr>
          <w:p w14:paraId="11657456" w14:textId="13000456" w:rsidR="000E472F" w:rsidRPr="008D54A5" w:rsidRDefault="000E472F" w:rsidP="00E47419">
            <w:pPr>
              <w:pStyle w:val="TableText-center-12"/>
            </w:pPr>
            <w:r w:rsidRPr="008D54A5">
              <w:t>1.2</w:t>
            </w:r>
          </w:p>
        </w:tc>
        <w:tc>
          <w:tcPr>
            <w:tcW w:w="749" w:type="pct"/>
            <w:tcBorders>
              <w:top w:val="single" w:sz="4" w:space="0" w:color="auto"/>
              <w:left w:val="nil"/>
              <w:bottom w:val="single" w:sz="4" w:space="0" w:color="auto"/>
              <w:right w:val="single" w:sz="4" w:space="0" w:color="auto"/>
            </w:tcBorders>
            <w:shd w:val="clear" w:color="auto" w:fill="auto"/>
            <w:noWrap/>
            <w:hideMark/>
          </w:tcPr>
          <w:p w14:paraId="5D3B5D14" w14:textId="02B303D4" w:rsidR="000E472F" w:rsidRPr="008D54A5" w:rsidRDefault="000E472F" w:rsidP="00E47419">
            <w:pPr>
              <w:pStyle w:val="TableText-center-12"/>
            </w:pPr>
            <w:r w:rsidRPr="008D54A5">
              <w:t>1.2</w:t>
            </w:r>
          </w:p>
        </w:tc>
      </w:tr>
      <w:tr w:rsidR="000E472F" w:rsidRPr="008D54A5" w14:paraId="6632268B" w14:textId="77777777" w:rsidTr="006E4110">
        <w:trPr>
          <w:trHeight w:val="20"/>
        </w:trPr>
        <w:tc>
          <w:tcPr>
            <w:tcW w:w="0" w:type="pct"/>
            <w:vMerge w:val="restart"/>
            <w:noWrap/>
            <w:hideMark/>
          </w:tcPr>
          <w:p w14:paraId="3DDC20F3" w14:textId="77777777" w:rsidR="000E472F" w:rsidRPr="008D54A5" w:rsidRDefault="000E472F" w:rsidP="00E47419">
            <w:pPr>
              <w:pStyle w:val="TableText-12"/>
            </w:pPr>
            <w:r w:rsidRPr="008D54A5">
              <w:t>Hospital Event Type</w:t>
            </w:r>
          </w:p>
        </w:tc>
        <w:tc>
          <w:tcPr>
            <w:tcW w:w="1155" w:type="pct"/>
            <w:noWrap/>
            <w:hideMark/>
          </w:tcPr>
          <w:p w14:paraId="40E8D4C2" w14:textId="77777777" w:rsidR="000E472F" w:rsidRPr="008D54A5" w:rsidRDefault="000E472F" w:rsidP="00E47419">
            <w:pPr>
              <w:pStyle w:val="TableText-12"/>
            </w:pPr>
            <w:r w:rsidRPr="008D54A5">
              <w:t>Inpatient</w:t>
            </w:r>
          </w:p>
        </w:tc>
        <w:tc>
          <w:tcPr>
            <w:tcW w:w="753" w:type="pct"/>
            <w:tcBorders>
              <w:top w:val="nil"/>
              <w:left w:val="single" w:sz="4" w:space="0" w:color="auto"/>
              <w:bottom w:val="single" w:sz="4" w:space="0" w:color="auto"/>
              <w:right w:val="single" w:sz="4" w:space="0" w:color="auto"/>
            </w:tcBorders>
            <w:shd w:val="clear" w:color="auto" w:fill="auto"/>
          </w:tcPr>
          <w:p w14:paraId="4F07F696" w14:textId="28A6926A" w:rsidR="000E472F" w:rsidRPr="008D54A5" w:rsidRDefault="000E472F" w:rsidP="00E47419">
            <w:pPr>
              <w:pStyle w:val="TableText-center-12"/>
            </w:pPr>
            <w:r w:rsidRPr="008D54A5">
              <w:t>1.7</w:t>
            </w:r>
          </w:p>
        </w:tc>
        <w:tc>
          <w:tcPr>
            <w:tcW w:w="753" w:type="pct"/>
            <w:tcBorders>
              <w:top w:val="nil"/>
              <w:left w:val="nil"/>
              <w:bottom w:val="single" w:sz="4" w:space="0" w:color="auto"/>
              <w:right w:val="single" w:sz="4" w:space="0" w:color="auto"/>
            </w:tcBorders>
            <w:shd w:val="clear" w:color="auto" w:fill="auto"/>
          </w:tcPr>
          <w:p w14:paraId="5971889F" w14:textId="194BC168" w:rsidR="000E472F" w:rsidRPr="008D54A5" w:rsidRDefault="000E472F" w:rsidP="00E47419">
            <w:pPr>
              <w:pStyle w:val="TableText-center-12"/>
            </w:pPr>
            <w:r w:rsidRPr="008D54A5">
              <w:t>1.6</w:t>
            </w:r>
          </w:p>
        </w:tc>
        <w:tc>
          <w:tcPr>
            <w:tcW w:w="749" w:type="pct"/>
            <w:tcBorders>
              <w:top w:val="nil"/>
              <w:left w:val="nil"/>
              <w:bottom w:val="single" w:sz="4" w:space="0" w:color="auto"/>
              <w:right w:val="single" w:sz="4" w:space="0" w:color="auto"/>
            </w:tcBorders>
            <w:shd w:val="clear" w:color="auto" w:fill="auto"/>
            <w:noWrap/>
            <w:hideMark/>
          </w:tcPr>
          <w:p w14:paraId="3F36DF15" w14:textId="0A47758C" w:rsidR="000E472F" w:rsidRPr="008D54A5" w:rsidRDefault="000E472F" w:rsidP="00E47419">
            <w:pPr>
              <w:pStyle w:val="TableText-center-12"/>
            </w:pPr>
            <w:r w:rsidRPr="008D54A5">
              <w:t>1.5</w:t>
            </w:r>
          </w:p>
        </w:tc>
      </w:tr>
      <w:tr w:rsidR="000E472F" w:rsidRPr="008D54A5" w14:paraId="0C630EE3" w14:textId="77777777" w:rsidTr="006E4110">
        <w:trPr>
          <w:trHeight w:val="20"/>
        </w:trPr>
        <w:tc>
          <w:tcPr>
            <w:tcW w:w="0" w:type="pct"/>
            <w:vMerge/>
            <w:hideMark/>
          </w:tcPr>
          <w:p w14:paraId="2CFD98F6" w14:textId="77777777" w:rsidR="000E472F" w:rsidRPr="008D54A5" w:rsidRDefault="000E472F" w:rsidP="00E47419">
            <w:pPr>
              <w:pStyle w:val="TableText-12"/>
            </w:pPr>
          </w:p>
        </w:tc>
        <w:tc>
          <w:tcPr>
            <w:tcW w:w="1155" w:type="pct"/>
            <w:noWrap/>
            <w:hideMark/>
          </w:tcPr>
          <w:p w14:paraId="17E1CF84" w14:textId="1E42288F" w:rsidR="000E472F" w:rsidRPr="008D54A5" w:rsidRDefault="000E472F" w:rsidP="00E47419">
            <w:pPr>
              <w:pStyle w:val="TableText-12"/>
            </w:pPr>
            <w:r w:rsidRPr="008D54A5">
              <w:t>Emergency Room</w:t>
            </w:r>
          </w:p>
        </w:tc>
        <w:tc>
          <w:tcPr>
            <w:tcW w:w="753" w:type="pct"/>
            <w:tcBorders>
              <w:top w:val="nil"/>
              <w:left w:val="single" w:sz="4" w:space="0" w:color="auto"/>
              <w:bottom w:val="single" w:sz="4" w:space="0" w:color="auto"/>
              <w:right w:val="single" w:sz="4" w:space="0" w:color="auto"/>
            </w:tcBorders>
            <w:shd w:val="clear" w:color="auto" w:fill="auto"/>
          </w:tcPr>
          <w:p w14:paraId="30AF113D" w14:textId="72752943" w:rsidR="000E472F" w:rsidRPr="008D54A5" w:rsidRDefault="000E472F" w:rsidP="00E47419">
            <w:pPr>
              <w:pStyle w:val="TableText-center-12"/>
            </w:pPr>
            <w:r w:rsidRPr="008D54A5">
              <w:t>1.0</w:t>
            </w:r>
          </w:p>
        </w:tc>
        <w:tc>
          <w:tcPr>
            <w:tcW w:w="753" w:type="pct"/>
            <w:tcBorders>
              <w:top w:val="nil"/>
              <w:left w:val="nil"/>
              <w:bottom w:val="single" w:sz="4" w:space="0" w:color="auto"/>
              <w:right w:val="single" w:sz="4" w:space="0" w:color="auto"/>
            </w:tcBorders>
            <w:shd w:val="clear" w:color="auto" w:fill="auto"/>
          </w:tcPr>
          <w:p w14:paraId="6CDE848C" w14:textId="13BCF264" w:rsidR="000E472F" w:rsidRPr="008D54A5" w:rsidRDefault="000E472F" w:rsidP="00E47419">
            <w:pPr>
              <w:pStyle w:val="TableText-center-12"/>
            </w:pPr>
            <w:r w:rsidRPr="008D54A5">
              <w:t>1.0</w:t>
            </w:r>
          </w:p>
        </w:tc>
        <w:tc>
          <w:tcPr>
            <w:tcW w:w="749" w:type="pct"/>
            <w:tcBorders>
              <w:top w:val="nil"/>
              <w:left w:val="nil"/>
              <w:bottom w:val="single" w:sz="4" w:space="0" w:color="auto"/>
              <w:right w:val="single" w:sz="4" w:space="0" w:color="auto"/>
            </w:tcBorders>
            <w:shd w:val="clear" w:color="auto" w:fill="auto"/>
            <w:noWrap/>
            <w:hideMark/>
          </w:tcPr>
          <w:p w14:paraId="4CE2ACA1" w14:textId="52ABB454" w:rsidR="000E472F" w:rsidRPr="008D54A5" w:rsidRDefault="000E472F" w:rsidP="00E47419">
            <w:pPr>
              <w:pStyle w:val="TableText-center-12"/>
            </w:pPr>
            <w:r w:rsidRPr="008D54A5">
              <w:t>1.0</w:t>
            </w:r>
          </w:p>
        </w:tc>
      </w:tr>
      <w:tr w:rsidR="000E472F" w:rsidRPr="008D54A5" w14:paraId="63CF3242" w14:textId="77777777" w:rsidTr="006E4110">
        <w:trPr>
          <w:trHeight w:val="20"/>
        </w:trPr>
        <w:tc>
          <w:tcPr>
            <w:tcW w:w="0" w:type="pct"/>
            <w:vMerge/>
            <w:hideMark/>
          </w:tcPr>
          <w:p w14:paraId="4F3EC7A6" w14:textId="77777777" w:rsidR="000E472F" w:rsidRPr="008D54A5" w:rsidRDefault="000E472F" w:rsidP="00E47419">
            <w:pPr>
              <w:pStyle w:val="TableText-12"/>
            </w:pPr>
          </w:p>
        </w:tc>
        <w:tc>
          <w:tcPr>
            <w:tcW w:w="1155" w:type="pct"/>
            <w:noWrap/>
            <w:hideMark/>
          </w:tcPr>
          <w:p w14:paraId="367E0A15" w14:textId="77777777" w:rsidR="000E472F" w:rsidRPr="008D54A5" w:rsidRDefault="000E472F" w:rsidP="00E47419">
            <w:pPr>
              <w:pStyle w:val="TableText-12"/>
            </w:pPr>
            <w:r w:rsidRPr="008D54A5">
              <w:t>Outpatient</w:t>
            </w:r>
          </w:p>
        </w:tc>
        <w:tc>
          <w:tcPr>
            <w:tcW w:w="753" w:type="pct"/>
            <w:tcBorders>
              <w:top w:val="nil"/>
              <w:left w:val="single" w:sz="4" w:space="0" w:color="auto"/>
              <w:bottom w:val="single" w:sz="4" w:space="0" w:color="auto"/>
              <w:right w:val="single" w:sz="4" w:space="0" w:color="auto"/>
            </w:tcBorders>
            <w:shd w:val="clear" w:color="auto" w:fill="auto"/>
          </w:tcPr>
          <w:p w14:paraId="59EE1CA4" w14:textId="2031D7BB" w:rsidR="000E472F" w:rsidRPr="008D54A5" w:rsidRDefault="000E472F" w:rsidP="00E47419">
            <w:pPr>
              <w:pStyle w:val="TableText-center-12"/>
            </w:pPr>
            <w:r w:rsidRPr="008D54A5">
              <w:t>1.0</w:t>
            </w:r>
          </w:p>
        </w:tc>
        <w:tc>
          <w:tcPr>
            <w:tcW w:w="753" w:type="pct"/>
            <w:tcBorders>
              <w:top w:val="nil"/>
              <w:left w:val="nil"/>
              <w:bottom w:val="single" w:sz="4" w:space="0" w:color="auto"/>
              <w:right w:val="single" w:sz="4" w:space="0" w:color="auto"/>
            </w:tcBorders>
            <w:shd w:val="clear" w:color="auto" w:fill="auto"/>
          </w:tcPr>
          <w:p w14:paraId="3BA5BAAB" w14:textId="332DD2E9" w:rsidR="000E472F" w:rsidRPr="008D54A5" w:rsidRDefault="000E472F" w:rsidP="00E47419">
            <w:pPr>
              <w:pStyle w:val="TableText-center-12"/>
            </w:pPr>
            <w:r w:rsidRPr="008D54A5">
              <w:t>1.0</w:t>
            </w:r>
          </w:p>
        </w:tc>
        <w:tc>
          <w:tcPr>
            <w:tcW w:w="749" w:type="pct"/>
            <w:tcBorders>
              <w:top w:val="nil"/>
              <w:left w:val="nil"/>
              <w:bottom w:val="single" w:sz="4" w:space="0" w:color="auto"/>
              <w:right w:val="single" w:sz="4" w:space="0" w:color="auto"/>
            </w:tcBorders>
            <w:shd w:val="clear" w:color="auto" w:fill="auto"/>
            <w:noWrap/>
            <w:hideMark/>
          </w:tcPr>
          <w:p w14:paraId="1C558991" w14:textId="00011468" w:rsidR="000E472F" w:rsidRPr="008D54A5" w:rsidRDefault="000E472F" w:rsidP="00E47419">
            <w:pPr>
              <w:pStyle w:val="TableText-center-12"/>
            </w:pPr>
            <w:r w:rsidRPr="008D54A5">
              <w:t>1.0</w:t>
            </w:r>
          </w:p>
        </w:tc>
      </w:tr>
      <w:tr w:rsidR="000E472F" w:rsidRPr="008D54A5" w14:paraId="4B9E7465" w14:textId="77777777" w:rsidTr="006E4110">
        <w:trPr>
          <w:trHeight w:val="20"/>
        </w:trPr>
        <w:tc>
          <w:tcPr>
            <w:tcW w:w="0" w:type="pct"/>
            <w:vMerge/>
            <w:hideMark/>
          </w:tcPr>
          <w:p w14:paraId="1EC80AF6" w14:textId="77777777" w:rsidR="000E472F" w:rsidRPr="008D54A5" w:rsidRDefault="000E472F" w:rsidP="00E47419">
            <w:pPr>
              <w:pStyle w:val="TableText-12"/>
            </w:pPr>
          </w:p>
        </w:tc>
        <w:tc>
          <w:tcPr>
            <w:tcW w:w="1155" w:type="pct"/>
            <w:noWrap/>
            <w:hideMark/>
          </w:tcPr>
          <w:p w14:paraId="7B5931F1" w14:textId="77777777" w:rsidR="000E472F" w:rsidRPr="008D54A5" w:rsidRDefault="000E472F" w:rsidP="00E47419">
            <w:pPr>
              <w:pStyle w:val="TableText-12"/>
            </w:pPr>
            <w:r w:rsidRPr="008D54A5">
              <w:t>Institution</w:t>
            </w:r>
          </w:p>
        </w:tc>
        <w:tc>
          <w:tcPr>
            <w:tcW w:w="753" w:type="pct"/>
            <w:tcBorders>
              <w:top w:val="nil"/>
              <w:left w:val="single" w:sz="4" w:space="0" w:color="auto"/>
              <w:bottom w:val="single" w:sz="4" w:space="0" w:color="auto"/>
              <w:right w:val="single" w:sz="4" w:space="0" w:color="auto"/>
            </w:tcBorders>
            <w:shd w:val="clear" w:color="auto" w:fill="auto"/>
          </w:tcPr>
          <w:p w14:paraId="53748DA9" w14:textId="44789281" w:rsidR="000E472F" w:rsidRPr="008D54A5" w:rsidRDefault="000E472F" w:rsidP="00E47419">
            <w:pPr>
              <w:pStyle w:val="TableText-center-12"/>
            </w:pPr>
            <w:r w:rsidRPr="008D54A5">
              <w:t>4.3</w:t>
            </w:r>
          </w:p>
        </w:tc>
        <w:tc>
          <w:tcPr>
            <w:tcW w:w="753" w:type="pct"/>
            <w:tcBorders>
              <w:top w:val="nil"/>
              <w:left w:val="nil"/>
              <w:bottom w:val="single" w:sz="4" w:space="0" w:color="auto"/>
              <w:right w:val="single" w:sz="4" w:space="0" w:color="auto"/>
            </w:tcBorders>
            <w:shd w:val="clear" w:color="auto" w:fill="auto"/>
          </w:tcPr>
          <w:p w14:paraId="24534560" w14:textId="60992598" w:rsidR="000E472F" w:rsidRPr="008D54A5" w:rsidRDefault="000E472F" w:rsidP="00E47419">
            <w:pPr>
              <w:pStyle w:val="TableText-center-12"/>
            </w:pPr>
            <w:r w:rsidRPr="008D54A5">
              <w:t>3.0</w:t>
            </w:r>
          </w:p>
        </w:tc>
        <w:tc>
          <w:tcPr>
            <w:tcW w:w="749" w:type="pct"/>
            <w:tcBorders>
              <w:top w:val="nil"/>
              <w:left w:val="nil"/>
              <w:bottom w:val="single" w:sz="4" w:space="0" w:color="auto"/>
              <w:right w:val="single" w:sz="4" w:space="0" w:color="auto"/>
            </w:tcBorders>
            <w:shd w:val="clear" w:color="auto" w:fill="auto"/>
            <w:noWrap/>
            <w:hideMark/>
          </w:tcPr>
          <w:p w14:paraId="27DDDBB2" w14:textId="6E4431E6" w:rsidR="000E472F" w:rsidRPr="008D54A5" w:rsidRDefault="000E472F" w:rsidP="00E47419">
            <w:pPr>
              <w:pStyle w:val="TableText-center-12"/>
            </w:pPr>
            <w:r w:rsidRPr="008D54A5">
              <w:t>4.4</w:t>
            </w:r>
          </w:p>
        </w:tc>
      </w:tr>
      <w:tr w:rsidR="000E472F" w:rsidRPr="008D54A5" w14:paraId="120DCCF5" w14:textId="77777777" w:rsidTr="006E4110">
        <w:trPr>
          <w:trHeight w:val="20"/>
        </w:trPr>
        <w:tc>
          <w:tcPr>
            <w:tcW w:w="0" w:type="pct"/>
            <w:vMerge w:val="restart"/>
            <w:noWrap/>
            <w:hideMark/>
          </w:tcPr>
          <w:p w14:paraId="18E42481" w14:textId="77777777" w:rsidR="000E472F" w:rsidRPr="008D54A5" w:rsidRDefault="000E472F" w:rsidP="00E47419">
            <w:pPr>
              <w:pStyle w:val="TableText-12"/>
            </w:pPr>
            <w:r w:rsidRPr="008D54A5">
              <w:t>Total Charges on Hospital Event</w:t>
            </w:r>
          </w:p>
        </w:tc>
        <w:tc>
          <w:tcPr>
            <w:tcW w:w="1155" w:type="pct"/>
            <w:noWrap/>
            <w:hideMark/>
          </w:tcPr>
          <w:p w14:paraId="03592C3A" w14:textId="77777777" w:rsidR="000E472F" w:rsidRPr="008D54A5" w:rsidRDefault="000E472F" w:rsidP="00E47419">
            <w:pPr>
              <w:pStyle w:val="TableText-12"/>
            </w:pPr>
            <w:r w:rsidRPr="008D54A5">
              <w:t>Missing</w:t>
            </w:r>
          </w:p>
        </w:tc>
        <w:tc>
          <w:tcPr>
            <w:tcW w:w="753" w:type="pct"/>
            <w:tcBorders>
              <w:top w:val="nil"/>
              <w:left w:val="single" w:sz="4" w:space="0" w:color="auto"/>
              <w:bottom w:val="single" w:sz="4" w:space="0" w:color="auto"/>
              <w:right w:val="single" w:sz="4" w:space="0" w:color="auto"/>
            </w:tcBorders>
            <w:shd w:val="clear" w:color="auto" w:fill="auto"/>
          </w:tcPr>
          <w:p w14:paraId="6757E7D0" w14:textId="493B4428" w:rsidR="000E472F" w:rsidRPr="008D54A5" w:rsidRDefault="000E472F" w:rsidP="00E47419">
            <w:pPr>
              <w:pStyle w:val="TableText-center-12"/>
            </w:pPr>
            <w:r w:rsidRPr="008D54A5">
              <w:t>3.0</w:t>
            </w:r>
          </w:p>
        </w:tc>
        <w:tc>
          <w:tcPr>
            <w:tcW w:w="753" w:type="pct"/>
            <w:tcBorders>
              <w:top w:val="nil"/>
              <w:left w:val="nil"/>
              <w:bottom w:val="single" w:sz="4" w:space="0" w:color="auto"/>
              <w:right w:val="single" w:sz="4" w:space="0" w:color="auto"/>
            </w:tcBorders>
            <w:shd w:val="clear" w:color="auto" w:fill="auto"/>
          </w:tcPr>
          <w:p w14:paraId="7813A4FD" w14:textId="01B29943" w:rsidR="000E472F" w:rsidRPr="008D54A5" w:rsidRDefault="000E472F" w:rsidP="00E47419">
            <w:pPr>
              <w:pStyle w:val="TableText-center-12"/>
            </w:pPr>
            <w:r w:rsidRPr="008D54A5">
              <w:t>1.4</w:t>
            </w:r>
          </w:p>
        </w:tc>
        <w:tc>
          <w:tcPr>
            <w:tcW w:w="749" w:type="pct"/>
            <w:tcBorders>
              <w:top w:val="nil"/>
              <w:left w:val="nil"/>
              <w:bottom w:val="single" w:sz="4" w:space="0" w:color="auto"/>
              <w:right w:val="single" w:sz="4" w:space="0" w:color="auto"/>
            </w:tcBorders>
            <w:shd w:val="clear" w:color="auto" w:fill="auto"/>
            <w:noWrap/>
            <w:hideMark/>
          </w:tcPr>
          <w:p w14:paraId="0F026BDD" w14:textId="3BAE53F1" w:rsidR="000E472F" w:rsidRPr="008D54A5" w:rsidRDefault="000E472F" w:rsidP="00E47419">
            <w:pPr>
              <w:pStyle w:val="TableText-center-12"/>
            </w:pPr>
            <w:r w:rsidRPr="008D54A5">
              <w:t>1.0</w:t>
            </w:r>
          </w:p>
        </w:tc>
      </w:tr>
      <w:tr w:rsidR="000E472F" w:rsidRPr="008D54A5" w14:paraId="4D4434D2" w14:textId="77777777" w:rsidTr="006E4110">
        <w:trPr>
          <w:trHeight w:val="20"/>
        </w:trPr>
        <w:tc>
          <w:tcPr>
            <w:tcW w:w="0" w:type="pct"/>
            <w:vMerge/>
            <w:hideMark/>
          </w:tcPr>
          <w:p w14:paraId="367C7DB7" w14:textId="77777777" w:rsidR="000E472F" w:rsidRPr="008D54A5" w:rsidRDefault="000E472F" w:rsidP="00E47419">
            <w:pPr>
              <w:pStyle w:val="TableText-12"/>
            </w:pPr>
          </w:p>
        </w:tc>
        <w:tc>
          <w:tcPr>
            <w:tcW w:w="1155" w:type="pct"/>
            <w:noWrap/>
            <w:hideMark/>
          </w:tcPr>
          <w:p w14:paraId="60EF9D7C" w14:textId="77777777" w:rsidR="000E472F" w:rsidRPr="008D54A5" w:rsidRDefault="000E472F" w:rsidP="00E47419">
            <w:pPr>
              <w:pStyle w:val="TableText-12"/>
            </w:pPr>
            <w:r w:rsidRPr="008D54A5">
              <w:t>Zero</w:t>
            </w:r>
          </w:p>
        </w:tc>
        <w:tc>
          <w:tcPr>
            <w:tcW w:w="753" w:type="pct"/>
            <w:tcBorders>
              <w:top w:val="nil"/>
              <w:left w:val="single" w:sz="4" w:space="0" w:color="auto"/>
              <w:bottom w:val="single" w:sz="4" w:space="0" w:color="auto"/>
              <w:right w:val="single" w:sz="4" w:space="0" w:color="auto"/>
            </w:tcBorders>
            <w:shd w:val="clear" w:color="auto" w:fill="auto"/>
          </w:tcPr>
          <w:p w14:paraId="68C00A8C" w14:textId="29D70BA9" w:rsidR="000E472F" w:rsidRPr="008D54A5" w:rsidRDefault="000E472F" w:rsidP="00E47419">
            <w:pPr>
              <w:pStyle w:val="TableText-center-12"/>
            </w:pPr>
            <w:r w:rsidRPr="008D54A5">
              <w:t>1.0</w:t>
            </w:r>
          </w:p>
        </w:tc>
        <w:tc>
          <w:tcPr>
            <w:tcW w:w="753" w:type="pct"/>
            <w:tcBorders>
              <w:top w:val="nil"/>
              <w:left w:val="nil"/>
              <w:bottom w:val="single" w:sz="4" w:space="0" w:color="auto"/>
              <w:right w:val="single" w:sz="4" w:space="0" w:color="auto"/>
            </w:tcBorders>
            <w:shd w:val="clear" w:color="auto" w:fill="auto"/>
          </w:tcPr>
          <w:p w14:paraId="2BD232A1" w14:textId="39E72B56" w:rsidR="000E472F" w:rsidRPr="008D54A5" w:rsidRDefault="000E472F" w:rsidP="00E47419">
            <w:pPr>
              <w:pStyle w:val="TableText-center-12"/>
            </w:pPr>
            <w:r w:rsidRPr="008D54A5">
              <w:t>1.0</w:t>
            </w:r>
          </w:p>
        </w:tc>
        <w:tc>
          <w:tcPr>
            <w:tcW w:w="749" w:type="pct"/>
            <w:tcBorders>
              <w:top w:val="nil"/>
              <w:left w:val="nil"/>
              <w:bottom w:val="single" w:sz="4" w:space="0" w:color="auto"/>
              <w:right w:val="single" w:sz="4" w:space="0" w:color="auto"/>
            </w:tcBorders>
            <w:shd w:val="clear" w:color="auto" w:fill="auto"/>
            <w:noWrap/>
            <w:hideMark/>
          </w:tcPr>
          <w:p w14:paraId="63798D3D" w14:textId="74764D05" w:rsidR="000E472F" w:rsidRPr="008D54A5" w:rsidRDefault="000E472F" w:rsidP="00E47419">
            <w:pPr>
              <w:pStyle w:val="TableText-center-12"/>
            </w:pPr>
            <w:r w:rsidRPr="008D54A5">
              <w:t>1.0</w:t>
            </w:r>
          </w:p>
        </w:tc>
      </w:tr>
      <w:tr w:rsidR="000E472F" w:rsidRPr="008D54A5" w14:paraId="67504A01" w14:textId="77777777" w:rsidTr="006E4110">
        <w:trPr>
          <w:trHeight w:val="20"/>
        </w:trPr>
        <w:tc>
          <w:tcPr>
            <w:tcW w:w="0" w:type="pct"/>
            <w:vMerge/>
            <w:hideMark/>
          </w:tcPr>
          <w:p w14:paraId="4CAB482F" w14:textId="77777777" w:rsidR="000E472F" w:rsidRPr="008D54A5" w:rsidRDefault="000E472F" w:rsidP="00E47419">
            <w:pPr>
              <w:pStyle w:val="TableText-12"/>
            </w:pPr>
          </w:p>
        </w:tc>
        <w:tc>
          <w:tcPr>
            <w:tcW w:w="1155" w:type="pct"/>
            <w:noWrap/>
            <w:hideMark/>
          </w:tcPr>
          <w:p w14:paraId="61FD227E" w14:textId="77777777" w:rsidR="000E472F" w:rsidRPr="008D54A5" w:rsidRDefault="000E472F" w:rsidP="00E47419">
            <w:pPr>
              <w:pStyle w:val="TableText-12"/>
            </w:pPr>
            <w:r w:rsidRPr="008D54A5">
              <w:t>$1–$250</w:t>
            </w:r>
          </w:p>
        </w:tc>
        <w:tc>
          <w:tcPr>
            <w:tcW w:w="753" w:type="pct"/>
            <w:tcBorders>
              <w:top w:val="nil"/>
              <w:left w:val="single" w:sz="4" w:space="0" w:color="auto"/>
              <w:bottom w:val="single" w:sz="4" w:space="0" w:color="auto"/>
              <w:right w:val="single" w:sz="4" w:space="0" w:color="auto"/>
            </w:tcBorders>
            <w:shd w:val="clear" w:color="auto" w:fill="auto"/>
          </w:tcPr>
          <w:p w14:paraId="7DB0C208" w14:textId="79759D4B" w:rsidR="000E472F" w:rsidRPr="008D54A5" w:rsidRDefault="000E472F" w:rsidP="00E47419">
            <w:pPr>
              <w:pStyle w:val="TableText-center-12"/>
            </w:pPr>
            <w:r w:rsidRPr="008D54A5">
              <w:t>1.0</w:t>
            </w:r>
          </w:p>
        </w:tc>
        <w:tc>
          <w:tcPr>
            <w:tcW w:w="753" w:type="pct"/>
            <w:tcBorders>
              <w:top w:val="nil"/>
              <w:left w:val="nil"/>
              <w:bottom w:val="single" w:sz="4" w:space="0" w:color="auto"/>
              <w:right w:val="single" w:sz="4" w:space="0" w:color="auto"/>
            </w:tcBorders>
            <w:shd w:val="clear" w:color="auto" w:fill="auto"/>
          </w:tcPr>
          <w:p w14:paraId="588C2837" w14:textId="3020366A" w:rsidR="000E472F" w:rsidRPr="008D54A5" w:rsidRDefault="000E472F" w:rsidP="00E47419">
            <w:pPr>
              <w:pStyle w:val="TableText-center-12"/>
            </w:pPr>
            <w:r w:rsidRPr="008D54A5">
              <w:t>1.0</w:t>
            </w:r>
          </w:p>
        </w:tc>
        <w:tc>
          <w:tcPr>
            <w:tcW w:w="749" w:type="pct"/>
            <w:tcBorders>
              <w:top w:val="nil"/>
              <w:left w:val="nil"/>
              <w:bottom w:val="single" w:sz="4" w:space="0" w:color="auto"/>
              <w:right w:val="single" w:sz="4" w:space="0" w:color="auto"/>
            </w:tcBorders>
            <w:shd w:val="clear" w:color="auto" w:fill="auto"/>
            <w:noWrap/>
            <w:hideMark/>
          </w:tcPr>
          <w:p w14:paraId="4721196F" w14:textId="5ED45733" w:rsidR="000E472F" w:rsidRPr="008D54A5" w:rsidRDefault="000E472F" w:rsidP="00E47419">
            <w:pPr>
              <w:pStyle w:val="TableText-center-12"/>
            </w:pPr>
            <w:r w:rsidRPr="008D54A5">
              <w:t>1.0</w:t>
            </w:r>
          </w:p>
        </w:tc>
      </w:tr>
      <w:tr w:rsidR="000E472F" w:rsidRPr="008D54A5" w14:paraId="4B63D695" w14:textId="77777777" w:rsidTr="006E4110">
        <w:trPr>
          <w:trHeight w:val="20"/>
        </w:trPr>
        <w:tc>
          <w:tcPr>
            <w:tcW w:w="0" w:type="pct"/>
            <w:vMerge/>
            <w:hideMark/>
          </w:tcPr>
          <w:p w14:paraId="0E3406B2" w14:textId="77777777" w:rsidR="000E472F" w:rsidRPr="008D54A5" w:rsidRDefault="000E472F" w:rsidP="00E47419">
            <w:pPr>
              <w:pStyle w:val="TableText-12"/>
            </w:pPr>
          </w:p>
        </w:tc>
        <w:tc>
          <w:tcPr>
            <w:tcW w:w="1155" w:type="pct"/>
            <w:noWrap/>
            <w:hideMark/>
          </w:tcPr>
          <w:p w14:paraId="7CF19794" w14:textId="77777777" w:rsidR="000E472F" w:rsidRPr="008D54A5" w:rsidRDefault="000E472F" w:rsidP="00E47419">
            <w:pPr>
              <w:pStyle w:val="TableText-12"/>
            </w:pPr>
            <w:r w:rsidRPr="008D54A5">
              <w:t>$251–$1,000</w:t>
            </w:r>
          </w:p>
        </w:tc>
        <w:tc>
          <w:tcPr>
            <w:tcW w:w="753" w:type="pct"/>
            <w:tcBorders>
              <w:top w:val="nil"/>
              <w:left w:val="single" w:sz="4" w:space="0" w:color="auto"/>
              <w:bottom w:val="single" w:sz="4" w:space="0" w:color="auto"/>
              <w:right w:val="single" w:sz="4" w:space="0" w:color="auto"/>
            </w:tcBorders>
            <w:shd w:val="clear" w:color="auto" w:fill="auto"/>
          </w:tcPr>
          <w:p w14:paraId="79660A8D" w14:textId="13221F70" w:rsidR="000E472F" w:rsidRPr="008D54A5" w:rsidRDefault="000E472F" w:rsidP="00E47419">
            <w:pPr>
              <w:pStyle w:val="TableText-center-12"/>
            </w:pPr>
            <w:r w:rsidRPr="008D54A5">
              <w:t>1.0</w:t>
            </w:r>
          </w:p>
        </w:tc>
        <w:tc>
          <w:tcPr>
            <w:tcW w:w="753" w:type="pct"/>
            <w:tcBorders>
              <w:top w:val="nil"/>
              <w:left w:val="nil"/>
              <w:bottom w:val="single" w:sz="4" w:space="0" w:color="auto"/>
              <w:right w:val="single" w:sz="4" w:space="0" w:color="auto"/>
            </w:tcBorders>
            <w:shd w:val="clear" w:color="auto" w:fill="auto"/>
          </w:tcPr>
          <w:p w14:paraId="6AB36E62" w14:textId="1F1CD259" w:rsidR="000E472F" w:rsidRPr="008D54A5" w:rsidRDefault="000E472F" w:rsidP="00E47419">
            <w:pPr>
              <w:pStyle w:val="TableText-center-12"/>
            </w:pPr>
            <w:r w:rsidRPr="008D54A5">
              <w:t>1.0</w:t>
            </w:r>
          </w:p>
        </w:tc>
        <w:tc>
          <w:tcPr>
            <w:tcW w:w="749" w:type="pct"/>
            <w:tcBorders>
              <w:top w:val="nil"/>
              <w:left w:val="nil"/>
              <w:bottom w:val="single" w:sz="4" w:space="0" w:color="auto"/>
              <w:right w:val="single" w:sz="4" w:space="0" w:color="auto"/>
            </w:tcBorders>
            <w:shd w:val="clear" w:color="auto" w:fill="auto"/>
            <w:noWrap/>
            <w:hideMark/>
          </w:tcPr>
          <w:p w14:paraId="5B50FC74" w14:textId="2FBE5ED3" w:rsidR="000E472F" w:rsidRPr="008D54A5" w:rsidRDefault="000E472F" w:rsidP="00E47419">
            <w:pPr>
              <w:pStyle w:val="TableText-center-12"/>
            </w:pPr>
            <w:r w:rsidRPr="008D54A5">
              <w:t>1.0</w:t>
            </w:r>
          </w:p>
        </w:tc>
      </w:tr>
      <w:tr w:rsidR="000E472F" w:rsidRPr="008D54A5" w14:paraId="1AAED549" w14:textId="77777777" w:rsidTr="006E4110">
        <w:trPr>
          <w:trHeight w:val="20"/>
        </w:trPr>
        <w:tc>
          <w:tcPr>
            <w:tcW w:w="0" w:type="pct"/>
            <w:vMerge/>
            <w:hideMark/>
          </w:tcPr>
          <w:p w14:paraId="502BEA9E" w14:textId="77777777" w:rsidR="000E472F" w:rsidRPr="008D54A5" w:rsidRDefault="000E472F" w:rsidP="00E47419">
            <w:pPr>
              <w:pStyle w:val="TableText-12"/>
            </w:pPr>
          </w:p>
        </w:tc>
        <w:tc>
          <w:tcPr>
            <w:tcW w:w="1155" w:type="pct"/>
            <w:noWrap/>
            <w:hideMark/>
          </w:tcPr>
          <w:p w14:paraId="3FD49D18" w14:textId="77777777" w:rsidR="000E472F" w:rsidRPr="008D54A5" w:rsidRDefault="000E472F" w:rsidP="00E47419">
            <w:pPr>
              <w:pStyle w:val="TableText-12"/>
            </w:pPr>
            <w:r w:rsidRPr="008D54A5">
              <w:t>$1,001–$10,000</w:t>
            </w:r>
          </w:p>
        </w:tc>
        <w:tc>
          <w:tcPr>
            <w:tcW w:w="753" w:type="pct"/>
            <w:tcBorders>
              <w:top w:val="nil"/>
              <w:left w:val="single" w:sz="4" w:space="0" w:color="auto"/>
              <w:bottom w:val="single" w:sz="4" w:space="0" w:color="auto"/>
              <w:right w:val="single" w:sz="4" w:space="0" w:color="auto"/>
            </w:tcBorders>
            <w:shd w:val="clear" w:color="auto" w:fill="auto"/>
          </w:tcPr>
          <w:p w14:paraId="236D6F5F" w14:textId="35488ADC" w:rsidR="000E472F" w:rsidRPr="008D54A5" w:rsidRDefault="000E472F" w:rsidP="00E47419">
            <w:pPr>
              <w:pStyle w:val="TableText-center-12"/>
            </w:pPr>
            <w:r w:rsidRPr="008D54A5">
              <w:t>1.0</w:t>
            </w:r>
          </w:p>
        </w:tc>
        <w:tc>
          <w:tcPr>
            <w:tcW w:w="753" w:type="pct"/>
            <w:tcBorders>
              <w:top w:val="nil"/>
              <w:left w:val="nil"/>
              <w:bottom w:val="single" w:sz="4" w:space="0" w:color="auto"/>
              <w:right w:val="single" w:sz="4" w:space="0" w:color="auto"/>
            </w:tcBorders>
            <w:shd w:val="clear" w:color="auto" w:fill="auto"/>
          </w:tcPr>
          <w:p w14:paraId="5C85F878" w14:textId="3B03FB54" w:rsidR="000E472F" w:rsidRPr="008D54A5" w:rsidRDefault="000E472F" w:rsidP="00E47419">
            <w:pPr>
              <w:pStyle w:val="TableText-center-12"/>
            </w:pPr>
            <w:r w:rsidRPr="008D54A5">
              <w:t>1.0</w:t>
            </w:r>
          </w:p>
        </w:tc>
        <w:tc>
          <w:tcPr>
            <w:tcW w:w="749" w:type="pct"/>
            <w:tcBorders>
              <w:top w:val="nil"/>
              <w:left w:val="nil"/>
              <w:bottom w:val="single" w:sz="4" w:space="0" w:color="auto"/>
              <w:right w:val="single" w:sz="4" w:space="0" w:color="auto"/>
            </w:tcBorders>
            <w:shd w:val="clear" w:color="auto" w:fill="auto"/>
            <w:noWrap/>
            <w:hideMark/>
          </w:tcPr>
          <w:p w14:paraId="5A9B788F" w14:textId="22CDA474" w:rsidR="000E472F" w:rsidRPr="008D54A5" w:rsidRDefault="000E472F" w:rsidP="00E47419">
            <w:pPr>
              <w:pStyle w:val="TableText-center-12"/>
            </w:pPr>
            <w:r w:rsidRPr="008D54A5">
              <w:t>1.0</w:t>
            </w:r>
          </w:p>
        </w:tc>
      </w:tr>
      <w:tr w:rsidR="000E472F" w:rsidRPr="008D54A5" w14:paraId="74739E7B" w14:textId="77777777" w:rsidTr="006E4110">
        <w:trPr>
          <w:trHeight w:val="20"/>
        </w:trPr>
        <w:tc>
          <w:tcPr>
            <w:tcW w:w="0" w:type="pct"/>
            <w:vMerge/>
            <w:hideMark/>
          </w:tcPr>
          <w:p w14:paraId="403910AF" w14:textId="77777777" w:rsidR="000E472F" w:rsidRPr="008D54A5" w:rsidRDefault="000E472F" w:rsidP="00E47419">
            <w:pPr>
              <w:pStyle w:val="TableText-12"/>
            </w:pPr>
          </w:p>
        </w:tc>
        <w:tc>
          <w:tcPr>
            <w:tcW w:w="1155" w:type="pct"/>
            <w:noWrap/>
            <w:hideMark/>
          </w:tcPr>
          <w:p w14:paraId="6841E822" w14:textId="77777777" w:rsidR="000E472F" w:rsidRPr="008D54A5" w:rsidRDefault="000E472F" w:rsidP="00E47419">
            <w:pPr>
              <w:pStyle w:val="TableText-12"/>
            </w:pPr>
            <w:r w:rsidRPr="008D54A5">
              <w:t>&gt; $10,000</w:t>
            </w:r>
          </w:p>
        </w:tc>
        <w:tc>
          <w:tcPr>
            <w:tcW w:w="753" w:type="pct"/>
            <w:tcBorders>
              <w:top w:val="nil"/>
              <w:left w:val="single" w:sz="4" w:space="0" w:color="auto"/>
              <w:bottom w:val="single" w:sz="4" w:space="0" w:color="auto"/>
              <w:right w:val="single" w:sz="4" w:space="0" w:color="auto"/>
            </w:tcBorders>
            <w:shd w:val="clear" w:color="auto" w:fill="auto"/>
          </w:tcPr>
          <w:p w14:paraId="63AA6F2C" w14:textId="462AAEF0" w:rsidR="000E472F" w:rsidRPr="008D54A5" w:rsidRDefault="000E472F" w:rsidP="00E47419">
            <w:pPr>
              <w:pStyle w:val="TableText-center-12"/>
            </w:pPr>
            <w:r w:rsidRPr="008D54A5">
              <w:t>1.5</w:t>
            </w:r>
          </w:p>
        </w:tc>
        <w:tc>
          <w:tcPr>
            <w:tcW w:w="753" w:type="pct"/>
            <w:tcBorders>
              <w:top w:val="nil"/>
              <w:left w:val="nil"/>
              <w:bottom w:val="single" w:sz="4" w:space="0" w:color="auto"/>
              <w:right w:val="single" w:sz="4" w:space="0" w:color="auto"/>
            </w:tcBorders>
            <w:shd w:val="clear" w:color="auto" w:fill="auto"/>
          </w:tcPr>
          <w:p w14:paraId="21E84DEA" w14:textId="6E85FAE3" w:rsidR="000E472F" w:rsidRPr="008D54A5" w:rsidRDefault="000E472F" w:rsidP="00E47419">
            <w:pPr>
              <w:pStyle w:val="TableText-center-12"/>
            </w:pPr>
            <w:r w:rsidRPr="008D54A5">
              <w:t>1.5</w:t>
            </w:r>
          </w:p>
        </w:tc>
        <w:tc>
          <w:tcPr>
            <w:tcW w:w="749" w:type="pct"/>
            <w:tcBorders>
              <w:top w:val="nil"/>
              <w:left w:val="nil"/>
              <w:bottom w:val="single" w:sz="4" w:space="0" w:color="auto"/>
              <w:right w:val="single" w:sz="4" w:space="0" w:color="auto"/>
            </w:tcBorders>
            <w:shd w:val="clear" w:color="auto" w:fill="auto"/>
            <w:noWrap/>
            <w:hideMark/>
          </w:tcPr>
          <w:p w14:paraId="43734308" w14:textId="24F6BE2B" w:rsidR="000E472F" w:rsidRPr="008D54A5" w:rsidRDefault="000E472F" w:rsidP="00E47419">
            <w:pPr>
              <w:pStyle w:val="TableText-center-12"/>
            </w:pPr>
            <w:r w:rsidRPr="008D54A5">
              <w:t>1.4</w:t>
            </w:r>
          </w:p>
        </w:tc>
      </w:tr>
      <w:tr w:rsidR="000E472F" w:rsidRPr="008D54A5" w14:paraId="23BAEE12" w14:textId="77777777" w:rsidTr="006E4110">
        <w:trPr>
          <w:trHeight w:val="20"/>
        </w:trPr>
        <w:tc>
          <w:tcPr>
            <w:tcW w:w="0" w:type="pct"/>
            <w:vMerge w:val="restart"/>
            <w:noWrap/>
            <w:hideMark/>
          </w:tcPr>
          <w:p w14:paraId="1293CD3F" w14:textId="77777777" w:rsidR="000E472F" w:rsidRPr="008D54A5" w:rsidRDefault="000E472F" w:rsidP="00E47419">
            <w:pPr>
              <w:pStyle w:val="TableText-12"/>
            </w:pPr>
            <w:r w:rsidRPr="008D54A5">
              <w:t>Total Payments on Hospital Event</w:t>
            </w:r>
          </w:p>
        </w:tc>
        <w:tc>
          <w:tcPr>
            <w:tcW w:w="1155" w:type="pct"/>
            <w:noWrap/>
            <w:hideMark/>
          </w:tcPr>
          <w:p w14:paraId="4B35A767" w14:textId="77777777" w:rsidR="000E472F" w:rsidRPr="008D54A5" w:rsidRDefault="000E472F" w:rsidP="00E47419">
            <w:pPr>
              <w:pStyle w:val="TableText-12"/>
            </w:pPr>
            <w:r w:rsidRPr="008D54A5">
              <w:t>Missing</w:t>
            </w:r>
          </w:p>
        </w:tc>
        <w:tc>
          <w:tcPr>
            <w:tcW w:w="753" w:type="pct"/>
            <w:tcBorders>
              <w:top w:val="nil"/>
              <w:left w:val="single" w:sz="4" w:space="0" w:color="auto"/>
              <w:bottom w:val="single" w:sz="4" w:space="0" w:color="auto"/>
              <w:right w:val="single" w:sz="4" w:space="0" w:color="auto"/>
            </w:tcBorders>
            <w:shd w:val="clear" w:color="auto" w:fill="auto"/>
          </w:tcPr>
          <w:p w14:paraId="3A423EC4" w14:textId="28EA3A16" w:rsidR="000E472F" w:rsidRPr="008D54A5" w:rsidRDefault="000E472F" w:rsidP="00E47419">
            <w:pPr>
              <w:pStyle w:val="TableText-center-12"/>
            </w:pPr>
            <w:r w:rsidRPr="008D54A5">
              <w:t>1.2</w:t>
            </w:r>
          </w:p>
        </w:tc>
        <w:tc>
          <w:tcPr>
            <w:tcW w:w="753" w:type="pct"/>
            <w:tcBorders>
              <w:top w:val="nil"/>
              <w:left w:val="nil"/>
              <w:bottom w:val="single" w:sz="4" w:space="0" w:color="auto"/>
              <w:right w:val="single" w:sz="4" w:space="0" w:color="auto"/>
            </w:tcBorders>
            <w:shd w:val="clear" w:color="auto" w:fill="auto"/>
          </w:tcPr>
          <w:p w14:paraId="2852F2C0" w14:textId="3CC315E4" w:rsidR="000E472F" w:rsidRPr="008D54A5" w:rsidRDefault="000E472F" w:rsidP="00E47419">
            <w:pPr>
              <w:pStyle w:val="TableText-center-12"/>
            </w:pPr>
            <w:r w:rsidRPr="008D54A5">
              <w:t>1.3</w:t>
            </w:r>
          </w:p>
        </w:tc>
        <w:tc>
          <w:tcPr>
            <w:tcW w:w="749" w:type="pct"/>
            <w:tcBorders>
              <w:top w:val="nil"/>
              <w:left w:val="nil"/>
              <w:bottom w:val="single" w:sz="4" w:space="0" w:color="auto"/>
              <w:right w:val="single" w:sz="4" w:space="0" w:color="auto"/>
            </w:tcBorders>
            <w:shd w:val="clear" w:color="auto" w:fill="auto"/>
            <w:noWrap/>
            <w:hideMark/>
          </w:tcPr>
          <w:p w14:paraId="6463F920" w14:textId="232B92A3" w:rsidR="000E472F" w:rsidRPr="008D54A5" w:rsidRDefault="000E472F" w:rsidP="00E47419">
            <w:pPr>
              <w:pStyle w:val="TableText-center-12"/>
            </w:pPr>
            <w:r w:rsidRPr="008D54A5">
              <w:t>1.0</w:t>
            </w:r>
          </w:p>
        </w:tc>
      </w:tr>
      <w:tr w:rsidR="000E472F" w:rsidRPr="008D54A5" w14:paraId="517EF6B6" w14:textId="77777777" w:rsidTr="006E4110">
        <w:trPr>
          <w:trHeight w:val="20"/>
        </w:trPr>
        <w:tc>
          <w:tcPr>
            <w:tcW w:w="0" w:type="pct"/>
            <w:vMerge/>
            <w:hideMark/>
          </w:tcPr>
          <w:p w14:paraId="554BF5A4" w14:textId="77777777" w:rsidR="000E472F" w:rsidRPr="008D54A5" w:rsidRDefault="000E472F" w:rsidP="00E47419">
            <w:pPr>
              <w:pStyle w:val="TableText-12"/>
            </w:pPr>
          </w:p>
        </w:tc>
        <w:tc>
          <w:tcPr>
            <w:tcW w:w="1155" w:type="pct"/>
            <w:noWrap/>
            <w:hideMark/>
          </w:tcPr>
          <w:p w14:paraId="5E1B6AE5" w14:textId="77777777" w:rsidR="000E472F" w:rsidRPr="008D54A5" w:rsidRDefault="000E472F" w:rsidP="00E47419">
            <w:pPr>
              <w:pStyle w:val="TableText-12"/>
            </w:pPr>
            <w:r w:rsidRPr="008D54A5">
              <w:t>Zero</w:t>
            </w:r>
          </w:p>
        </w:tc>
        <w:tc>
          <w:tcPr>
            <w:tcW w:w="753" w:type="pct"/>
            <w:tcBorders>
              <w:top w:val="nil"/>
              <w:left w:val="single" w:sz="4" w:space="0" w:color="auto"/>
              <w:bottom w:val="single" w:sz="4" w:space="0" w:color="auto"/>
              <w:right w:val="single" w:sz="4" w:space="0" w:color="auto"/>
            </w:tcBorders>
            <w:shd w:val="clear" w:color="auto" w:fill="auto"/>
          </w:tcPr>
          <w:p w14:paraId="22036471" w14:textId="59A543A4" w:rsidR="000E472F" w:rsidRPr="008D54A5" w:rsidRDefault="000E472F" w:rsidP="00E47419">
            <w:pPr>
              <w:pStyle w:val="TableText-center-12"/>
            </w:pPr>
            <w:r w:rsidRPr="008D54A5">
              <w:t>1.1</w:t>
            </w:r>
          </w:p>
        </w:tc>
        <w:tc>
          <w:tcPr>
            <w:tcW w:w="753" w:type="pct"/>
            <w:tcBorders>
              <w:top w:val="nil"/>
              <w:left w:val="nil"/>
              <w:bottom w:val="single" w:sz="4" w:space="0" w:color="auto"/>
              <w:right w:val="single" w:sz="4" w:space="0" w:color="auto"/>
            </w:tcBorders>
            <w:shd w:val="clear" w:color="auto" w:fill="auto"/>
          </w:tcPr>
          <w:p w14:paraId="1A38FC72" w14:textId="3420CEE8" w:rsidR="000E472F" w:rsidRPr="008D54A5" w:rsidRDefault="000E472F" w:rsidP="00E47419">
            <w:pPr>
              <w:pStyle w:val="TableText-center-12"/>
            </w:pPr>
            <w:r w:rsidRPr="008D54A5">
              <w:t>1.1</w:t>
            </w:r>
          </w:p>
        </w:tc>
        <w:tc>
          <w:tcPr>
            <w:tcW w:w="749" w:type="pct"/>
            <w:tcBorders>
              <w:top w:val="nil"/>
              <w:left w:val="nil"/>
              <w:bottom w:val="single" w:sz="4" w:space="0" w:color="auto"/>
              <w:right w:val="single" w:sz="4" w:space="0" w:color="auto"/>
            </w:tcBorders>
            <w:shd w:val="clear" w:color="auto" w:fill="auto"/>
            <w:noWrap/>
            <w:hideMark/>
          </w:tcPr>
          <w:p w14:paraId="5CE0B69F" w14:textId="69AE7C6F" w:rsidR="000E472F" w:rsidRPr="008D54A5" w:rsidRDefault="000E472F" w:rsidP="00E47419">
            <w:pPr>
              <w:pStyle w:val="TableText-center-12"/>
            </w:pPr>
            <w:r w:rsidRPr="008D54A5">
              <w:t>1.0</w:t>
            </w:r>
          </w:p>
        </w:tc>
      </w:tr>
      <w:tr w:rsidR="000E472F" w:rsidRPr="008D54A5" w14:paraId="59CDCE6F" w14:textId="77777777" w:rsidTr="006E4110">
        <w:trPr>
          <w:trHeight w:val="20"/>
        </w:trPr>
        <w:tc>
          <w:tcPr>
            <w:tcW w:w="0" w:type="pct"/>
            <w:vMerge/>
            <w:hideMark/>
          </w:tcPr>
          <w:p w14:paraId="0ECB7977" w14:textId="77777777" w:rsidR="000E472F" w:rsidRPr="008D54A5" w:rsidRDefault="000E472F" w:rsidP="00E47419">
            <w:pPr>
              <w:pStyle w:val="TableText-12"/>
            </w:pPr>
          </w:p>
        </w:tc>
        <w:tc>
          <w:tcPr>
            <w:tcW w:w="1155" w:type="pct"/>
            <w:noWrap/>
            <w:hideMark/>
          </w:tcPr>
          <w:p w14:paraId="2EFF7970" w14:textId="77777777" w:rsidR="000E472F" w:rsidRPr="008D54A5" w:rsidRDefault="000E472F" w:rsidP="00E47419">
            <w:pPr>
              <w:pStyle w:val="TableText-12"/>
            </w:pPr>
            <w:r w:rsidRPr="008D54A5">
              <w:t>$1–$250</w:t>
            </w:r>
          </w:p>
        </w:tc>
        <w:tc>
          <w:tcPr>
            <w:tcW w:w="753" w:type="pct"/>
            <w:tcBorders>
              <w:top w:val="nil"/>
              <w:left w:val="single" w:sz="4" w:space="0" w:color="auto"/>
              <w:bottom w:val="single" w:sz="4" w:space="0" w:color="auto"/>
              <w:right w:val="single" w:sz="4" w:space="0" w:color="auto"/>
            </w:tcBorders>
            <w:shd w:val="clear" w:color="auto" w:fill="auto"/>
          </w:tcPr>
          <w:p w14:paraId="305F5D53" w14:textId="65E8AC94" w:rsidR="000E472F" w:rsidRPr="008D54A5" w:rsidRDefault="000E472F" w:rsidP="00E47419">
            <w:pPr>
              <w:pStyle w:val="TableText-center-12"/>
            </w:pPr>
            <w:r w:rsidRPr="008D54A5">
              <w:t>1.0</w:t>
            </w:r>
          </w:p>
        </w:tc>
        <w:tc>
          <w:tcPr>
            <w:tcW w:w="753" w:type="pct"/>
            <w:tcBorders>
              <w:top w:val="nil"/>
              <w:left w:val="nil"/>
              <w:bottom w:val="single" w:sz="4" w:space="0" w:color="auto"/>
              <w:right w:val="single" w:sz="4" w:space="0" w:color="auto"/>
            </w:tcBorders>
            <w:shd w:val="clear" w:color="auto" w:fill="auto"/>
          </w:tcPr>
          <w:p w14:paraId="0DE1FBD9" w14:textId="2A318614" w:rsidR="000E472F" w:rsidRPr="008D54A5" w:rsidRDefault="000E472F" w:rsidP="00E47419">
            <w:pPr>
              <w:pStyle w:val="TableText-center-12"/>
            </w:pPr>
            <w:r w:rsidRPr="008D54A5">
              <w:t>1.0</w:t>
            </w:r>
          </w:p>
        </w:tc>
        <w:tc>
          <w:tcPr>
            <w:tcW w:w="749" w:type="pct"/>
            <w:tcBorders>
              <w:top w:val="nil"/>
              <w:left w:val="nil"/>
              <w:bottom w:val="single" w:sz="4" w:space="0" w:color="auto"/>
              <w:right w:val="single" w:sz="4" w:space="0" w:color="auto"/>
            </w:tcBorders>
            <w:shd w:val="clear" w:color="auto" w:fill="auto"/>
            <w:noWrap/>
            <w:hideMark/>
          </w:tcPr>
          <w:p w14:paraId="19E281CD" w14:textId="48F17EB6" w:rsidR="000E472F" w:rsidRPr="008D54A5" w:rsidRDefault="000E472F" w:rsidP="00E47419">
            <w:pPr>
              <w:pStyle w:val="TableText-center-12"/>
            </w:pPr>
            <w:r w:rsidRPr="008D54A5">
              <w:t>1.0</w:t>
            </w:r>
          </w:p>
        </w:tc>
      </w:tr>
      <w:tr w:rsidR="000E472F" w:rsidRPr="008D54A5" w14:paraId="6210419D" w14:textId="77777777" w:rsidTr="006E4110">
        <w:trPr>
          <w:trHeight w:val="20"/>
        </w:trPr>
        <w:tc>
          <w:tcPr>
            <w:tcW w:w="0" w:type="pct"/>
            <w:vMerge/>
            <w:hideMark/>
          </w:tcPr>
          <w:p w14:paraId="47755BE7" w14:textId="77777777" w:rsidR="000E472F" w:rsidRPr="008D54A5" w:rsidRDefault="000E472F" w:rsidP="00E47419">
            <w:pPr>
              <w:pStyle w:val="TableText-12"/>
            </w:pPr>
          </w:p>
        </w:tc>
        <w:tc>
          <w:tcPr>
            <w:tcW w:w="1155" w:type="pct"/>
            <w:noWrap/>
            <w:hideMark/>
          </w:tcPr>
          <w:p w14:paraId="7C53961D" w14:textId="77777777" w:rsidR="000E472F" w:rsidRPr="008D54A5" w:rsidRDefault="000E472F" w:rsidP="00E47419">
            <w:pPr>
              <w:pStyle w:val="TableText-12"/>
            </w:pPr>
            <w:r w:rsidRPr="008D54A5">
              <w:t>$251–$1,000</w:t>
            </w:r>
          </w:p>
        </w:tc>
        <w:tc>
          <w:tcPr>
            <w:tcW w:w="753" w:type="pct"/>
            <w:tcBorders>
              <w:top w:val="nil"/>
              <w:left w:val="single" w:sz="4" w:space="0" w:color="auto"/>
              <w:bottom w:val="single" w:sz="4" w:space="0" w:color="auto"/>
              <w:right w:val="single" w:sz="4" w:space="0" w:color="auto"/>
            </w:tcBorders>
            <w:shd w:val="clear" w:color="auto" w:fill="auto"/>
          </w:tcPr>
          <w:p w14:paraId="75A55B47" w14:textId="7396F6F6" w:rsidR="000E472F" w:rsidRPr="008D54A5" w:rsidRDefault="000E472F" w:rsidP="00E47419">
            <w:pPr>
              <w:pStyle w:val="TableText-center-12"/>
            </w:pPr>
            <w:r w:rsidRPr="008D54A5">
              <w:t>1.0</w:t>
            </w:r>
          </w:p>
        </w:tc>
        <w:tc>
          <w:tcPr>
            <w:tcW w:w="753" w:type="pct"/>
            <w:tcBorders>
              <w:top w:val="nil"/>
              <w:left w:val="nil"/>
              <w:bottom w:val="single" w:sz="4" w:space="0" w:color="auto"/>
              <w:right w:val="single" w:sz="4" w:space="0" w:color="auto"/>
            </w:tcBorders>
            <w:shd w:val="clear" w:color="auto" w:fill="auto"/>
          </w:tcPr>
          <w:p w14:paraId="33454B5B" w14:textId="018D3C53" w:rsidR="000E472F" w:rsidRPr="008D54A5" w:rsidRDefault="000E472F" w:rsidP="00E47419">
            <w:pPr>
              <w:pStyle w:val="TableText-center-12"/>
            </w:pPr>
            <w:r w:rsidRPr="008D54A5">
              <w:t>1.0</w:t>
            </w:r>
          </w:p>
        </w:tc>
        <w:tc>
          <w:tcPr>
            <w:tcW w:w="749" w:type="pct"/>
            <w:tcBorders>
              <w:top w:val="nil"/>
              <w:left w:val="nil"/>
              <w:bottom w:val="single" w:sz="4" w:space="0" w:color="auto"/>
              <w:right w:val="single" w:sz="4" w:space="0" w:color="auto"/>
            </w:tcBorders>
            <w:shd w:val="clear" w:color="auto" w:fill="auto"/>
            <w:noWrap/>
            <w:hideMark/>
          </w:tcPr>
          <w:p w14:paraId="2DB2D7A3" w14:textId="224FE07F" w:rsidR="000E472F" w:rsidRPr="008D54A5" w:rsidRDefault="000E472F" w:rsidP="00E47419">
            <w:pPr>
              <w:pStyle w:val="TableText-center-12"/>
            </w:pPr>
            <w:r w:rsidRPr="008D54A5">
              <w:t>1.0</w:t>
            </w:r>
          </w:p>
        </w:tc>
      </w:tr>
      <w:tr w:rsidR="000E472F" w:rsidRPr="008D54A5" w14:paraId="517AE277" w14:textId="77777777" w:rsidTr="006E4110">
        <w:trPr>
          <w:trHeight w:val="20"/>
        </w:trPr>
        <w:tc>
          <w:tcPr>
            <w:tcW w:w="0" w:type="pct"/>
            <w:vMerge/>
            <w:hideMark/>
          </w:tcPr>
          <w:p w14:paraId="24B212A2" w14:textId="77777777" w:rsidR="000E472F" w:rsidRPr="008D54A5" w:rsidRDefault="000E472F" w:rsidP="00E47419">
            <w:pPr>
              <w:pStyle w:val="TableText-12"/>
            </w:pPr>
          </w:p>
        </w:tc>
        <w:tc>
          <w:tcPr>
            <w:tcW w:w="1155" w:type="pct"/>
            <w:noWrap/>
            <w:hideMark/>
          </w:tcPr>
          <w:p w14:paraId="5E818839" w14:textId="77777777" w:rsidR="000E472F" w:rsidRPr="008D54A5" w:rsidRDefault="000E472F" w:rsidP="00E47419">
            <w:pPr>
              <w:pStyle w:val="TableText-12"/>
            </w:pPr>
            <w:r w:rsidRPr="008D54A5">
              <w:t>$1,001–$10,000</w:t>
            </w:r>
          </w:p>
        </w:tc>
        <w:tc>
          <w:tcPr>
            <w:tcW w:w="753" w:type="pct"/>
            <w:tcBorders>
              <w:top w:val="nil"/>
              <w:left w:val="single" w:sz="4" w:space="0" w:color="auto"/>
              <w:bottom w:val="single" w:sz="4" w:space="0" w:color="auto"/>
              <w:right w:val="single" w:sz="4" w:space="0" w:color="auto"/>
            </w:tcBorders>
            <w:shd w:val="clear" w:color="auto" w:fill="auto"/>
          </w:tcPr>
          <w:p w14:paraId="48FF606C" w14:textId="6D641F48" w:rsidR="000E472F" w:rsidRPr="008D54A5" w:rsidRDefault="000E472F" w:rsidP="00E47419">
            <w:pPr>
              <w:pStyle w:val="TableText-center-12"/>
            </w:pPr>
            <w:r w:rsidRPr="008D54A5">
              <w:t>1.2</w:t>
            </w:r>
          </w:p>
        </w:tc>
        <w:tc>
          <w:tcPr>
            <w:tcW w:w="753" w:type="pct"/>
            <w:tcBorders>
              <w:top w:val="nil"/>
              <w:left w:val="nil"/>
              <w:bottom w:val="single" w:sz="4" w:space="0" w:color="auto"/>
              <w:right w:val="single" w:sz="4" w:space="0" w:color="auto"/>
            </w:tcBorders>
            <w:shd w:val="clear" w:color="auto" w:fill="auto"/>
          </w:tcPr>
          <w:p w14:paraId="3D2064B7" w14:textId="35110CDF" w:rsidR="000E472F" w:rsidRPr="008D54A5" w:rsidRDefault="000E472F" w:rsidP="00E47419">
            <w:pPr>
              <w:pStyle w:val="TableText-center-12"/>
            </w:pPr>
            <w:r w:rsidRPr="008D54A5">
              <w:t>1.2</w:t>
            </w:r>
          </w:p>
        </w:tc>
        <w:tc>
          <w:tcPr>
            <w:tcW w:w="749" w:type="pct"/>
            <w:tcBorders>
              <w:top w:val="nil"/>
              <w:left w:val="nil"/>
              <w:bottom w:val="single" w:sz="4" w:space="0" w:color="auto"/>
              <w:right w:val="single" w:sz="4" w:space="0" w:color="auto"/>
            </w:tcBorders>
            <w:shd w:val="clear" w:color="auto" w:fill="auto"/>
            <w:noWrap/>
            <w:hideMark/>
          </w:tcPr>
          <w:p w14:paraId="2A53D577" w14:textId="6A27A50B" w:rsidR="000E472F" w:rsidRPr="008D54A5" w:rsidRDefault="000E472F" w:rsidP="00E47419">
            <w:pPr>
              <w:pStyle w:val="TableText-center-12"/>
            </w:pPr>
            <w:r w:rsidRPr="008D54A5">
              <w:t>1.2</w:t>
            </w:r>
          </w:p>
        </w:tc>
      </w:tr>
      <w:tr w:rsidR="000E472F" w:rsidRPr="008D54A5" w14:paraId="27F8B1D0" w14:textId="77777777" w:rsidTr="006E4110">
        <w:trPr>
          <w:trHeight w:val="20"/>
        </w:trPr>
        <w:tc>
          <w:tcPr>
            <w:tcW w:w="0" w:type="pct"/>
            <w:vMerge/>
            <w:hideMark/>
          </w:tcPr>
          <w:p w14:paraId="724EBDE7" w14:textId="77777777" w:rsidR="000E472F" w:rsidRPr="008D54A5" w:rsidRDefault="000E472F" w:rsidP="00E47419">
            <w:pPr>
              <w:pStyle w:val="TableText-12"/>
            </w:pPr>
          </w:p>
        </w:tc>
        <w:tc>
          <w:tcPr>
            <w:tcW w:w="1155" w:type="pct"/>
            <w:noWrap/>
            <w:hideMark/>
          </w:tcPr>
          <w:p w14:paraId="51D83C7B" w14:textId="77777777" w:rsidR="000E472F" w:rsidRPr="008D54A5" w:rsidRDefault="000E472F" w:rsidP="00E47419">
            <w:pPr>
              <w:pStyle w:val="TableText-12"/>
            </w:pPr>
            <w:r w:rsidRPr="008D54A5">
              <w:t>&gt; $10,000</w:t>
            </w:r>
          </w:p>
        </w:tc>
        <w:tc>
          <w:tcPr>
            <w:tcW w:w="753" w:type="pct"/>
            <w:tcBorders>
              <w:top w:val="nil"/>
              <w:left w:val="single" w:sz="4" w:space="0" w:color="auto"/>
              <w:bottom w:val="single" w:sz="4" w:space="0" w:color="auto"/>
              <w:right w:val="single" w:sz="4" w:space="0" w:color="auto"/>
            </w:tcBorders>
            <w:shd w:val="clear" w:color="auto" w:fill="auto"/>
          </w:tcPr>
          <w:p w14:paraId="40B2D449" w14:textId="0DF395A1" w:rsidR="000E472F" w:rsidRPr="008D54A5" w:rsidRDefault="000E472F" w:rsidP="00E47419">
            <w:pPr>
              <w:pStyle w:val="TableText-center-12"/>
            </w:pPr>
            <w:r w:rsidRPr="008D54A5">
              <w:t>1.8</w:t>
            </w:r>
          </w:p>
        </w:tc>
        <w:tc>
          <w:tcPr>
            <w:tcW w:w="753" w:type="pct"/>
            <w:tcBorders>
              <w:top w:val="nil"/>
              <w:left w:val="nil"/>
              <w:bottom w:val="single" w:sz="4" w:space="0" w:color="auto"/>
              <w:right w:val="single" w:sz="4" w:space="0" w:color="auto"/>
            </w:tcBorders>
            <w:shd w:val="clear" w:color="auto" w:fill="auto"/>
          </w:tcPr>
          <w:p w14:paraId="770AD156" w14:textId="54BFF3EA" w:rsidR="000E472F" w:rsidRPr="008D54A5" w:rsidRDefault="000E472F" w:rsidP="00E47419">
            <w:pPr>
              <w:pStyle w:val="TableText-center-12"/>
            </w:pPr>
            <w:r w:rsidRPr="008D54A5">
              <w:t>1.6</w:t>
            </w:r>
          </w:p>
        </w:tc>
        <w:tc>
          <w:tcPr>
            <w:tcW w:w="749" w:type="pct"/>
            <w:tcBorders>
              <w:top w:val="nil"/>
              <w:left w:val="nil"/>
              <w:bottom w:val="single" w:sz="4" w:space="0" w:color="auto"/>
              <w:right w:val="single" w:sz="4" w:space="0" w:color="auto"/>
            </w:tcBorders>
            <w:shd w:val="clear" w:color="auto" w:fill="auto"/>
            <w:noWrap/>
            <w:hideMark/>
          </w:tcPr>
          <w:p w14:paraId="6F95145F" w14:textId="62FD3B36" w:rsidR="000E472F" w:rsidRPr="008D54A5" w:rsidRDefault="000E472F" w:rsidP="00E47419">
            <w:pPr>
              <w:pStyle w:val="TableText-center-12"/>
            </w:pPr>
            <w:r w:rsidRPr="008D54A5">
              <w:t>1.6</w:t>
            </w:r>
          </w:p>
        </w:tc>
      </w:tr>
      <w:tr w:rsidR="000E472F" w:rsidRPr="008D54A5" w14:paraId="02A35129" w14:textId="77777777" w:rsidTr="006E4110">
        <w:trPr>
          <w:trHeight w:val="20"/>
        </w:trPr>
        <w:tc>
          <w:tcPr>
            <w:tcW w:w="0" w:type="pct"/>
            <w:vMerge w:val="restart"/>
            <w:noWrap/>
            <w:hideMark/>
          </w:tcPr>
          <w:p w14:paraId="0ACA4B5D" w14:textId="77777777" w:rsidR="000E472F" w:rsidRPr="008D54A5" w:rsidRDefault="000E472F" w:rsidP="00E47419">
            <w:pPr>
              <w:pStyle w:val="TableText-12"/>
            </w:pPr>
            <w:r w:rsidRPr="008D54A5">
              <w:t>Data Collection Mode for Hospital Event</w:t>
            </w:r>
          </w:p>
        </w:tc>
        <w:tc>
          <w:tcPr>
            <w:tcW w:w="1155" w:type="pct"/>
            <w:noWrap/>
            <w:hideMark/>
          </w:tcPr>
          <w:p w14:paraId="0DB9D740" w14:textId="77777777" w:rsidR="000E472F" w:rsidRPr="008D54A5" w:rsidRDefault="000E472F" w:rsidP="00E47419">
            <w:pPr>
              <w:pStyle w:val="TableText-12"/>
            </w:pPr>
            <w:r w:rsidRPr="008D54A5">
              <w:t>Telephone</w:t>
            </w:r>
          </w:p>
        </w:tc>
        <w:tc>
          <w:tcPr>
            <w:tcW w:w="753" w:type="pct"/>
            <w:tcBorders>
              <w:top w:val="nil"/>
              <w:left w:val="single" w:sz="4" w:space="0" w:color="auto"/>
              <w:bottom w:val="single" w:sz="4" w:space="0" w:color="auto"/>
              <w:right w:val="single" w:sz="4" w:space="0" w:color="auto"/>
            </w:tcBorders>
            <w:shd w:val="clear" w:color="auto" w:fill="auto"/>
          </w:tcPr>
          <w:p w14:paraId="7B81BBC0" w14:textId="27D57357" w:rsidR="000E472F" w:rsidRPr="008D54A5" w:rsidRDefault="000E472F" w:rsidP="00E47419">
            <w:pPr>
              <w:pStyle w:val="TableText-center-12"/>
            </w:pPr>
            <w:r w:rsidRPr="008D54A5">
              <w:t>1.9</w:t>
            </w:r>
          </w:p>
        </w:tc>
        <w:tc>
          <w:tcPr>
            <w:tcW w:w="753" w:type="pct"/>
            <w:tcBorders>
              <w:top w:val="nil"/>
              <w:left w:val="nil"/>
              <w:bottom w:val="single" w:sz="4" w:space="0" w:color="auto"/>
              <w:right w:val="single" w:sz="4" w:space="0" w:color="auto"/>
            </w:tcBorders>
            <w:shd w:val="clear" w:color="auto" w:fill="auto"/>
          </w:tcPr>
          <w:p w14:paraId="2F38E932" w14:textId="42B69996" w:rsidR="000E472F" w:rsidRPr="008D54A5" w:rsidRDefault="000E472F" w:rsidP="00E47419">
            <w:pPr>
              <w:pStyle w:val="TableText-center-12"/>
            </w:pPr>
            <w:r w:rsidRPr="008D54A5">
              <w:t>2.7</w:t>
            </w:r>
          </w:p>
        </w:tc>
        <w:tc>
          <w:tcPr>
            <w:tcW w:w="749" w:type="pct"/>
            <w:tcBorders>
              <w:top w:val="nil"/>
              <w:left w:val="nil"/>
              <w:bottom w:val="single" w:sz="4" w:space="0" w:color="auto"/>
              <w:right w:val="single" w:sz="4" w:space="0" w:color="auto"/>
            </w:tcBorders>
            <w:shd w:val="clear" w:color="auto" w:fill="auto"/>
            <w:noWrap/>
            <w:hideMark/>
          </w:tcPr>
          <w:p w14:paraId="2D836906" w14:textId="722EE62E" w:rsidR="000E472F" w:rsidRPr="008D54A5" w:rsidRDefault="000E472F" w:rsidP="00E47419">
            <w:pPr>
              <w:pStyle w:val="TableText-center-12"/>
            </w:pPr>
            <w:r w:rsidRPr="008D54A5">
              <w:t>2.7</w:t>
            </w:r>
          </w:p>
        </w:tc>
      </w:tr>
      <w:tr w:rsidR="000E472F" w:rsidRPr="008D54A5" w14:paraId="1E76C3AA" w14:textId="77777777" w:rsidTr="006E4110">
        <w:trPr>
          <w:trHeight w:val="20"/>
        </w:trPr>
        <w:tc>
          <w:tcPr>
            <w:tcW w:w="0" w:type="pct"/>
            <w:vMerge/>
            <w:hideMark/>
          </w:tcPr>
          <w:p w14:paraId="4E6D35C9" w14:textId="77777777" w:rsidR="000E472F" w:rsidRPr="008D54A5" w:rsidRDefault="000E472F" w:rsidP="00E47419">
            <w:pPr>
              <w:pStyle w:val="TableText-10"/>
            </w:pPr>
          </w:p>
        </w:tc>
        <w:tc>
          <w:tcPr>
            <w:tcW w:w="1155" w:type="pct"/>
            <w:noWrap/>
            <w:hideMark/>
          </w:tcPr>
          <w:p w14:paraId="4EB53A16" w14:textId="77777777" w:rsidR="000E472F" w:rsidRPr="008D54A5" w:rsidRDefault="000E472F" w:rsidP="00E47419">
            <w:pPr>
              <w:pStyle w:val="TableText-12"/>
            </w:pPr>
            <w:r w:rsidRPr="008D54A5">
              <w:t>Hard copy</w:t>
            </w:r>
          </w:p>
        </w:tc>
        <w:tc>
          <w:tcPr>
            <w:tcW w:w="753" w:type="pct"/>
            <w:tcBorders>
              <w:top w:val="nil"/>
              <w:left w:val="single" w:sz="4" w:space="0" w:color="auto"/>
              <w:bottom w:val="single" w:sz="4" w:space="0" w:color="auto"/>
              <w:right w:val="single" w:sz="4" w:space="0" w:color="auto"/>
            </w:tcBorders>
            <w:shd w:val="clear" w:color="auto" w:fill="auto"/>
          </w:tcPr>
          <w:p w14:paraId="730AD500" w14:textId="0C4178FC" w:rsidR="000E472F" w:rsidRPr="008D54A5" w:rsidRDefault="000E472F" w:rsidP="00E47419">
            <w:pPr>
              <w:pStyle w:val="TableText-center-12"/>
            </w:pPr>
            <w:r w:rsidRPr="008D54A5">
              <w:t>1.2</w:t>
            </w:r>
          </w:p>
        </w:tc>
        <w:tc>
          <w:tcPr>
            <w:tcW w:w="753" w:type="pct"/>
            <w:tcBorders>
              <w:top w:val="nil"/>
              <w:left w:val="nil"/>
              <w:bottom w:val="single" w:sz="4" w:space="0" w:color="auto"/>
              <w:right w:val="single" w:sz="4" w:space="0" w:color="auto"/>
            </w:tcBorders>
            <w:shd w:val="clear" w:color="auto" w:fill="auto"/>
          </w:tcPr>
          <w:p w14:paraId="62BC7D7C" w14:textId="46CB2234" w:rsidR="000E472F" w:rsidRPr="008D54A5" w:rsidRDefault="000E472F" w:rsidP="00E47419">
            <w:pPr>
              <w:pStyle w:val="TableText-center-12"/>
            </w:pPr>
            <w:r w:rsidRPr="008D54A5">
              <w:t>1.2</w:t>
            </w:r>
          </w:p>
        </w:tc>
        <w:tc>
          <w:tcPr>
            <w:tcW w:w="749" w:type="pct"/>
            <w:tcBorders>
              <w:top w:val="nil"/>
              <w:left w:val="nil"/>
              <w:bottom w:val="single" w:sz="4" w:space="0" w:color="auto"/>
              <w:right w:val="single" w:sz="4" w:space="0" w:color="auto"/>
            </w:tcBorders>
            <w:shd w:val="clear" w:color="auto" w:fill="auto"/>
            <w:noWrap/>
            <w:hideMark/>
          </w:tcPr>
          <w:p w14:paraId="19823536" w14:textId="79EC09BE" w:rsidR="000E472F" w:rsidRPr="008D54A5" w:rsidRDefault="000E472F" w:rsidP="00E47419">
            <w:pPr>
              <w:pStyle w:val="TableText-center-12"/>
            </w:pPr>
            <w:r w:rsidRPr="008D54A5">
              <w:t>1.1</w:t>
            </w:r>
          </w:p>
        </w:tc>
      </w:tr>
    </w:tbl>
    <w:p w14:paraId="6659B9F4" w14:textId="26CBB8B9" w:rsidR="002D4D78" w:rsidRPr="008D54A5" w:rsidRDefault="002D4D78" w:rsidP="002D4D78">
      <w:pPr>
        <w:pStyle w:val="Source-9-1"/>
      </w:pPr>
      <w:r w:rsidRPr="008D54A5">
        <w:t>SBD = separately bill</w:t>
      </w:r>
      <w:r w:rsidR="0004314B" w:rsidRPr="008D54A5">
        <w:t>ing</w:t>
      </w:r>
      <w:r w:rsidRPr="008D54A5">
        <w:t xml:space="preserve"> doctor.</w:t>
      </w:r>
    </w:p>
    <w:p w14:paraId="4D3D24AD" w14:textId="707A5550" w:rsidR="00A322E7" w:rsidRPr="008D54A5" w:rsidRDefault="00A322E7" w:rsidP="00E764D0">
      <w:pPr>
        <w:pStyle w:val="Source10"/>
      </w:pPr>
      <w:r w:rsidRPr="008D54A5">
        <w:t xml:space="preserve">Note: The statistics are based on unique (nonreplicated) </w:t>
      </w:r>
      <w:r w:rsidR="00BB6089" w:rsidRPr="008D54A5">
        <w:t xml:space="preserve">Medical Provider Component </w:t>
      </w:r>
      <w:r w:rsidRPr="008D54A5">
        <w:t>events.</w:t>
      </w:r>
    </w:p>
    <w:p w14:paraId="67F3D536" w14:textId="52236AB3" w:rsidR="007127B0" w:rsidRPr="008D54A5" w:rsidRDefault="00A322E7" w:rsidP="00E764D0">
      <w:pPr>
        <w:pStyle w:val="Source102"/>
      </w:pPr>
      <w:r w:rsidRPr="008D54A5">
        <w:t xml:space="preserve">Source: </w:t>
      </w:r>
      <w:r w:rsidR="00630C8D" w:rsidRPr="008D54A5">
        <w:t>2020</w:t>
      </w:r>
      <w:r w:rsidR="00CB3A1F" w:rsidRPr="008D54A5">
        <w:t>-</w:t>
      </w:r>
      <w:r w:rsidR="00F747C1" w:rsidRPr="008D54A5">
        <w:t>202</w:t>
      </w:r>
      <w:r w:rsidR="00630C8D" w:rsidRPr="008D54A5">
        <w:t>2</w:t>
      </w:r>
      <w:r w:rsidR="00F747C1" w:rsidRPr="008D54A5">
        <w:t xml:space="preserve"> </w:t>
      </w:r>
      <w:r w:rsidRPr="008D54A5">
        <w:t xml:space="preserve">Medical Expenditure Panel Survey </w:t>
      </w:r>
      <w:r w:rsidR="005B7458" w:rsidRPr="008D54A5">
        <w:t xml:space="preserve">– </w:t>
      </w:r>
      <w:r w:rsidRPr="008D54A5">
        <w:t xml:space="preserve">Medical Provider </w:t>
      </w:r>
      <w:r w:rsidR="007127B0" w:rsidRPr="008D54A5">
        <w:t>Component.</w:t>
      </w:r>
    </w:p>
    <w:p w14:paraId="42AEDDE4" w14:textId="0C8528EA" w:rsidR="00695955" w:rsidRPr="008D54A5" w:rsidRDefault="00695955" w:rsidP="00695955">
      <w:pPr>
        <w:pStyle w:val="BodyText"/>
      </w:pPr>
      <w:bookmarkStart w:id="76" w:name="_Hlk36200387"/>
      <w:r w:rsidRPr="00B53C63">
        <w:rPr>
          <w:b/>
        </w:rPr>
        <w:t>Exhibit </w:t>
      </w:r>
      <w:r w:rsidRPr="008D54A5">
        <w:rPr>
          <w:b/>
        </w:rPr>
        <w:t>3.5</w:t>
      </w:r>
      <w:r w:rsidRPr="008D54A5">
        <w:t xml:space="preserve"> displays the average number of nodes per Hospital event (excluding Hospital events with no nodes) for the most recent 3-year </w:t>
      </w:r>
      <w:r w:rsidR="007963FF" w:rsidRPr="008D54A5">
        <w:t>period</w:t>
      </w:r>
      <w:r w:rsidRPr="008D54A5">
        <w:t xml:space="preserve">. The average number of nodes per Hospital event in </w:t>
      </w:r>
      <w:r w:rsidR="002B2330" w:rsidRPr="008D54A5">
        <w:t>202</w:t>
      </w:r>
      <w:r w:rsidR="004D1DA7" w:rsidRPr="008D54A5">
        <w:t>2</w:t>
      </w:r>
      <w:r w:rsidRPr="008D54A5">
        <w:t xml:space="preserve"> (2.</w:t>
      </w:r>
      <w:r w:rsidR="004D1DA7" w:rsidRPr="008D54A5">
        <w:t>2</w:t>
      </w:r>
      <w:r w:rsidRPr="008D54A5">
        <w:t>) is</w:t>
      </w:r>
      <w:r w:rsidR="00566061" w:rsidRPr="008D54A5">
        <w:t xml:space="preserve"> consistent with the averages in 202</w:t>
      </w:r>
      <w:r w:rsidR="004D1DA7" w:rsidRPr="008D54A5">
        <w:t>1</w:t>
      </w:r>
      <w:r w:rsidR="00566061" w:rsidRPr="008D54A5">
        <w:t xml:space="preserve"> (2.3) and </w:t>
      </w:r>
      <w:r w:rsidR="004D1DA7" w:rsidRPr="008D54A5">
        <w:t xml:space="preserve">2020 </w:t>
      </w:r>
      <w:r w:rsidR="00566061" w:rsidRPr="008D54A5">
        <w:t>(2.</w:t>
      </w:r>
      <w:r w:rsidR="004D1DA7" w:rsidRPr="008D54A5">
        <w:t>3</w:t>
      </w:r>
      <w:r w:rsidR="00566061" w:rsidRPr="008D54A5">
        <w:t>).</w:t>
      </w:r>
      <w:r w:rsidRPr="008D54A5">
        <w:t xml:space="preserve"> The averages follow logical patterns. </w:t>
      </w:r>
      <w:r w:rsidR="00566061" w:rsidRPr="008D54A5">
        <w:t>For</w:t>
      </w:r>
      <w:r w:rsidRPr="008D54A5">
        <w:t xml:space="preserve"> </w:t>
      </w:r>
      <w:r w:rsidR="00566061" w:rsidRPr="008D54A5">
        <w:t xml:space="preserve">example, </w:t>
      </w:r>
      <w:r w:rsidRPr="008D54A5">
        <w:t xml:space="preserve">the </w:t>
      </w:r>
      <w:r w:rsidR="00867B7E" w:rsidRPr="008D54A5">
        <w:t xml:space="preserve">2022 </w:t>
      </w:r>
      <w:r w:rsidRPr="008D54A5">
        <w:t xml:space="preserve">average number of nodes per Hospital event is </w:t>
      </w:r>
      <w:r w:rsidR="00566061" w:rsidRPr="008D54A5">
        <w:t>5.</w:t>
      </w:r>
      <w:r w:rsidR="00867B7E" w:rsidRPr="008D54A5">
        <w:t xml:space="preserve">1 </w:t>
      </w:r>
      <w:r w:rsidRPr="008D54A5">
        <w:t>for Hospital events with charges &gt; $10,000 and 1.</w:t>
      </w:r>
      <w:r w:rsidR="00867B7E" w:rsidRPr="008D54A5">
        <w:t xml:space="preserve">4 </w:t>
      </w:r>
      <w:r w:rsidRPr="008D54A5">
        <w:t>for Hospital events with charges of $1</w:t>
      </w:r>
      <w:r w:rsidRPr="008D54A5">
        <w:rPr>
          <w:rFonts w:cs="Times New Roman"/>
        </w:rPr>
        <w:t>–</w:t>
      </w:r>
      <w:r w:rsidRPr="008D54A5">
        <w:t>$250. The higher charges and larger number of nodes per Hospital event are likely the result of a greater number of stay nights.</w:t>
      </w:r>
    </w:p>
    <w:p w14:paraId="1E70161D" w14:textId="77777777" w:rsidR="00B83989" w:rsidRPr="008D54A5" w:rsidRDefault="00B83989">
      <w:pPr>
        <w:rPr>
          <w:rFonts w:ascii="Arial" w:hAnsi="Arial"/>
          <w:b/>
          <w:bCs/>
        </w:rPr>
      </w:pPr>
      <w:bookmarkStart w:id="77" w:name="_Toc128574186"/>
      <w:bookmarkEnd w:id="76"/>
      <w:r w:rsidRPr="008D54A5">
        <w:br w:type="page"/>
      </w:r>
    </w:p>
    <w:p w14:paraId="27EC26B3" w14:textId="0BF9B5FE" w:rsidR="00A322E7" w:rsidRPr="008D54A5" w:rsidRDefault="0058399B" w:rsidP="00243B4A">
      <w:pPr>
        <w:pStyle w:val="ExhibitTitle"/>
        <w:spacing w:before="0"/>
        <w:ind w:left="1526" w:hanging="1526"/>
      </w:pPr>
      <w:bookmarkStart w:id="78" w:name="_Toc188622343"/>
      <w:r w:rsidRPr="00404E1F">
        <w:lastRenderedPageBreak/>
        <w:t>Exhibit </w:t>
      </w:r>
      <w:r w:rsidRPr="008D54A5">
        <w:rPr>
          <w:noProof/>
        </w:rPr>
        <w:fldChar w:fldCharType="begin"/>
      </w:r>
      <w:r w:rsidRPr="008D54A5">
        <w:rPr>
          <w:noProof/>
        </w:rPr>
        <w:instrText xml:space="preserve"> STYLEREF 1 \s </w:instrText>
      </w:r>
      <w:r w:rsidRPr="008D54A5">
        <w:rPr>
          <w:noProof/>
        </w:rPr>
        <w:fldChar w:fldCharType="separate"/>
      </w:r>
      <w:r w:rsidR="00EC2444" w:rsidRPr="008D54A5">
        <w:rPr>
          <w:noProof/>
        </w:rPr>
        <w:t>3</w:t>
      </w:r>
      <w:r w:rsidRPr="008D54A5">
        <w:rPr>
          <w:noProof/>
        </w:rPr>
        <w:fldChar w:fldCharType="end"/>
      </w:r>
      <w:r w:rsidRPr="008D54A5">
        <w:t>.</w:t>
      </w:r>
      <w:r w:rsidRPr="008D54A5">
        <w:rPr>
          <w:noProof/>
        </w:rPr>
        <w:fldChar w:fldCharType="begin"/>
      </w:r>
      <w:r w:rsidRPr="008D54A5">
        <w:rPr>
          <w:noProof/>
        </w:rPr>
        <w:instrText xml:space="preserve"> SEQ Exhibit \* ARABIC \s 1 </w:instrText>
      </w:r>
      <w:r w:rsidRPr="008D54A5">
        <w:rPr>
          <w:noProof/>
        </w:rPr>
        <w:fldChar w:fldCharType="separate"/>
      </w:r>
      <w:r w:rsidR="00EC2444" w:rsidRPr="008D54A5">
        <w:rPr>
          <w:noProof/>
        </w:rPr>
        <w:t>5</w:t>
      </w:r>
      <w:r w:rsidRPr="008D54A5">
        <w:rPr>
          <w:noProof/>
        </w:rPr>
        <w:fldChar w:fldCharType="end"/>
      </w:r>
      <w:r w:rsidRPr="008D54A5">
        <w:tab/>
      </w:r>
      <w:r w:rsidR="00A322E7" w:rsidRPr="008D54A5">
        <w:t xml:space="preserve">Average Number of Nodes per Hospital Event (Excludes Hospital Events </w:t>
      </w:r>
      <w:r w:rsidR="00F747C1" w:rsidRPr="008D54A5">
        <w:t>w</w:t>
      </w:r>
      <w:r w:rsidR="004263BF" w:rsidRPr="008D54A5">
        <w:t xml:space="preserve">ith </w:t>
      </w:r>
      <w:r w:rsidR="00A322E7" w:rsidRPr="008D54A5">
        <w:t xml:space="preserve">No Nodes), </w:t>
      </w:r>
      <w:r w:rsidR="0056504B" w:rsidRPr="008D54A5">
        <w:t>2020</w:t>
      </w:r>
      <w:r w:rsidR="005B7458" w:rsidRPr="008D54A5">
        <w:t>–</w:t>
      </w:r>
      <w:r w:rsidR="00F747C1" w:rsidRPr="008D54A5">
        <w:t>202</w:t>
      </w:r>
      <w:r w:rsidR="0056504B" w:rsidRPr="008D54A5">
        <w:t>2</w:t>
      </w:r>
      <w:bookmarkEnd w:id="77"/>
      <w:bookmarkEnd w:id="78"/>
    </w:p>
    <w:tbl>
      <w:tblPr>
        <w:tblStyle w:val="TableGrid"/>
        <w:tblW w:w="5005" w:type="pct"/>
        <w:tblLayout w:type="fixed"/>
        <w:tblLook w:val="04A0" w:firstRow="1" w:lastRow="0" w:firstColumn="1" w:lastColumn="0" w:noHBand="0" w:noVBand="1"/>
      </w:tblPr>
      <w:tblGrid>
        <w:gridCol w:w="2973"/>
        <w:gridCol w:w="2159"/>
        <w:gridCol w:w="1409"/>
        <w:gridCol w:w="1409"/>
        <w:gridCol w:w="1409"/>
      </w:tblGrid>
      <w:tr w:rsidR="008F219E" w:rsidRPr="008D54A5" w14:paraId="7021AC5F" w14:textId="77777777" w:rsidTr="00F75BCF">
        <w:trPr>
          <w:cnfStyle w:val="100000000000" w:firstRow="1" w:lastRow="0" w:firstColumn="0" w:lastColumn="0" w:oddVBand="0" w:evenVBand="0" w:oddHBand="0" w:evenHBand="0" w:firstRowFirstColumn="0" w:firstRowLastColumn="0" w:lastRowFirstColumn="0" w:lastRowLastColumn="0"/>
          <w:trHeight w:val="58"/>
        </w:trPr>
        <w:tc>
          <w:tcPr>
            <w:tcW w:w="1588" w:type="pct"/>
            <w:noWrap/>
            <w:hideMark/>
          </w:tcPr>
          <w:p w14:paraId="29955627" w14:textId="77777777" w:rsidR="008F219E" w:rsidRPr="008D54A5" w:rsidRDefault="008F219E" w:rsidP="008F219E">
            <w:pPr>
              <w:pStyle w:val="TableHeading-12"/>
              <w:spacing w:before="0" w:after="0"/>
            </w:pPr>
            <w:r w:rsidRPr="008D54A5">
              <w:t>Group</w:t>
            </w:r>
          </w:p>
        </w:tc>
        <w:tc>
          <w:tcPr>
            <w:tcW w:w="1153" w:type="pct"/>
            <w:noWrap/>
            <w:hideMark/>
          </w:tcPr>
          <w:p w14:paraId="6116E7B0" w14:textId="77777777" w:rsidR="008F219E" w:rsidRPr="008D54A5" w:rsidRDefault="008F219E" w:rsidP="008F219E">
            <w:pPr>
              <w:pStyle w:val="TableHeading-12"/>
              <w:spacing w:before="0" w:after="0"/>
            </w:pPr>
            <w:r w:rsidRPr="008D54A5">
              <w:t>Category</w:t>
            </w:r>
          </w:p>
        </w:tc>
        <w:tc>
          <w:tcPr>
            <w:tcW w:w="753" w:type="pct"/>
          </w:tcPr>
          <w:p w14:paraId="7DCA5B1D" w14:textId="05C7849A" w:rsidR="008F219E" w:rsidRPr="008D54A5" w:rsidRDefault="00F747C1" w:rsidP="00F75BCF">
            <w:pPr>
              <w:pStyle w:val="TableHeading-12"/>
              <w:spacing w:before="0" w:after="0"/>
            </w:pPr>
            <w:r w:rsidRPr="008D54A5">
              <w:t>20</w:t>
            </w:r>
            <w:r w:rsidR="00F75BCF" w:rsidRPr="008D54A5">
              <w:t>20</w:t>
            </w:r>
          </w:p>
        </w:tc>
        <w:tc>
          <w:tcPr>
            <w:tcW w:w="753" w:type="pct"/>
          </w:tcPr>
          <w:p w14:paraId="484AB9A1" w14:textId="5236CBAE" w:rsidR="008F219E" w:rsidRPr="008D54A5" w:rsidRDefault="00F747C1" w:rsidP="008F219E">
            <w:pPr>
              <w:pStyle w:val="TableHeading-12"/>
              <w:spacing w:before="0" w:after="0"/>
            </w:pPr>
            <w:r w:rsidRPr="008D54A5">
              <w:t>202</w:t>
            </w:r>
            <w:r w:rsidR="00F75BCF" w:rsidRPr="008D54A5">
              <w:t>1</w:t>
            </w:r>
          </w:p>
        </w:tc>
        <w:tc>
          <w:tcPr>
            <w:tcW w:w="753" w:type="pct"/>
            <w:noWrap/>
            <w:hideMark/>
          </w:tcPr>
          <w:p w14:paraId="46C33CC1" w14:textId="1B30B3D8" w:rsidR="008F219E" w:rsidRPr="008D54A5" w:rsidRDefault="00F747C1" w:rsidP="008F219E">
            <w:pPr>
              <w:pStyle w:val="TableHeading-12"/>
              <w:spacing w:before="0" w:after="0"/>
            </w:pPr>
            <w:r w:rsidRPr="008D54A5">
              <w:t>202</w:t>
            </w:r>
            <w:r w:rsidR="00F75BCF" w:rsidRPr="008D54A5">
              <w:t>2</w:t>
            </w:r>
          </w:p>
        </w:tc>
      </w:tr>
      <w:tr w:rsidR="00F75BCF" w:rsidRPr="008D54A5" w14:paraId="6B6AE158" w14:textId="77777777" w:rsidTr="006E4110">
        <w:trPr>
          <w:trHeight w:val="312"/>
        </w:trPr>
        <w:tc>
          <w:tcPr>
            <w:tcW w:w="1588" w:type="pct"/>
            <w:noWrap/>
            <w:hideMark/>
          </w:tcPr>
          <w:p w14:paraId="56DE9C3D" w14:textId="77777777" w:rsidR="00F75BCF" w:rsidRPr="008D54A5" w:rsidRDefault="00F75BCF" w:rsidP="00E47419">
            <w:pPr>
              <w:pStyle w:val="TableText-12"/>
            </w:pPr>
            <w:r w:rsidRPr="008D54A5">
              <w:t>Total Sample</w:t>
            </w:r>
          </w:p>
        </w:tc>
        <w:tc>
          <w:tcPr>
            <w:tcW w:w="1153" w:type="pct"/>
            <w:noWrap/>
            <w:hideMark/>
          </w:tcPr>
          <w:p w14:paraId="351CC75F" w14:textId="77777777" w:rsidR="00F75BCF" w:rsidRPr="008D54A5" w:rsidRDefault="00F75BCF" w:rsidP="00E47419">
            <w:pPr>
              <w:pStyle w:val="TableText-12"/>
            </w:pPr>
            <w:r w:rsidRPr="008D54A5">
              <w:t>Total</w:t>
            </w:r>
          </w:p>
        </w:tc>
        <w:tc>
          <w:tcPr>
            <w:tcW w:w="753" w:type="pct"/>
            <w:tcBorders>
              <w:top w:val="single" w:sz="4" w:space="0" w:color="auto"/>
              <w:left w:val="single" w:sz="4" w:space="0" w:color="auto"/>
              <w:bottom w:val="single" w:sz="4" w:space="0" w:color="auto"/>
              <w:right w:val="single" w:sz="4" w:space="0" w:color="auto"/>
            </w:tcBorders>
            <w:shd w:val="clear" w:color="auto" w:fill="auto"/>
          </w:tcPr>
          <w:p w14:paraId="1382195F" w14:textId="367032F2" w:rsidR="00F75BCF" w:rsidRPr="008D54A5" w:rsidRDefault="00F75BCF" w:rsidP="00E47419">
            <w:pPr>
              <w:pStyle w:val="TableText-center-12"/>
            </w:pPr>
            <w:r w:rsidRPr="008D54A5">
              <w:t>2.3</w:t>
            </w:r>
          </w:p>
        </w:tc>
        <w:tc>
          <w:tcPr>
            <w:tcW w:w="753" w:type="pct"/>
            <w:tcBorders>
              <w:top w:val="single" w:sz="4" w:space="0" w:color="auto"/>
              <w:left w:val="nil"/>
              <w:bottom w:val="single" w:sz="4" w:space="0" w:color="auto"/>
              <w:right w:val="single" w:sz="4" w:space="0" w:color="auto"/>
            </w:tcBorders>
            <w:shd w:val="clear" w:color="auto" w:fill="auto"/>
          </w:tcPr>
          <w:p w14:paraId="67942A51" w14:textId="095F40B7" w:rsidR="00F75BCF" w:rsidRPr="008D54A5" w:rsidRDefault="00F75BCF" w:rsidP="00E47419">
            <w:pPr>
              <w:pStyle w:val="TableText-center-12"/>
            </w:pPr>
            <w:r w:rsidRPr="008D54A5">
              <w:t>2.3</w:t>
            </w:r>
          </w:p>
        </w:tc>
        <w:tc>
          <w:tcPr>
            <w:tcW w:w="753" w:type="pct"/>
            <w:tcBorders>
              <w:top w:val="single" w:sz="4" w:space="0" w:color="auto"/>
              <w:left w:val="nil"/>
              <w:bottom w:val="single" w:sz="4" w:space="0" w:color="auto"/>
              <w:right w:val="single" w:sz="4" w:space="0" w:color="auto"/>
            </w:tcBorders>
            <w:shd w:val="clear" w:color="auto" w:fill="auto"/>
            <w:noWrap/>
            <w:hideMark/>
          </w:tcPr>
          <w:p w14:paraId="2C1960FA" w14:textId="264254F2" w:rsidR="00F75BCF" w:rsidRPr="008D54A5" w:rsidRDefault="00F75BCF" w:rsidP="00E47419">
            <w:pPr>
              <w:pStyle w:val="TableText-center-12"/>
            </w:pPr>
            <w:r w:rsidRPr="008D54A5">
              <w:t>2.2</w:t>
            </w:r>
          </w:p>
        </w:tc>
      </w:tr>
      <w:tr w:rsidR="00F75BCF" w:rsidRPr="008D54A5" w14:paraId="1200037D" w14:textId="77777777" w:rsidTr="006E4110">
        <w:trPr>
          <w:trHeight w:val="312"/>
        </w:trPr>
        <w:tc>
          <w:tcPr>
            <w:tcW w:w="1588" w:type="pct"/>
            <w:vMerge w:val="restart"/>
            <w:noWrap/>
            <w:hideMark/>
          </w:tcPr>
          <w:p w14:paraId="7E53CA67" w14:textId="77777777" w:rsidR="00F75BCF" w:rsidRPr="008D54A5" w:rsidRDefault="00F75BCF" w:rsidP="00E47419">
            <w:pPr>
              <w:pStyle w:val="TableText-12"/>
            </w:pPr>
            <w:r w:rsidRPr="008D54A5">
              <w:t>Hospital Event Type</w:t>
            </w:r>
          </w:p>
        </w:tc>
        <w:tc>
          <w:tcPr>
            <w:tcW w:w="1153" w:type="pct"/>
            <w:noWrap/>
            <w:hideMark/>
          </w:tcPr>
          <w:p w14:paraId="6F88BEBC" w14:textId="77777777" w:rsidR="00F75BCF" w:rsidRPr="008D54A5" w:rsidRDefault="00F75BCF" w:rsidP="00E47419">
            <w:pPr>
              <w:pStyle w:val="TableText-12"/>
            </w:pPr>
            <w:r w:rsidRPr="008D54A5">
              <w:t>Inpatient</w:t>
            </w:r>
          </w:p>
        </w:tc>
        <w:tc>
          <w:tcPr>
            <w:tcW w:w="753" w:type="pct"/>
            <w:tcBorders>
              <w:top w:val="nil"/>
              <w:left w:val="single" w:sz="4" w:space="0" w:color="auto"/>
              <w:bottom w:val="single" w:sz="4" w:space="0" w:color="auto"/>
              <w:right w:val="single" w:sz="4" w:space="0" w:color="auto"/>
            </w:tcBorders>
            <w:shd w:val="clear" w:color="auto" w:fill="auto"/>
          </w:tcPr>
          <w:p w14:paraId="77F650BE" w14:textId="59C17EAF" w:rsidR="00F75BCF" w:rsidRPr="008D54A5" w:rsidRDefault="00F75BCF" w:rsidP="00E47419">
            <w:pPr>
              <w:pStyle w:val="TableText-center-12"/>
            </w:pPr>
            <w:r w:rsidRPr="008D54A5">
              <w:t>7.7</w:t>
            </w:r>
          </w:p>
        </w:tc>
        <w:tc>
          <w:tcPr>
            <w:tcW w:w="753" w:type="pct"/>
            <w:tcBorders>
              <w:top w:val="nil"/>
              <w:left w:val="nil"/>
              <w:bottom w:val="single" w:sz="4" w:space="0" w:color="auto"/>
              <w:right w:val="single" w:sz="4" w:space="0" w:color="auto"/>
            </w:tcBorders>
            <w:shd w:val="clear" w:color="auto" w:fill="auto"/>
          </w:tcPr>
          <w:p w14:paraId="38460063" w14:textId="6F25F74F" w:rsidR="00F75BCF" w:rsidRPr="008D54A5" w:rsidRDefault="00F75BCF" w:rsidP="00E47419">
            <w:pPr>
              <w:pStyle w:val="TableText-center-12"/>
            </w:pPr>
            <w:r w:rsidRPr="008D54A5">
              <w:t>7.5</w:t>
            </w:r>
          </w:p>
        </w:tc>
        <w:tc>
          <w:tcPr>
            <w:tcW w:w="753" w:type="pct"/>
            <w:tcBorders>
              <w:top w:val="nil"/>
              <w:left w:val="nil"/>
              <w:bottom w:val="single" w:sz="4" w:space="0" w:color="auto"/>
              <w:right w:val="single" w:sz="4" w:space="0" w:color="auto"/>
            </w:tcBorders>
            <w:shd w:val="clear" w:color="auto" w:fill="auto"/>
            <w:noWrap/>
            <w:hideMark/>
          </w:tcPr>
          <w:p w14:paraId="6C0A3319" w14:textId="1E8D7595" w:rsidR="00F75BCF" w:rsidRPr="008D54A5" w:rsidRDefault="00F75BCF" w:rsidP="00E47419">
            <w:pPr>
              <w:pStyle w:val="TableText-center-12"/>
            </w:pPr>
            <w:r w:rsidRPr="008D54A5">
              <w:t>7.1</w:t>
            </w:r>
          </w:p>
        </w:tc>
      </w:tr>
      <w:tr w:rsidR="00F75BCF" w:rsidRPr="008D54A5" w14:paraId="0CF3BBC7" w14:textId="77777777" w:rsidTr="006E4110">
        <w:trPr>
          <w:trHeight w:val="161"/>
        </w:trPr>
        <w:tc>
          <w:tcPr>
            <w:tcW w:w="1588" w:type="pct"/>
            <w:vMerge/>
            <w:hideMark/>
          </w:tcPr>
          <w:p w14:paraId="25927E3F" w14:textId="77777777" w:rsidR="00F75BCF" w:rsidRPr="008D54A5" w:rsidRDefault="00F75BCF" w:rsidP="00E47419">
            <w:pPr>
              <w:pStyle w:val="TableText-12"/>
            </w:pPr>
          </w:p>
        </w:tc>
        <w:tc>
          <w:tcPr>
            <w:tcW w:w="1153" w:type="pct"/>
            <w:noWrap/>
            <w:hideMark/>
          </w:tcPr>
          <w:p w14:paraId="0001F455" w14:textId="44D104CC" w:rsidR="00F75BCF" w:rsidRPr="008D54A5" w:rsidRDefault="00F75BCF" w:rsidP="00E47419">
            <w:pPr>
              <w:pStyle w:val="TableText-12"/>
            </w:pPr>
            <w:r w:rsidRPr="008D54A5">
              <w:t>Emergency Room</w:t>
            </w:r>
          </w:p>
        </w:tc>
        <w:tc>
          <w:tcPr>
            <w:tcW w:w="753" w:type="pct"/>
            <w:tcBorders>
              <w:top w:val="nil"/>
              <w:left w:val="single" w:sz="4" w:space="0" w:color="auto"/>
              <w:bottom w:val="single" w:sz="4" w:space="0" w:color="auto"/>
              <w:right w:val="single" w:sz="4" w:space="0" w:color="auto"/>
            </w:tcBorders>
            <w:shd w:val="clear" w:color="auto" w:fill="auto"/>
          </w:tcPr>
          <w:p w14:paraId="5A4F3641" w14:textId="33E48D8D" w:rsidR="00F75BCF" w:rsidRPr="008D54A5" w:rsidRDefault="00F75BCF" w:rsidP="00E47419">
            <w:pPr>
              <w:pStyle w:val="TableText-center-12"/>
            </w:pPr>
            <w:r w:rsidRPr="008D54A5">
              <w:t>3.1</w:t>
            </w:r>
          </w:p>
        </w:tc>
        <w:tc>
          <w:tcPr>
            <w:tcW w:w="753" w:type="pct"/>
            <w:tcBorders>
              <w:top w:val="nil"/>
              <w:left w:val="nil"/>
              <w:bottom w:val="single" w:sz="4" w:space="0" w:color="auto"/>
              <w:right w:val="single" w:sz="4" w:space="0" w:color="auto"/>
            </w:tcBorders>
            <w:shd w:val="clear" w:color="auto" w:fill="auto"/>
          </w:tcPr>
          <w:p w14:paraId="6EB131EB" w14:textId="62172B71" w:rsidR="00F75BCF" w:rsidRPr="008D54A5" w:rsidRDefault="00F75BCF" w:rsidP="00E47419">
            <w:pPr>
              <w:pStyle w:val="TableText-center-12"/>
            </w:pPr>
            <w:r w:rsidRPr="008D54A5">
              <w:t>3.1</w:t>
            </w:r>
          </w:p>
        </w:tc>
        <w:tc>
          <w:tcPr>
            <w:tcW w:w="753" w:type="pct"/>
            <w:tcBorders>
              <w:top w:val="nil"/>
              <w:left w:val="nil"/>
              <w:bottom w:val="single" w:sz="4" w:space="0" w:color="auto"/>
              <w:right w:val="single" w:sz="4" w:space="0" w:color="auto"/>
            </w:tcBorders>
            <w:shd w:val="clear" w:color="auto" w:fill="auto"/>
            <w:noWrap/>
            <w:hideMark/>
          </w:tcPr>
          <w:p w14:paraId="66071241" w14:textId="2DEA8A5C" w:rsidR="00F75BCF" w:rsidRPr="008D54A5" w:rsidRDefault="00F75BCF" w:rsidP="00E47419">
            <w:pPr>
              <w:pStyle w:val="TableText-center-12"/>
            </w:pPr>
            <w:r w:rsidRPr="008D54A5">
              <w:t>2.8</w:t>
            </w:r>
          </w:p>
        </w:tc>
      </w:tr>
      <w:tr w:rsidR="00F75BCF" w:rsidRPr="008D54A5" w14:paraId="5EAEA0AA" w14:textId="77777777" w:rsidTr="006E4110">
        <w:trPr>
          <w:trHeight w:val="197"/>
        </w:trPr>
        <w:tc>
          <w:tcPr>
            <w:tcW w:w="1588" w:type="pct"/>
            <w:vMerge/>
            <w:hideMark/>
          </w:tcPr>
          <w:p w14:paraId="7D77816E" w14:textId="77777777" w:rsidR="00F75BCF" w:rsidRPr="008D54A5" w:rsidRDefault="00F75BCF" w:rsidP="00E47419">
            <w:pPr>
              <w:pStyle w:val="TableText-12"/>
            </w:pPr>
          </w:p>
        </w:tc>
        <w:tc>
          <w:tcPr>
            <w:tcW w:w="1153" w:type="pct"/>
            <w:noWrap/>
            <w:hideMark/>
          </w:tcPr>
          <w:p w14:paraId="6CAD4561" w14:textId="77777777" w:rsidR="00F75BCF" w:rsidRPr="008D54A5" w:rsidRDefault="00F75BCF" w:rsidP="00E47419">
            <w:pPr>
              <w:pStyle w:val="TableText-12"/>
            </w:pPr>
            <w:r w:rsidRPr="008D54A5">
              <w:t>Outpatient</w:t>
            </w:r>
          </w:p>
        </w:tc>
        <w:tc>
          <w:tcPr>
            <w:tcW w:w="753" w:type="pct"/>
            <w:tcBorders>
              <w:top w:val="nil"/>
              <w:left w:val="single" w:sz="4" w:space="0" w:color="auto"/>
              <w:bottom w:val="single" w:sz="4" w:space="0" w:color="auto"/>
              <w:right w:val="single" w:sz="4" w:space="0" w:color="auto"/>
            </w:tcBorders>
            <w:shd w:val="clear" w:color="auto" w:fill="auto"/>
          </w:tcPr>
          <w:p w14:paraId="7C47B83A" w14:textId="19CAAC03" w:rsidR="00F75BCF" w:rsidRPr="008D54A5" w:rsidRDefault="00F75BCF" w:rsidP="00E47419">
            <w:pPr>
              <w:pStyle w:val="TableText-center-12"/>
            </w:pPr>
            <w:r w:rsidRPr="008D54A5">
              <w:t>1.8</w:t>
            </w:r>
          </w:p>
        </w:tc>
        <w:tc>
          <w:tcPr>
            <w:tcW w:w="753" w:type="pct"/>
            <w:tcBorders>
              <w:top w:val="nil"/>
              <w:left w:val="nil"/>
              <w:bottom w:val="single" w:sz="4" w:space="0" w:color="auto"/>
              <w:right w:val="single" w:sz="4" w:space="0" w:color="auto"/>
            </w:tcBorders>
            <w:shd w:val="clear" w:color="auto" w:fill="auto"/>
          </w:tcPr>
          <w:p w14:paraId="6990F604" w14:textId="0F35B899" w:rsidR="00F75BCF" w:rsidRPr="008D54A5" w:rsidRDefault="00F75BCF" w:rsidP="00E47419">
            <w:pPr>
              <w:pStyle w:val="TableText-center-12"/>
            </w:pPr>
            <w:r w:rsidRPr="008D54A5">
              <w:t>1.8</w:t>
            </w:r>
          </w:p>
        </w:tc>
        <w:tc>
          <w:tcPr>
            <w:tcW w:w="753" w:type="pct"/>
            <w:tcBorders>
              <w:top w:val="nil"/>
              <w:left w:val="nil"/>
              <w:bottom w:val="single" w:sz="4" w:space="0" w:color="auto"/>
              <w:right w:val="single" w:sz="4" w:space="0" w:color="auto"/>
            </w:tcBorders>
            <w:shd w:val="clear" w:color="auto" w:fill="auto"/>
            <w:noWrap/>
            <w:hideMark/>
          </w:tcPr>
          <w:p w14:paraId="4E4B9425" w14:textId="1AF78054" w:rsidR="00F75BCF" w:rsidRPr="008D54A5" w:rsidRDefault="00F75BCF" w:rsidP="00E47419">
            <w:pPr>
              <w:pStyle w:val="TableText-center-12"/>
            </w:pPr>
            <w:r w:rsidRPr="008D54A5">
              <w:t>1.8</w:t>
            </w:r>
          </w:p>
        </w:tc>
      </w:tr>
      <w:tr w:rsidR="00F75BCF" w:rsidRPr="008D54A5" w14:paraId="44E6B3A9" w14:textId="77777777" w:rsidTr="006E4110">
        <w:trPr>
          <w:trHeight w:val="233"/>
        </w:trPr>
        <w:tc>
          <w:tcPr>
            <w:tcW w:w="1588" w:type="pct"/>
            <w:vMerge/>
            <w:hideMark/>
          </w:tcPr>
          <w:p w14:paraId="6C568128" w14:textId="77777777" w:rsidR="00F75BCF" w:rsidRPr="008D54A5" w:rsidRDefault="00F75BCF" w:rsidP="00E47419">
            <w:pPr>
              <w:pStyle w:val="TableText-12"/>
            </w:pPr>
          </w:p>
        </w:tc>
        <w:tc>
          <w:tcPr>
            <w:tcW w:w="1153" w:type="pct"/>
            <w:noWrap/>
            <w:hideMark/>
          </w:tcPr>
          <w:p w14:paraId="4DA5CED8" w14:textId="77777777" w:rsidR="00F75BCF" w:rsidRPr="008D54A5" w:rsidRDefault="00F75BCF" w:rsidP="00E47419">
            <w:pPr>
              <w:pStyle w:val="TableText-12"/>
            </w:pPr>
            <w:r w:rsidRPr="008D54A5">
              <w:t>Institution</w:t>
            </w:r>
          </w:p>
        </w:tc>
        <w:tc>
          <w:tcPr>
            <w:tcW w:w="753" w:type="pct"/>
            <w:tcBorders>
              <w:top w:val="nil"/>
              <w:left w:val="single" w:sz="4" w:space="0" w:color="auto"/>
              <w:bottom w:val="single" w:sz="4" w:space="0" w:color="auto"/>
              <w:right w:val="single" w:sz="4" w:space="0" w:color="auto"/>
            </w:tcBorders>
            <w:shd w:val="clear" w:color="auto" w:fill="auto"/>
          </w:tcPr>
          <w:p w14:paraId="7AD323D3" w14:textId="2402D994" w:rsidR="00F75BCF" w:rsidRPr="008D54A5" w:rsidRDefault="00F75BCF" w:rsidP="00E47419">
            <w:pPr>
              <w:pStyle w:val="TableText-center-12"/>
            </w:pPr>
            <w:r w:rsidRPr="008D54A5">
              <w:t>1.7</w:t>
            </w:r>
          </w:p>
        </w:tc>
        <w:tc>
          <w:tcPr>
            <w:tcW w:w="753" w:type="pct"/>
            <w:tcBorders>
              <w:top w:val="nil"/>
              <w:left w:val="nil"/>
              <w:bottom w:val="single" w:sz="4" w:space="0" w:color="auto"/>
              <w:right w:val="single" w:sz="4" w:space="0" w:color="auto"/>
            </w:tcBorders>
            <w:shd w:val="clear" w:color="auto" w:fill="auto"/>
          </w:tcPr>
          <w:p w14:paraId="61259449" w14:textId="1C61CC0C" w:rsidR="00F75BCF" w:rsidRPr="008D54A5" w:rsidRDefault="00F75BCF" w:rsidP="00E47419">
            <w:pPr>
              <w:pStyle w:val="TableText-center-12"/>
            </w:pPr>
            <w:r w:rsidRPr="008D54A5">
              <w:t>1.8</w:t>
            </w:r>
          </w:p>
        </w:tc>
        <w:tc>
          <w:tcPr>
            <w:tcW w:w="753" w:type="pct"/>
            <w:tcBorders>
              <w:top w:val="nil"/>
              <w:left w:val="nil"/>
              <w:bottom w:val="single" w:sz="4" w:space="0" w:color="auto"/>
              <w:right w:val="single" w:sz="4" w:space="0" w:color="auto"/>
            </w:tcBorders>
            <w:shd w:val="clear" w:color="auto" w:fill="auto"/>
            <w:noWrap/>
            <w:hideMark/>
          </w:tcPr>
          <w:p w14:paraId="6CFD2349" w14:textId="6EDDB48F" w:rsidR="00F75BCF" w:rsidRPr="008D54A5" w:rsidRDefault="00F75BCF" w:rsidP="00E47419">
            <w:pPr>
              <w:pStyle w:val="TableText-center-12"/>
            </w:pPr>
            <w:r w:rsidRPr="008D54A5">
              <w:t>2.8</w:t>
            </w:r>
          </w:p>
        </w:tc>
      </w:tr>
      <w:tr w:rsidR="00F75BCF" w:rsidRPr="008D54A5" w14:paraId="645EF7F3" w14:textId="77777777" w:rsidTr="006E4110">
        <w:trPr>
          <w:trHeight w:val="312"/>
        </w:trPr>
        <w:tc>
          <w:tcPr>
            <w:tcW w:w="1588" w:type="pct"/>
            <w:vMerge w:val="restart"/>
            <w:noWrap/>
            <w:hideMark/>
          </w:tcPr>
          <w:p w14:paraId="6187294B" w14:textId="77777777" w:rsidR="00F75BCF" w:rsidRPr="008D54A5" w:rsidRDefault="00F75BCF" w:rsidP="00E47419">
            <w:pPr>
              <w:pStyle w:val="TableText-12"/>
            </w:pPr>
            <w:r w:rsidRPr="008D54A5">
              <w:t>Total Charges on Hospital Event</w:t>
            </w:r>
          </w:p>
        </w:tc>
        <w:tc>
          <w:tcPr>
            <w:tcW w:w="1153" w:type="pct"/>
            <w:noWrap/>
            <w:hideMark/>
          </w:tcPr>
          <w:p w14:paraId="1948065A" w14:textId="77777777" w:rsidR="00F75BCF" w:rsidRPr="008D54A5" w:rsidRDefault="00F75BCF" w:rsidP="00E47419">
            <w:pPr>
              <w:pStyle w:val="TableText-12"/>
            </w:pPr>
            <w:r w:rsidRPr="008D54A5">
              <w:t>Missing</w:t>
            </w:r>
          </w:p>
        </w:tc>
        <w:tc>
          <w:tcPr>
            <w:tcW w:w="753" w:type="pct"/>
            <w:tcBorders>
              <w:top w:val="nil"/>
              <w:left w:val="single" w:sz="4" w:space="0" w:color="auto"/>
              <w:bottom w:val="single" w:sz="4" w:space="0" w:color="auto"/>
              <w:right w:val="single" w:sz="4" w:space="0" w:color="auto"/>
            </w:tcBorders>
            <w:shd w:val="clear" w:color="auto" w:fill="auto"/>
          </w:tcPr>
          <w:p w14:paraId="05C837A7" w14:textId="4A64C7BC" w:rsidR="00F75BCF" w:rsidRPr="008D54A5" w:rsidRDefault="00F75BCF" w:rsidP="00E47419">
            <w:pPr>
              <w:pStyle w:val="TableText-center-12"/>
            </w:pPr>
            <w:r w:rsidRPr="008D54A5">
              <w:t>2.9</w:t>
            </w:r>
          </w:p>
        </w:tc>
        <w:tc>
          <w:tcPr>
            <w:tcW w:w="753" w:type="pct"/>
            <w:tcBorders>
              <w:top w:val="nil"/>
              <w:left w:val="nil"/>
              <w:bottom w:val="single" w:sz="4" w:space="0" w:color="auto"/>
              <w:right w:val="single" w:sz="4" w:space="0" w:color="auto"/>
            </w:tcBorders>
            <w:shd w:val="clear" w:color="auto" w:fill="auto"/>
          </w:tcPr>
          <w:p w14:paraId="6F4045E5" w14:textId="174F65D2" w:rsidR="00F75BCF" w:rsidRPr="008D54A5" w:rsidRDefault="00F75BCF" w:rsidP="00E47419">
            <w:pPr>
              <w:pStyle w:val="TableText-center-12"/>
            </w:pPr>
            <w:r w:rsidRPr="008D54A5">
              <w:t>2.9</w:t>
            </w:r>
          </w:p>
        </w:tc>
        <w:tc>
          <w:tcPr>
            <w:tcW w:w="753" w:type="pct"/>
            <w:tcBorders>
              <w:top w:val="nil"/>
              <w:left w:val="nil"/>
              <w:bottom w:val="single" w:sz="4" w:space="0" w:color="auto"/>
              <w:right w:val="single" w:sz="4" w:space="0" w:color="auto"/>
            </w:tcBorders>
            <w:shd w:val="clear" w:color="auto" w:fill="auto"/>
            <w:noWrap/>
            <w:hideMark/>
          </w:tcPr>
          <w:p w14:paraId="7B2877F1" w14:textId="5C01D9B1" w:rsidR="00F75BCF" w:rsidRPr="008D54A5" w:rsidRDefault="00F75BCF" w:rsidP="00E47419">
            <w:pPr>
              <w:pStyle w:val="TableText-center-12"/>
            </w:pPr>
            <w:r w:rsidRPr="008D54A5">
              <w:t>1.9</w:t>
            </w:r>
          </w:p>
        </w:tc>
      </w:tr>
      <w:tr w:rsidR="00F75BCF" w:rsidRPr="008D54A5" w14:paraId="07224D5E" w14:textId="77777777" w:rsidTr="006E4110">
        <w:trPr>
          <w:trHeight w:val="143"/>
        </w:trPr>
        <w:tc>
          <w:tcPr>
            <w:tcW w:w="1588" w:type="pct"/>
            <w:vMerge/>
            <w:hideMark/>
          </w:tcPr>
          <w:p w14:paraId="2A5B1F56" w14:textId="77777777" w:rsidR="00F75BCF" w:rsidRPr="008D54A5" w:rsidRDefault="00F75BCF" w:rsidP="00E47419">
            <w:pPr>
              <w:pStyle w:val="TableText-12"/>
            </w:pPr>
          </w:p>
        </w:tc>
        <w:tc>
          <w:tcPr>
            <w:tcW w:w="1153" w:type="pct"/>
            <w:noWrap/>
            <w:hideMark/>
          </w:tcPr>
          <w:p w14:paraId="04CDFBF7" w14:textId="77777777" w:rsidR="00F75BCF" w:rsidRPr="008D54A5" w:rsidRDefault="00F75BCF" w:rsidP="00E47419">
            <w:pPr>
              <w:pStyle w:val="TableText-12"/>
            </w:pPr>
            <w:r w:rsidRPr="008D54A5">
              <w:t>Zero</w:t>
            </w:r>
          </w:p>
        </w:tc>
        <w:tc>
          <w:tcPr>
            <w:tcW w:w="753" w:type="pct"/>
            <w:tcBorders>
              <w:top w:val="nil"/>
              <w:left w:val="single" w:sz="4" w:space="0" w:color="auto"/>
              <w:bottom w:val="single" w:sz="4" w:space="0" w:color="auto"/>
              <w:right w:val="single" w:sz="4" w:space="0" w:color="auto"/>
            </w:tcBorders>
            <w:shd w:val="clear" w:color="auto" w:fill="auto"/>
          </w:tcPr>
          <w:p w14:paraId="773F2672" w14:textId="4E09422D" w:rsidR="00F75BCF" w:rsidRPr="008D54A5" w:rsidRDefault="00F75BCF" w:rsidP="00E47419">
            <w:pPr>
              <w:pStyle w:val="TableText-center-12"/>
            </w:pPr>
            <w:r w:rsidRPr="008D54A5">
              <w:t>3.5</w:t>
            </w:r>
          </w:p>
        </w:tc>
        <w:tc>
          <w:tcPr>
            <w:tcW w:w="753" w:type="pct"/>
            <w:tcBorders>
              <w:top w:val="nil"/>
              <w:left w:val="nil"/>
              <w:bottom w:val="single" w:sz="4" w:space="0" w:color="auto"/>
              <w:right w:val="single" w:sz="4" w:space="0" w:color="auto"/>
            </w:tcBorders>
            <w:shd w:val="clear" w:color="auto" w:fill="auto"/>
          </w:tcPr>
          <w:p w14:paraId="495A8732" w14:textId="543CA13F" w:rsidR="00F75BCF" w:rsidRPr="008D54A5" w:rsidRDefault="00F75BCF" w:rsidP="00E47419">
            <w:pPr>
              <w:pStyle w:val="TableText-center-12"/>
            </w:pPr>
            <w:r w:rsidRPr="008D54A5">
              <w:t>3.5</w:t>
            </w:r>
          </w:p>
        </w:tc>
        <w:tc>
          <w:tcPr>
            <w:tcW w:w="753" w:type="pct"/>
            <w:tcBorders>
              <w:top w:val="nil"/>
              <w:left w:val="nil"/>
              <w:bottom w:val="single" w:sz="4" w:space="0" w:color="auto"/>
              <w:right w:val="single" w:sz="4" w:space="0" w:color="auto"/>
            </w:tcBorders>
            <w:shd w:val="clear" w:color="auto" w:fill="auto"/>
            <w:noWrap/>
            <w:hideMark/>
          </w:tcPr>
          <w:p w14:paraId="6D47DE69" w14:textId="3502D31E" w:rsidR="00F75BCF" w:rsidRPr="008D54A5" w:rsidRDefault="00F75BCF" w:rsidP="00E47419">
            <w:pPr>
              <w:pStyle w:val="TableText-center-12"/>
            </w:pPr>
            <w:r w:rsidRPr="008D54A5">
              <w:t>3.2</w:t>
            </w:r>
          </w:p>
        </w:tc>
      </w:tr>
      <w:tr w:rsidR="00F75BCF" w:rsidRPr="008D54A5" w14:paraId="13D93D1E" w14:textId="77777777" w:rsidTr="006E4110">
        <w:trPr>
          <w:trHeight w:val="179"/>
        </w:trPr>
        <w:tc>
          <w:tcPr>
            <w:tcW w:w="1588" w:type="pct"/>
            <w:vMerge/>
            <w:hideMark/>
          </w:tcPr>
          <w:p w14:paraId="49FEC83E" w14:textId="77777777" w:rsidR="00F75BCF" w:rsidRPr="008D54A5" w:rsidRDefault="00F75BCF" w:rsidP="00E47419">
            <w:pPr>
              <w:pStyle w:val="TableText-12"/>
            </w:pPr>
          </w:p>
        </w:tc>
        <w:tc>
          <w:tcPr>
            <w:tcW w:w="1153" w:type="pct"/>
            <w:noWrap/>
            <w:hideMark/>
          </w:tcPr>
          <w:p w14:paraId="4E54DC19" w14:textId="77777777" w:rsidR="00F75BCF" w:rsidRPr="008D54A5" w:rsidRDefault="00F75BCF" w:rsidP="00E47419">
            <w:pPr>
              <w:pStyle w:val="TableText-12"/>
            </w:pPr>
            <w:r w:rsidRPr="008D54A5">
              <w:t>$1–$250</w:t>
            </w:r>
          </w:p>
        </w:tc>
        <w:tc>
          <w:tcPr>
            <w:tcW w:w="753" w:type="pct"/>
            <w:tcBorders>
              <w:top w:val="nil"/>
              <w:left w:val="single" w:sz="4" w:space="0" w:color="auto"/>
              <w:bottom w:val="single" w:sz="4" w:space="0" w:color="auto"/>
              <w:right w:val="single" w:sz="4" w:space="0" w:color="auto"/>
            </w:tcBorders>
            <w:shd w:val="clear" w:color="auto" w:fill="auto"/>
          </w:tcPr>
          <w:p w14:paraId="01FBE261" w14:textId="4869E896" w:rsidR="00F75BCF" w:rsidRPr="008D54A5" w:rsidRDefault="00F75BCF" w:rsidP="00E47419">
            <w:pPr>
              <w:pStyle w:val="TableText-center-12"/>
            </w:pPr>
            <w:r w:rsidRPr="008D54A5">
              <w:t>1.5</w:t>
            </w:r>
          </w:p>
        </w:tc>
        <w:tc>
          <w:tcPr>
            <w:tcW w:w="753" w:type="pct"/>
            <w:tcBorders>
              <w:top w:val="nil"/>
              <w:left w:val="nil"/>
              <w:bottom w:val="single" w:sz="4" w:space="0" w:color="auto"/>
              <w:right w:val="single" w:sz="4" w:space="0" w:color="auto"/>
            </w:tcBorders>
            <w:shd w:val="clear" w:color="auto" w:fill="auto"/>
          </w:tcPr>
          <w:p w14:paraId="1E2304D2" w14:textId="220C8F4C" w:rsidR="00F75BCF" w:rsidRPr="008D54A5" w:rsidRDefault="00F75BCF" w:rsidP="00E47419">
            <w:pPr>
              <w:pStyle w:val="TableText-center-12"/>
            </w:pPr>
            <w:r w:rsidRPr="008D54A5">
              <w:t>1.5</w:t>
            </w:r>
          </w:p>
        </w:tc>
        <w:tc>
          <w:tcPr>
            <w:tcW w:w="753" w:type="pct"/>
            <w:tcBorders>
              <w:top w:val="nil"/>
              <w:left w:val="nil"/>
              <w:bottom w:val="single" w:sz="4" w:space="0" w:color="auto"/>
              <w:right w:val="single" w:sz="4" w:space="0" w:color="auto"/>
            </w:tcBorders>
            <w:shd w:val="clear" w:color="auto" w:fill="auto"/>
            <w:noWrap/>
            <w:hideMark/>
          </w:tcPr>
          <w:p w14:paraId="288C824D" w14:textId="56E2110D" w:rsidR="00F75BCF" w:rsidRPr="008D54A5" w:rsidRDefault="00F75BCF" w:rsidP="00E47419">
            <w:pPr>
              <w:pStyle w:val="TableText-center-12"/>
            </w:pPr>
            <w:r w:rsidRPr="008D54A5">
              <w:t>1.4</w:t>
            </w:r>
          </w:p>
        </w:tc>
      </w:tr>
      <w:tr w:rsidR="00F75BCF" w:rsidRPr="008D54A5" w14:paraId="524B3B0D" w14:textId="77777777" w:rsidTr="006E4110">
        <w:trPr>
          <w:trHeight w:val="233"/>
        </w:trPr>
        <w:tc>
          <w:tcPr>
            <w:tcW w:w="1588" w:type="pct"/>
            <w:vMerge/>
            <w:hideMark/>
          </w:tcPr>
          <w:p w14:paraId="100A5575" w14:textId="77777777" w:rsidR="00F75BCF" w:rsidRPr="008D54A5" w:rsidRDefault="00F75BCF" w:rsidP="00E47419">
            <w:pPr>
              <w:pStyle w:val="TableText-12"/>
            </w:pPr>
          </w:p>
        </w:tc>
        <w:tc>
          <w:tcPr>
            <w:tcW w:w="1153" w:type="pct"/>
            <w:noWrap/>
            <w:hideMark/>
          </w:tcPr>
          <w:p w14:paraId="777D2DC3" w14:textId="77777777" w:rsidR="00F75BCF" w:rsidRPr="008D54A5" w:rsidRDefault="00F75BCF" w:rsidP="00E47419">
            <w:pPr>
              <w:pStyle w:val="TableText-12"/>
            </w:pPr>
            <w:r w:rsidRPr="008D54A5">
              <w:t>$251–$1,000</w:t>
            </w:r>
          </w:p>
        </w:tc>
        <w:tc>
          <w:tcPr>
            <w:tcW w:w="753" w:type="pct"/>
            <w:tcBorders>
              <w:top w:val="nil"/>
              <w:left w:val="single" w:sz="4" w:space="0" w:color="auto"/>
              <w:bottom w:val="single" w:sz="4" w:space="0" w:color="auto"/>
              <w:right w:val="single" w:sz="4" w:space="0" w:color="auto"/>
            </w:tcBorders>
            <w:shd w:val="clear" w:color="auto" w:fill="auto"/>
          </w:tcPr>
          <w:p w14:paraId="210C623C" w14:textId="39B513A3" w:rsidR="00F75BCF" w:rsidRPr="008D54A5" w:rsidRDefault="00F75BCF" w:rsidP="00E47419">
            <w:pPr>
              <w:pStyle w:val="TableText-center-12"/>
            </w:pPr>
            <w:r w:rsidRPr="008D54A5">
              <w:t>1.7</w:t>
            </w:r>
          </w:p>
        </w:tc>
        <w:tc>
          <w:tcPr>
            <w:tcW w:w="753" w:type="pct"/>
            <w:tcBorders>
              <w:top w:val="nil"/>
              <w:left w:val="nil"/>
              <w:bottom w:val="single" w:sz="4" w:space="0" w:color="auto"/>
              <w:right w:val="single" w:sz="4" w:space="0" w:color="auto"/>
            </w:tcBorders>
            <w:shd w:val="clear" w:color="auto" w:fill="auto"/>
          </w:tcPr>
          <w:p w14:paraId="0AECB2A4" w14:textId="72BF2DFA" w:rsidR="00F75BCF" w:rsidRPr="008D54A5" w:rsidRDefault="00F75BCF" w:rsidP="00E47419">
            <w:pPr>
              <w:pStyle w:val="TableText-center-12"/>
            </w:pPr>
            <w:r w:rsidRPr="008D54A5">
              <w:t>1.7</w:t>
            </w:r>
          </w:p>
        </w:tc>
        <w:tc>
          <w:tcPr>
            <w:tcW w:w="753" w:type="pct"/>
            <w:tcBorders>
              <w:top w:val="nil"/>
              <w:left w:val="nil"/>
              <w:bottom w:val="single" w:sz="4" w:space="0" w:color="auto"/>
              <w:right w:val="single" w:sz="4" w:space="0" w:color="auto"/>
            </w:tcBorders>
            <w:shd w:val="clear" w:color="auto" w:fill="auto"/>
            <w:noWrap/>
            <w:hideMark/>
          </w:tcPr>
          <w:p w14:paraId="18517DE4" w14:textId="2B53C0E4" w:rsidR="00F75BCF" w:rsidRPr="008D54A5" w:rsidRDefault="00F75BCF" w:rsidP="00E47419">
            <w:pPr>
              <w:pStyle w:val="TableText-center-12"/>
            </w:pPr>
            <w:r w:rsidRPr="008D54A5">
              <w:t>1.6</w:t>
            </w:r>
          </w:p>
        </w:tc>
      </w:tr>
      <w:tr w:rsidR="00F75BCF" w:rsidRPr="008D54A5" w14:paraId="098C5EAB" w14:textId="77777777" w:rsidTr="006E4110">
        <w:trPr>
          <w:trHeight w:val="312"/>
        </w:trPr>
        <w:tc>
          <w:tcPr>
            <w:tcW w:w="1588" w:type="pct"/>
            <w:vMerge/>
            <w:hideMark/>
          </w:tcPr>
          <w:p w14:paraId="2B2548E7" w14:textId="77777777" w:rsidR="00F75BCF" w:rsidRPr="008D54A5" w:rsidRDefault="00F75BCF" w:rsidP="00E47419">
            <w:pPr>
              <w:pStyle w:val="TableText-12"/>
            </w:pPr>
          </w:p>
        </w:tc>
        <w:tc>
          <w:tcPr>
            <w:tcW w:w="1153" w:type="pct"/>
            <w:noWrap/>
            <w:hideMark/>
          </w:tcPr>
          <w:p w14:paraId="506A7DF7" w14:textId="77777777" w:rsidR="00F75BCF" w:rsidRPr="008D54A5" w:rsidRDefault="00F75BCF" w:rsidP="00E47419">
            <w:pPr>
              <w:pStyle w:val="TableText-12"/>
            </w:pPr>
            <w:r w:rsidRPr="008D54A5">
              <w:t>$1,001–$10,000</w:t>
            </w:r>
          </w:p>
        </w:tc>
        <w:tc>
          <w:tcPr>
            <w:tcW w:w="753" w:type="pct"/>
            <w:tcBorders>
              <w:top w:val="nil"/>
              <w:left w:val="single" w:sz="4" w:space="0" w:color="auto"/>
              <w:bottom w:val="single" w:sz="4" w:space="0" w:color="auto"/>
              <w:right w:val="single" w:sz="4" w:space="0" w:color="auto"/>
            </w:tcBorders>
            <w:shd w:val="clear" w:color="auto" w:fill="auto"/>
          </w:tcPr>
          <w:p w14:paraId="62FAA3F1" w14:textId="471BA20D" w:rsidR="00F75BCF" w:rsidRPr="008D54A5" w:rsidRDefault="00F75BCF" w:rsidP="00E47419">
            <w:pPr>
              <w:pStyle w:val="TableText-center-12"/>
            </w:pPr>
            <w:r w:rsidRPr="008D54A5">
              <w:t>2.4</w:t>
            </w:r>
          </w:p>
        </w:tc>
        <w:tc>
          <w:tcPr>
            <w:tcW w:w="753" w:type="pct"/>
            <w:tcBorders>
              <w:top w:val="nil"/>
              <w:left w:val="nil"/>
              <w:bottom w:val="single" w:sz="4" w:space="0" w:color="auto"/>
              <w:right w:val="single" w:sz="4" w:space="0" w:color="auto"/>
            </w:tcBorders>
            <w:shd w:val="clear" w:color="auto" w:fill="auto"/>
          </w:tcPr>
          <w:p w14:paraId="2395FE8B" w14:textId="0A24A18C" w:rsidR="00F75BCF" w:rsidRPr="008D54A5" w:rsidRDefault="00F75BCF" w:rsidP="00E47419">
            <w:pPr>
              <w:pStyle w:val="TableText-center-12"/>
            </w:pPr>
            <w:r w:rsidRPr="008D54A5">
              <w:t>2.5</w:t>
            </w:r>
          </w:p>
        </w:tc>
        <w:tc>
          <w:tcPr>
            <w:tcW w:w="753" w:type="pct"/>
            <w:tcBorders>
              <w:top w:val="nil"/>
              <w:left w:val="nil"/>
              <w:bottom w:val="single" w:sz="4" w:space="0" w:color="auto"/>
              <w:right w:val="single" w:sz="4" w:space="0" w:color="auto"/>
            </w:tcBorders>
            <w:shd w:val="clear" w:color="auto" w:fill="auto"/>
            <w:noWrap/>
            <w:hideMark/>
          </w:tcPr>
          <w:p w14:paraId="206F417A" w14:textId="3A561CA6" w:rsidR="00F75BCF" w:rsidRPr="008D54A5" w:rsidRDefault="00F75BCF" w:rsidP="00E47419">
            <w:pPr>
              <w:pStyle w:val="TableText-center-12"/>
            </w:pPr>
            <w:r w:rsidRPr="008D54A5">
              <w:t>2.2</w:t>
            </w:r>
          </w:p>
        </w:tc>
      </w:tr>
      <w:tr w:rsidR="00F75BCF" w:rsidRPr="008D54A5" w14:paraId="07BE29A4" w14:textId="77777777" w:rsidTr="006E4110">
        <w:trPr>
          <w:trHeight w:val="233"/>
        </w:trPr>
        <w:tc>
          <w:tcPr>
            <w:tcW w:w="1588" w:type="pct"/>
            <w:vMerge/>
            <w:hideMark/>
          </w:tcPr>
          <w:p w14:paraId="691874CD" w14:textId="77777777" w:rsidR="00F75BCF" w:rsidRPr="008D54A5" w:rsidRDefault="00F75BCF" w:rsidP="00E47419">
            <w:pPr>
              <w:pStyle w:val="TableText-12"/>
            </w:pPr>
          </w:p>
        </w:tc>
        <w:tc>
          <w:tcPr>
            <w:tcW w:w="1153" w:type="pct"/>
            <w:noWrap/>
            <w:hideMark/>
          </w:tcPr>
          <w:p w14:paraId="6A45BC87" w14:textId="77777777" w:rsidR="00F75BCF" w:rsidRPr="008D54A5" w:rsidRDefault="00F75BCF" w:rsidP="00E47419">
            <w:pPr>
              <w:pStyle w:val="TableText-12"/>
            </w:pPr>
            <w:r w:rsidRPr="008D54A5">
              <w:t>&gt; $10,000</w:t>
            </w:r>
          </w:p>
        </w:tc>
        <w:tc>
          <w:tcPr>
            <w:tcW w:w="753" w:type="pct"/>
            <w:tcBorders>
              <w:top w:val="nil"/>
              <w:left w:val="single" w:sz="4" w:space="0" w:color="auto"/>
              <w:bottom w:val="single" w:sz="4" w:space="0" w:color="auto"/>
              <w:right w:val="single" w:sz="4" w:space="0" w:color="auto"/>
            </w:tcBorders>
            <w:shd w:val="clear" w:color="auto" w:fill="auto"/>
          </w:tcPr>
          <w:p w14:paraId="1E828612" w14:textId="1495ED44" w:rsidR="00F75BCF" w:rsidRPr="008D54A5" w:rsidRDefault="00F75BCF" w:rsidP="00E47419">
            <w:pPr>
              <w:pStyle w:val="TableText-center-12"/>
            </w:pPr>
            <w:r w:rsidRPr="008D54A5">
              <w:t>5.9</w:t>
            </w:r>
          </w:p>
        </w:tc>
        <w:tc>
          <w:tcPr>
            <w:tcW w:w="753" w:type="pct"/>
            <w:tcBorders>
              <w:top w:val="nil"/>
              <w:left w:val="nil"/>
              <w:bottom w:val="single" w:sz="4" w:space="0" w:color="auto"/>
              <w:right w:val="single" w:sz="4" w:space="0" w:color="auto"/>
            </w:tcBorders>
            <w:shd w:val="clear" w:color="auto" w:fill="auto"/>
          </w:tcPr>
          <w:p w14:paraId="1FF0F86A" w14:textId="56BBFED4" w:rsidR="00F75BCF" w:rsidRPr="008D54A5" w:rsidRDefault="00F75BCF" w:rsidP="00E47419">
            <w:pPr>
              <w:pStyle w:val="TableText-center-12"/>
            </w:pPr>
            <w:r w:rsidRPr="008D54A5">
              <w:t>5.6</w:t>
            </w:r>
          </w:p>
        </w:tc>
        <w:tc>
          <w:tcPr>
            <w:tcW w:w="753" w:type="pct"/>
            <w:tcBorders>
              <w:top w:val="nil"/>
              <w:left w:val="nil"/>
              <w:bottom w:val="single" w:sz="4" w:space="0" w:color="auto"/>
              <w:right w:val="single" w:sz="4" w:space="0" w:color="auto"/>
            </w:tcBorders>
            <w:shd w:val="clear" w:color="auto" w:fill="auto"/>
            <w:noWrap/>
            <w:hideMark/>
          </w:tcPr>
          <w:p w14:paraId="105E8201" w14:textId="052BDC8B" w:rsidR="00F75BCF" w:rsidRPr="008D54A5" w:rsidRDefault="00F75BCF" w:rsidP="00E47419">
            <w:pPr>
              <w:pStyle w:val="TableText-center-12"/>
            </w:pPr>
            <w:r w:rsidRPr="008D54A5">
              <w:t>5.1</w:t>
            </w:r>
          </w:p>
        </w:tc>
      </w:tr>
      <w:tr w:rsidR="00F75BCF" w:rsidRPr="008D54A5" w14:paraId="553B62F9" w14:textId="77777777" w:rsidTr="006E4110">
        <w:trPr>
          <w:trHeight w:val="215"/>
        </w:trPr>
        <w:tc>
          <w:tcPr>
            <w:tcW w:w="1588" w:type="pct"/>
            <w:vMerge w:val="restart"/>
            <w:noWrap/>
            <w:hideMark/>
          </w:tcPr>
          <w:p w14:paraId="25502E74" w14:textId="77777777" w:rsidR="00F75BCF" w:rsidRPr="008D54A5" w:rsidRDefault="00F75BCF" w:rsidP="00E47419">
            <w:pPr>
              <w:pStyle w:val="TableText-12"/>
            </w:pPr>
            <w:r w:rsidRPr="008D54A5">
              <w:t>Total Payments on Hospital Event</w:t>
            </w:r>
          </w:p>
        </w:tc>
        <w:tc>
          <w:tcPr>
            <w:tcW w:w="1153" w:type="pct"/>
            <w:noWrap/>
            <w:hideMark/>
          </w:tcPr>
          <w:p w14:paraId="1012E29F" w14:textId="77777777" w:rsidR="00F75BCF" w:rsidRPr="008D54A5" w:rsidRDefault="00F75BCF" w:rsidP="00E47419">
            <w:pPr>
              <w:pStyle w:val="TableText-12"/>
            </w:pPr>
            <w:r w:rsidRPr="008D54A5">
              <w:t>Missing</w:t>
            </w:r>
          </w:p>
        </w:tc>
        <w:tc>
          <w:tcPr>
            <w:tcW w:w="753" w:type="pct"/>
            <w:tcBorders>
              <w:top w:val="nil"/>
              <w:left w:val="single" w:sz="4" w:space="0" w:color="auto"/>
              <w:bottom w:val="single" w:sz="4" w:space="0" w:color="auto"/>
              <w:right w:val="single" w:sz="4" w:space="0" w:color="auto"/>
            </w:tcBorders>
            <w:shd w:val="clear" w:color="auto" w:fill="auto"/>
          </w:tcPr>
          <w:p w14:paraId="08434050" w14:textId="7EB86595" w:rsidR="00F75BCF" w:rsidRPr="008D54A5" w:rsidRDefault="00F75BCF" w:rsidP="00E47419">
            <w:pPr>
              <w:pStyle w:val="TableText-center-12"/>
            </w:pPr>
            <w:r w:rsidRPr="008D54A5">
              <w:t>2.1</w:t>
            </w:r>
          </w:p>
        </w:tc>
        <w:tc>
          <w:tcPr>
            <w:tcW w:w="753" w:type="pct"/>
            <w:tcBorders>
              <w:top w:val="nil"/>
              <w:left w:val="nil"/>
              <w:bottom w:val="single" w:sz="4" w:space="0" w:color="auto"/>
              <w:right w:val="single" w:sz="4" w:space="0" w:color="auto"/>
            </w:tcBorders>
            <w:shd w:val="clear" w:color="auto" w:fill="auto"/>
          </w:tcPr>
          <w:p w14:paraId="3A335DB9" w14:textId="031E01F7" w:rsidR="00F75BCF" w:rsidRPr="008D54A5" w:rsidRDefault="00F75BCF" w:rsidP="00E47419">
            <w:pPr>
              <w:pStyle w:val="TableText-center-12"/>
            </w:pPr>
            <w:r w:rsidRPr="008D54A5">
              <w:t>2.6</w:t>
            </w:r>
          </w:p>
        </w:tc>
        <w:tc>
          <w:tcPr>
            <w:tcW w:w="753" w:type="pct"/>
            <w:tcBorders>
              <w:top w:val="nil"/>
              <w:left w:val="nil"/>
              <w:bottom w:val="single" w:sz="4" w:space="0" w:color="auto"/>
              <w:right w:val="single" w:sz="4" w:space="0" w:color="auto"/>
            </w:tcBorders>
            <w:shd w:val="clear" w:color="auto" w:fill="auto"/>
            <w:noWrap/>
            <w:hideMark/>
          </w:tcPr>
          <w:p w14:paraId="3F8CB65E" w14:textId="313E0586" w:rsidR="00F75BCF" w:rsidRPr="008D54A5" w:rsidRDefault="00F75BCF" w:rsidP="00E47419">
            <w:pPr>
              <w:pStyle w:val="TableText-center-12"/>
            </w:pPr>
            <w:r w:rsidRPr="008D54A5">
              <w:t>1.8</w:t>
            </w:r>
          </w:p>
        </w:tc>
      </w:tr>
      <w:tr w:rsidR="00F75BCF" w:rsidRPr="008D54A5" w14:paraId="26038587" w14:textId="77777777" w:rsidTr="006E4110">
        <w:trPr>
          <w:trHeight w:val="197"/>
        </w:trPr>
        <w:tc>
          <w:tcPr>
            <w:tcW w:w="1588" w:type="pct"/>
            <w:vMerge/>
            <w:hideMark/>
          </w:tcPr>
          <w:p w14:paraId="6250BA8E" w14:textId="77777777" w:rsidR="00F75BCF" w:rsidRPr="008D54A5" w:rsidRDefault="00F75BCF" w:rsidP="00E47419">
            <w:pPr>
              <w:pStyle w:val="TableText-12"/>
            </w:pPr>
          </w:p>
        </w:tc>
        <w:tc>
          <w:tcPr>
            <w:tcW w:w="1153" w:type="pct"/>
            <w:noWrap/>
            <w:hideMark/>
          </w:tcPr>
          <w:p w14:paraId="4E11BA18" w14:textId="77777777" w:rsidR="00F75BCF" w:rsidRPr="008D54A5" w:rsidRDefault="00F75BCF" w:rsidP="00E47419">
            <w:pPr>
              <w:pStyle w:val="TableText-12"/>
            </w:pPr>
            <w:r w:rsidRPr="008D54A5">
              <w:t>Zero</w:t>
            </w:r>
          </w:p>
        </w:tc>
        <w:tc>
          <w:tcPr>
            <w:tcW w:w="753" w:type="pct"/>
            <w:tcBorders>
              <w:top w:val="nil"/>
              <w:left w:val="single" w:sz="4" w:space="0" w:color="auto"/>
              <w:bottom w:val="single" w:sz="4" w:space="0" w:color="auto"/>
              <w:right w:val="single" w:sz="4" w:space="0" w:color="auto"/>
            </w:tcBorders>
            <w:shd w:val="clear" w:color="auto" w:fill="auto"/>
          </w:tcPr>
          <w:p w14:paraId="00DC2915" w14:textId="3366A047" w:rsidR="00F75BCF" w:rsidRPr="008D54A5" w:rsidRDefault="00F75BCF" w:rsidP="00E47419">
            <w:pPr>
              <w:pStyle w:val="TableText-center-12"/>
            </w:pPr>
            <w:r w:rsidRPr="008D54A5">
              <w:t>2.6</w:t>
            </w:r>
          </w:p>
        </w:tc>
        <w:tc>
          <w:tcPr>
            <w:tcW w:w="753" w:type="pct"/>
            <w:tcBorders>
              <w:top w:val="nil"/>
              <w:left w:val="nil"/>
              <w:bottom w:val="single" w:sz="4" w:space="0" w:color="auto"/>
              <w:right w:val="single" w:sz="4" w:space="0" w:color="auto"/>
            </w:tcBorders>
            <w:shd w:val="clear" w:color="auto" w:fill="auto"/>
          </w:tcPr>
          <w:p w14:paraId="7DEBDD6D" w14:textId="031F8FED" w:rsidR="00F75BCF" w:rsidRPr="008D54A5" w:rsidRDefault="00F75BCF" w:rsidP="00E47419">
            <w:pPr>
              <w:pStyle w:val="TableText-center-12"/>
            </w:pPr>
            <w:r w:rsidRPr="008D54A5">
              <w:t>2.8</w:t>
            </w:r>
          </w:p>
        </w:tc>
        <w:tc>
          <w:tcPr>
            <w:tcW w:w="753" w:type="pct"/>
            <w:tcBorders>
              <w:top w:val="nil"/>
              <w:left w:val="nil"/>
              <w:bottom w:val="single" w:sz="4" w:space="0" w:color="auto"/>
              <w:right w:val="single" w:sz="4" w:space="0" w:color="auto"/>
            </w:tcBorders>
            <w:shd w:val="clear" w:color="auto" w:fill="auto"/>
            <w:noWrap/>
            <w:hideMark/>
          </w:tcPr>
          <w:p w14:paraId="191D02C3" w14:textId="6CE11930" w:rsidR="00F75BCF" w:rsidRPr="008D54A5" w:rsidRDefault="00F75BCF" w:rsidP="00E47419">
            <w:pPr>
              <w:pStyle w:val="TableText-center-12"/>
            </w:pPr>
            <w:r w:rsidRPr="008D54A5">
              <w:t>2.4</w:t>
            </w:r>
          </w:p>
        </w:tc>
      </w:tr>
      <w:tr w:rsidR="00F75BCF" w:rsidRPr="008D54A5" w14:paraId="4A66AB3D" w14:textId="77777777" w:rsidTr="006E4110">
        <w:trPr>
          <w:trHeight w:val="179"/>
        </w:trPr>
        <w:tc>
          <w:tcPr>
            <w:tcW w:w="1588" w:type="pct"/>
            <w:vMerge/>
            <w:hideMark/>
          </w:tcPr>
          <w:p w14:paraId="70265F96" w14:textId="77777777" w:rsidR="00F75BCF" w:rsidRPr="008D54A5" w:rsidRDefault="00F75BCF" w:rsidP="00E47419">
            <w:pPr>
              <w:pStyle w:val="TableText-12"/>
            </w:pPr>
          </w:p>
        </w:tc>
        <w:tc>
          <w:tcPr>
            <w:tcW w:w="1153" w:type="pct"/>
            <w:noWrap/>
            <w:hideMark/>
          </w:tcPr>
          <w:p w14:paraId="0B2DEBA4" w14:textId="77777777" w:rsidR="00F75BCF" w:rsidRPr="008D54A5" w:rsidRDefault="00F75BCF" w:rsidP="00E47419">
            <w:pPr>
              <w:pStyle w:val="TableText-12"/>
            </w:pPr>
            <w:r w:rsidRPr="008D54A5">
              <w:t>$1–$250</w:t>
            </w:r>
          </w:p>
        </w:tc>
        <w:tc>
          <w:tcPr>
            <w:tcW w:w="753" w:type="pct"/>
            <w:tcBorders>
              <w:top w:val="nil"/>
              <w:left w:val="single" w:sz="4" w:space="0" w:color="auto"/>
              <w:bottom w:val="single" w:sz="4" w:space="0" w:color="auto"/>
              <w:right w:val="single" w:sz="4" w:space="0" w:color="auto"/>
            </w:tcBorders>
            <w:shd w:val="clear" w:color="auto" w:fill="auto"/>
          </w:tcPr>
          <w:p w14:paraId="1A7A08D8" w14:textId="12903915" w:rsidR="00F75BCF" w:rsidRPr="008D54A5" w:rsidRDefault="00F75BCF" w:rsidP="00E47419">
            <w:pPr>
              <w:pStyle w:val="TableText-center-12"/>
            </w:pPr>
            <w:r w:rsidRPr="008D54A5">
              <w:t>1.7</w:t>
            </w:r>
          </w:p>
        </w:tc>
        <w:tc>
          <w:tcPr>
            <w:tcW w:w="753" w:type="pct"/>
            <w:tcBorders>
              <w:top w:val="nil"/>
              <w:left w:val="nil"/>
              <w:bottom w:val="single" w:sz="4" w:space="0" w:color="auto"/>
              <w:right w:val="single" w:sz="4" w:space="0" w:color="auto"/>
            </w:tcBorders>
            <w:shd w:val="clear" w:color="auto" w:fill="auto"/>
          </w:tcPr>
          <w:p w14:paraId="3360697F" w14:textId="41EAA1BC" w:rsidR="00F75BCF" w:rsidRPr="008D54A5" w:rsidRDefault="00F75BCF" w:rsidP="00E47419">
            <w:pPr>
              <w:pStyle w:val="TableText-center-12"/>
            </w:pPr>
            <w:r w:rsidRPr="008D54A5">
              <w:t>1.7</w:t>
            </w:r>
          </w:p>
        </w:tc>
        <w:tc>
          <w:tcPr>
            <w:tcW w:w="753" w:type="pct"/>
            <w:tcBorders>
              <w:top w:val="nil"/>
              <w:left w:val="nil"/>
              <w:bottom w:val="single" w:sz="4" w:space="0" w:color="auto"/>
              <w:right w:val="single" w:sz="4" w:space="0" w:color="auto"/>
            </w:tcBorders>
            <w:shd w:val="clear" w:color="auto" w:fill="auto"/>
            <w:noWrap/>
            <w:hideMark/>
          </w:tcPr>
          <w:p w14:paraId="7BB5A6A6" w14:textId="614B9198" w:rsidR="00F75BCF" w:rsidRPr="008D54A5" w:rsidRDefault="00F75BCF" w:rsidP="00E47419">
            <w:pPr>
              <w:pStyle w:val="TableText-center-12"/>
            </w:pPr>
            <w:r w:rsidRPr="008D54A5">
              <w:t>1.6</w:t>
            </w:r>
          </w:p>
        </w:tc>
      </w:tr>
      <w:tr w:rsidR="00F75BCF" w:rsidRPr="008D54A5" w14:paraId="46952BBC" w14:textId="77777777" w:rsidTr="006E4110">
        <w:trPr>
          <w:trHeight w:val="170"/>
        </w:trPr>
        <w:tc>
          <w:tcPr>
            <w:tcW w:w="1588" w:type="pct"/>
            <w:vMerge/>
            <w:hideMark/>
          </w:tcPr>
          <w:p w14:paraId="5FC427DD" w14:textId="77777777" w:rsidR="00F75BCF" w:rsidRPr="008D54A5" w:rsidRDefault="00F75BCF" w:rsidP="00E47419">
            <w:pPr>
              <w:pStyle w:val="TableText-12"/>
            </w:pPr>
          </w:p>
        </w:tc>
        <w:tc>
          <w:tcPr>
            <w:tcW w:w="1153" w:type="pct"/>
            <w:noWrap/>
            <w:hideMark/>
          </w:tcPr>
          <w:p w14:paraId="033A27EC" w14:textId="77777777" w:rsidR="00F75BCF" w:rsidRPr="008D54A5" w:rsidRDefault="00F75BCF" w:rsidP="00E47419">
            <w:pPr>
              <w:pStyle w:val="TableText-12"/>
            </w:pPr>
            <w:r w:rsidRPr="008D54A5">
              <w:t>$251–$1,000</w:t>
            </w:r>
          </w:p>
        </w:tc>
        <w:tc>
          <w:tcPr>
            <w:tcW w:w="753" w:type="pct"/>
            <w:tcBorders>
              <w:top w:val="nil"/>
              <w:left w:val="single" w:sz="4" w:space="0" w:color="auto"/>
              <w:bottom w:val="single" w:sz="4" w:space="0" w:color="auto"/>
              <w:right w:val="single" w:sz="4" w:space="0" w:color="auto"/>
            </w:tcBorders>
            <w:shd w:val="clear" w:color="auto" w:fill="auto"/>
          </w:tcPr>
          <w:p w14:paraId="05B8D00D" w14:textId="2B1D6E6E" w:rsidR="00F75BCF" w:rsidRPr="008D54A5" w:rsidRDefault="00F75BCF" w:rsidP="00E47419">
            <w:pPr>
              <w:pStyle w:val="TableText-center-12"/>
            </w:pPr>
            <w:r w:rsidRPr="008D54A5">
              <w:t>2.2</w:t>
            </w:r>
          </w:p>
        </w:tc>
        <w:tc>
          <w:tcPr>
            <w:tcW w:w="753" w:type="pct"/>
            <w:tcBorders>
              <w:top w:val="nil"/>
              <w:left w:val="nil"/>
              <w:bottom w:val="single" w:sz="4" w:space="0" w:color="auto"/>
              <w:right w:val="single" w:sz="4" w:space="0" w:color="auto"/>
            </w:tcBorders>
            <w:shd w:val="clear" w:color="auto" w:fill="auto"/>
          </w:tcPr>
          <w:p w14:paraId="0A00320B" w14:textId="23222F41" w:rsidR="00F75BCF" w:rsidRPr="008D54A5" w:rsidRDefault="00F75BCF" w:rsidP="00E47419">
            <w:pPr>
              <w:pStyle w:val="TableText-center-12"/>
            </w:pPr>
            <w:r w:rsidRPr="008D54A5">
              <w:t>2.2</w:t>
            </w:r>
          </w:p>
        </w:tc>
        <w:tc>
          <w:tcPr>
            <w:tcW w:w="753" w:type="pct"/>
            <w:tcBorders>
              <w:top w:val="nil"/>
              <w:left w:val="nil"/>
              <w:bottom w:val="single" w:sz="4" w:space="0" w:color="auto"/>
              <w:right w:val="single" w:sz="4" w:space="0" w:color="auto"/>
            </w:tcBorders>
            <w:shd w:val="clear" w:color="auto" w:fill="auto"/>
            <w:noWrap/>
            <w:hideMark/>
          </w:tcPr>
          <w:p w14:paraId="691A4C05" w14:textId="717B9A6A" w:rsidR="00F75BCF" w:rsidRPr="008D54A5" w:rsidRDefault="00F75BCF" w:rsidP="00E47419">
            <w:pPr>
              <w:pStyle w:val="TableText-center-12"/>
            </w:pPr>
            <w:r w:rsidRPr="008D54A5">
              <w:t>2.1</w:t>
            </w:r>
          </w:p>
        </w:tc>
      </w:tr>
      <w:tr w:rsidR="00F75BCF" w:rsidRPr="008D54A5" w14:paraId="6A7B727D" w14:textId="77777777" w:rsidTr="006E4110">
        <w:trPr>
          <w:trHeight w:val="152"/>
        </w:trPr>
        <w:tc>
          <w:tcPr>
            <w:tcW w:w="1588" w:type="pct"/>
            <w:vMerge/>
            <w:hideMark/>
          </w:tcPr>
          <w:p w14:paraId="63BBB013" w14:textId="77777777" w:rsidR="00F75BCF" w:rsidRPr="008D54A5" w:rsidRDefault="00F75BCF" w:rsidP="00E47419">
            <w:pPr>
              <w:pStyle w:val="TableText-12"/>
            </w:pPr>
          </w:p>
        </w:tc>
        <w:tc>
          <w:tcPr>
            <w:tcW w:w="1153" w:type="pct"/>
            <w:noWrap/>
            <w:hideMark/>
          </w:tcPr>
          <w:p w14:paraId="325EAE82" w14:textId="77777777" w:rsidR="00F75BCF" w:rsidRPr="008D54A5" w:rsidRDefault="00F75BCF" w:rsidP="00E47419">
            <w:pPr>
              <w:pStyle w:val="TableText-12"/>
            </w:pPr>
            <w:r w:rsidRPr="008D54A5">
              <w:t>$1,001–$10,000</w:t>
            </w:r>
          </w:p>
        </w:tc>
        <w:tc>
          <w:tcPr>
            <w:tcW w:w="753" w:type="pct"/>
            <w:tcBorders>
              <w:top w:val="nil"/>
              <w:left w:val="single" w:sz="4" w:space="0" w:color="auto"/>
              <w:bottom w:val="single" w:sz="4" w:space="0" w:color="auto"/>
              <w:right w:val="single" w:sz="4" w:space="0" w:color="auto"/>
            </w:tcBorders>
            <w:shd w:val="clear" w:color="auto" w:fill="auto"/>
          </w:tcPr>
          <w:p w14:paraId="3A2C45EB" w14:textId="2DDFD17D" w:rsidR="00F75BCF" w:rsidRPr="008D54A5" w:rsidRDefault="00F75BCF" w:rsidP="00E47419">
            <w:pPr>
              <w:pStyle w:val="TableText-center-12"/>
            </w:pPr>
            <w:r w:rsidRPr="008D54A5">
              <w:t>3.6</w:t>
            </w:r>
          </w:p>
        </w:tc>
        <w:tc>
          <w:tcPr>
            <w:tcW w:w="753" w:type="pct"/>
            <w:tcBorders>
              <w:top w:val="nil"/>
              <w:left w:val="nil"/>
              <w:bottom w:val="single" w:sz="4" w:space="0" w:color="auto"/>
              <w:right w:val="single" w:sz="4" w:space="0" w:color="auto"/>
            </w:tcBorders>
            <w:shd w:val="clear" w:color="auto" w:fill="auto"/>
          </w:tcPr>
          <w:p w14:paraId="5CDBF34B" w14:textId="7E748159" w:rsidR="00F75BCF" w:rsidRPr="008D54A5" w:rsidRDefault="00F75BCF" w:rsidP="00E47419">
            <w:pPr>
              <w:pStyle w:val="TableText-center-12"/>
            </w:pPr>
            <w:r w:rsidRPr="008D54A5">
              <w:t>3.7</w:t>
            </w:r>
          </w:p>
        </w:tc>
        <w:tc>
          <w:tcPr>
            <w:tcW w:w="753" w:type="pct"/>
            <w:tcBorders>
              <w:top w:val="nil"/>
              <w:left w:val="nil"/>
              <w:bottom w:val="single" w:sz="4" w:space="0" w:color="auto"/>
              <w:right w:val="single" w:sz="4" w:space="0" w:color="auto"/>
            </w:tcBorders>
            <w:shd w:val="clear" w:color="auto" w:fill="auto"/>
            <w:noWrap/>
            <w:hideMark/>
          </w:tcPr>
          <w:p w14:paraId="75597063" w14:textId="56932479" w:rsidR="00F75BCF" w:rsidRPr="008D54A5" w:rsidRDefault="00F75BCF" w:rsidP="00E47419">
            <w:pPr>
              <w:pStyle w:val="TableText-center-12"/>
            </w:pPr>
            <w:r w:rsidRPr="008D54A5">
              <w:t>3.4</w:t>
            </w:r>
          </w:p>
        </w:tc>
      </w:tr>
      <w:tr w:rsidR="00F75BCF" w:rsidRPr="008D54A5" w14:paraId="1C8A64A4" w14:textId="77777777" w:rsidTr="006E4110">
        <w:trPr>
          <w:trHeight w:val="134"/>
        </w:trPr>
        <w:tc>
          <w:tcPr>
            <w:tcW w:w="1588" w:type="pct"/>
            <w:vMerge/>
            <w:hideMark/>
          </w:tcPr>
          <w:p w14:paraId="1CE41A00" w14:textId="77777777" w:rsidR="00F75BCF" w:rsidRPr="008D54A5" w:rsidRDefault="00F75BCF" w:rsidP="00E47419">
            <w:pPr>
              <w:pStyle w:val="TableText-12"/>
            </w:pPr>
          </w:p>
        </w:tc>
        <w:tc>
          <w:tcPr>
            <w:tcW w:w="1153" w:type="pct"/>
            <w:noWrap/>
            <w:hideMark/>
          </w:tcPr>
          <w:p w14:paraId="75C63DC0" w14:textId="77777777" w:rsidR="00F75BCF" w:rsidRPr="008D54A5" w:rsidRDefault="00F75BCF" w:rsidP="00E47419">
            <w:pPr>
              <w:pStyle w:val="TableText-12"/>
            </w:pPr>
            <w:r w:rsidRPr="008D54A5">
              <w:t>&gt; $10,000</w:t>
            </w:r>
          </w:p>
        </w:tc>
        <w:tc>
          <w:tcPr>
            <w:tcW w:w="753" w:type="pct"/>
            <w:tcBorders>
              <w:top w:val="nil"/>
              <w:left w:val="single" w:sz="4" w:space="0" w:color="auto"/>
              <w:bottom w:val="single" w:sz="4" w:space="0" w:color="auto"/>
              <w:right w:val="single" w:sz="4" w:space="0" w:color="auto"/>
            </w:tcBorders>
            <w:shd w:val="clear" w:color="auto" w:fill="auto"/>
          </w:tcPr>
          <w:p w14:paraId="731236D0" w14:textId="65EB1A95" w:rsidR="00F75BCF" w:rsidRPr="008D54A5" w:rsidRDefault="00F75BCF" w:rsidP="00E47419">
            <w:pPr>
              <w:pStyle w:val="TableText-center-12"/>
            </w:pPr>
            <w:r w:rsidRPr="008D54A5">
              <w:t>7.8</w:t>
            </w:r>
          </w:p>
        </w:tc>
        <w:tc>
          <w:tcPr>
            <w:tcW w:w="753" w:type="pct"/>
            <w:tcBorders>
              <w:top w:val="nil"/>
              <w:left w:val="nil"/>
              <w:bottom w:val="single" w:sz="4" w:space="0" w:color="auto"/>
              <w:right w:val="single" w:sz="4" w:space="0" w:color="auto"/>
            </w:tcBorders>
            <w:shd w:val="clear" w:color="auto" w:fill="auto"/>
          </w:tcPr>
          <w:p w14:paraId="1F645761" w14:textId="0767C429" w:rsidR="00F75BCF" w:rsidRPr="008D54A5" w:rsidRDefault="00F75BCF" w:rsidP="00E47419">
            <w:pPr>
              <w:pStyle w:val="TableText-center-12"/>
            </w:pPr>
            <w:r w:rsidRPr="008D54A5">
              <w:t>7.5</w:t>
            </w:r>
          </w:p>
        </w:tc>
        <w:tc>
          <w:tcPr>
            <w:tcW w:w="753" w:type="pct"/>
            <w:tcBorders>
              <w:top w:val="nil"/>
              <w:left w:val="nil"/>
              <w:bottom w:val="single" w:sz="4" w:space="0" w:color="auto"/>
              <w:right w:val="single" w:sz="4" w:space="0" w:color="auto"/>
            </w:tcBorders>
            <w:shd w:val="clear" w:color="auto" w:fill="auto"/>
            <w:noWrap/>
            <w:hideMark/>
          </w:tcPr>
          <w:p w14:paraId="513BE117" w14:textId="32DD204D" w:rsidR="00F75BCF" w:rsidRPr="008D54A5" w:rsidRDefault="00F75BCF" w:rsidP="00E47419">
            <w:pPr>
              <w:pStyle w:val="TableText-center-12"/>
            </w:pPr>
            <w:r w:rsidRPr="008D54A5">
              <w:t>6.8</w:t>
            </w:r>
          </w:p>
        </w:tc>
      </w:tr>
      <w:tr w:rsidR="00F75BCF" w:rsidRPr="008D54A5" w14:paraId="49BFE625" w14:textId="77777777" w:rsidTr="006E4110">
        <w:trPr>
          <w:trHeight w:val="296"/>
        </w:trPr>
        <w:tc>
          <w:tcPr>
            <w:tcW w:w="1588" w:type="pct"/>
            <w:vMerge w:val="restart"/>
            <w:noWrap/>
            <w:hideMark/>
          </w:tcPr>
          <w:p w14:paraId="04439883" w14:textId="77777777" w:rsidR="00F75BCF" w:rsidRPr="008D54A5" w:rsidRDefault="00F75BCF" w:rsidP="00E47419">
            <w:pPr>
              <w:pStyle w:val="TableText-12"/>
            </w:pPr>
            <w:r w:rsidRPr="008D54A5">
              <w:t>Data Collection Mode for Hospital Event</w:t>
            </w:r>
          </w:p>
        </w:tc>
        <w:tc>
          <w:tcPr>
            <w:tcW w:w="1153" w:type="pct"/>
            <w:noWrap/>
            <w:hideMark/>
          </w:tcPr>
          <w:p w14:paraId="303E7E28" w14:textId="77777777" w:rsidR="00F75BCF" w:rsidRPr="008D54A5" w:rsidRDefault="00F75BCF" w:rsidP="00E47419">
            <w:pPr>
              <w:pStyle w:val="TableText-12"/>
            </w:pPr>
            <w:r w:rsidRPr="008D54A5">
              <w:t>Telephone</w:t>
            </w:r>
          </w:p>
        </w:tc>
        <w:tc>
          <w:tcPr>
            <w:tcW w:w="753" w:type="pct"/>
            <w:tcBorders>
              <w:top w:val="nil"/>
              <w:left w:val="single" w:sz="4" w:space="0" w:color="auto"/>
              <w:bottom w:val="single" w:sz="4" w:space="0" w:color="auto"/>
              <w:right w:val="single" w:sz="4" w:space="0" w:color="auto"/>
            </w:tcBorders>
            <w:shd w:val="clear" w:color="auto" w:fill="auto"/>
          </w:tcPr>
          <w:p w14:paraId="1EF5C830" w14:textId="682D07C8" w:rsidR="00F75BCF" w:rsidRPr="008D54A5" w:rsidRDefault="00F75BCF" w:rsidP="00E47419">
            <w:pPr>
              <w:pStyle w:val="TableText-center-12"/>
            </w:pPr>
            <w:r w:rsidRPr="008D54A5">
              <w:t>1.3</w:t>
            </w:r>
          </w:p>
        </w:tc>
        <w:tc>
          <w:tcPr>
            <w:tcW w:w="753" w:type="pct"/>
            <w:tcBorders>
              <w:top w:val="nil"/>
              <w:left w:val="nil"/>
              <w:bottom w:val="single" w:sz="4" w:space="0" w:color="auto"/>
              <w:right w:val="single" w:sz="4" w:space="0" w:color="auto"/>
            </w:tcBorders>
            <w:shd w:val="clear" w:color="auto" w:fill="auto"/>
          </w:tcPr>
          <w:p w14:paraId="267BE52A" w14:textId="22906D62" w:rsidR="00F75BCF" w:rsidRPr="008D54A5" w:rsidRDefault="00F75BCF" w:rsidP="00E47419">
            <w:pPr>
              <w:pStyle w:val="TableText-center-12"/>
            </w:pPr>
            <w:r w:rsidRPr="008D54A5">
              <w:t>1.5</w:t>
            </w:r>
          </w:p>
        </w:tc>
        <w:tc>
          <w:tcPr>
            <w:tcW w:w="753" w:type="pct"/>
            <w:tcBorders>
              <w:top w:val="nil"/>
              <w:left w:val="nil"/>
              <w:bottom w:val="single" w:sz="4" w:space="0" w:color="auto"/>
              <w:right w:val="single" w:sz="4" w:space="0" w:color="auto"/>
            </w:tcBorders>
            <w:shd w:val="clear" w:color="auto" w:fill="auto"/>
            <w:noWrap/>
            <w:hideMark/>
          </w:tcPr>
          <w:p w14:paraId="687A9095" w14:textId="19C10765" w:rsidR="00F75BCF" w:rsidRPr="008D54A5" w:rsidRDefault="00F75BCF" w:rsidP="00E47419">
            <w:pPr>
              <w:pStyle w:val="TableText-center-12"/>
            </w:pPr>
            <w:r w:rsidRPr="008D54A5">
              <w:t>2.0</w:t>
            </w:r>
          </w:p>
        </w:tc>
      </w:tr>
      <w:tr w:rsidR="00F75BCF" w:rsidRPr="008D54A5" w14:paraId="76601996" w14:textId="77777777" w:rsidTr="006E4110">
        <w:trPr>
          <w:trHeight w:val="368"/>
        </w:trPr>
        <w:tc>
          <w:tcPr>
            <w:tcW w:w="1588" w:type="pct"/>
            <w:vMerge/>
            <w:hideMark/>
          </w:tcPr>
          <w:p w14:paraId="61ED075C" w14:textId="77777777" w:rsidR="00F75BCF" w:rsidRPr="008D54A5" w:rsidRDefault="00F75BCF" w:rsidP="00E47419">
            <w:pPr>
              <w:pStyle w:val="TableText-12"/>
            </w:pPr>
          </w:p>
        </w:tc>
        <w:tc>
          <w:tcPr>
            <w:tcW w:w="1153" w:type="pct"/>
            <w:noWrap/>
            <w:hideMark/>
          </w:tcPr>
          <w:p w14:paraId="5D40402B" w14:textId="77777777" w:rsidR="00F75BCF" w:rsidRPr="008D54A5" w:rsidRDefault="00F75BCF" w:rsidP="00E47419">
            <w:pPr>
              <w:pStyle w:val="TableText-12"/>
            </w:pPr>
            <w:r w:rsidRPr="008D54A5">
              <w:t>Hard copy</w:t>
            </w:r>
          </w:p>
        </w:tc>
        <w:tc>
          <w:tcPr>
            <w:tcW w:w="753" w:type="pct"/>
            <w:tcBorders>
              <w:top w:val="nil"/>
              <w:left w:val="single" w:sz="4" w:space="0" w:color="auto"/>
              <w:bottom w:val="single" w:sz="4" w:space="0" w:color="auto"/>
              <w:right w:val="single" w:sz="4" w:space="0" w:color="auto"/>
            </w:tcBorders>
            <w:shd w:val="clear" w:color="auto" w:fill="auto"/>
          </w:tcPr>
          <w:p w14:paraId="65D1A5E7" w14:textId="1D456969" w:rsidR="00F75BCF" w:rsidRPr="008D54A5" w:rsidRDefault="00F75BCF" w:rsidP="00E47419">
            <w:pPr>
              <w:pStyle w:val="TableText-center-12"/>
            </w:pPr>
            <w:r w:rsidRPr="008D54A5">
              <w:t>2.4</w:t>
            </w:r>
          </w:p>
        </w:tc>
        <w:tc>
          <w:tcPr>
            <w:tcW w:w="753" w:type="pct"/>
            <w:tcBorders>
              <w:top w:val="nil"/>
              <w:left w:val="nil"/>
              <w:bottom w:val="single" w:sz="4" w:space="0" w:color="auto"/>
              <w:right w:val="single" w:sz="4" w:space="0" w:color="auto"/>
            </w:tcBorders>
            <w:shd w:val="clear" w:color="auto" w:fill="auto"/>
          </w:tcPr>
          <w:p w14:paraId="51BB5BB0" w14:textId="0AE9B212" w:rsidR="00F75BCF" w:rsidRPr="008D54A5" w:rsidRDefault="00F75BCF" w:rsidP="00E47419">
            <w:pPr>
              <w:pStyle w:val="TableText-center-12"/>
            </w:pPr>
            <w:r w:rsidRPr="008D54A5">
              <w:t>2.3</w:t>
            </w:r>
          </w:p>
        </w:tc>
        <w:tc>
          <w:tcPr>
            <w:tcW w:w="753" w:type="pct"/>
            <w:tcBorders>
              <w:top w:val="nil"/>
              <w:left w:val="nil"/>
              <w:bottom w:val="single" w:sz="4" w:space="0" w:color="auto"/>
              <w:right w:val="single" w:sz="4" w:space="0" w:color="auto"/>
            </w:tcBorders>
            <w:shd w:val="clear" w:color="auto" w:fill="auto"/>
            <w:noWrap/>
            <w:hideMark/>
          </w:tcPr>
          <w:p w14:paraId="04EA931B" w14:textId="4261169C" w:rsidR="00F75BCF" w:rsidRPr="008D54A5" w:rsidRDefault="00F75BCF" w:rsidP="00E47419">
            <w:pPr>
              <w:pStyle w:val="TableText-center-12"/>
            </w:pPr>
            <w:r w:rsidRPr="008D54A5">
              <w:t>2.2</w:t>
            </w:r>
          </w:p>
        </w:tc>
      </w:tr>
    </w:tbl>
    <w:p w14:paraId="5FC273AB" w14:textId="799B6B58" w:rsidR="00A322E7" w:rsidRPr="008D54A5" w:rsidRDefault="00A322E7" w:rsidP="004263BF">
      <w:pPr>
        <w:pStyle w:val="Source-9-1"/>
        <w:rPr>
          <w:szCs w:val="18"/>
        </w:rPr>
      </w:pPr>
      <w:r w:rsidRPr="008D54A5">
        <w:rPr>
          <w:szCs w:val="18"/>
        </w:rPr>
        <w:t xml:space="preserve">Note: The statistics are based on unique (nonreplicated) </w:t>
      </w:r>
      <w:r w:rsidR="00BB6089" w:rsidRPr="008D54A5">
        <w:rPr>
          <w:szCs w:val="18"/>
        </w:rPr>
        <w:t xml:space="preserve">Medical Provider Component </w:t>
      </w:r>
      <w:r w:rsidRPr="008D54A5">
        <w:rPr>
          <w:szCs w:val="18"/>
        </w:rPr>
        <w:t>events.</w:t>
      </w:r>
    </w:p>
    <w:p w14:paraId="522AB52C" w14:textId="7C1D3D85" w:rsidR="004238FC" w:rsidRPr="008D54A5" w:rsidRDefault="00A322E7" w:rsidP="00E63E71">
      <w:pPr>
        <w:pStyle w:val="Source-9-1"/>
        <w:spacing w:before="20"/>
        <w:rPr>
          <w:szCs w:val="18"/>
        </w:rPr>
      </w:pPr>
      <w:r w:rsidRPr="008D54A5">
        <w:rPr>
          <w:szCs w:val="18"/>
        </w:rPr>
        <w:t xml:space="preserve">Source: </w:t>
      </w:r>
      <w:r w:rsidR="00F75BCF" w:rsidRPr="008D54A5">
        <w:rPr>
          <w:szCs w:val="18"/>
        </w:rPr>
        <w:t>2020</w:t>
      </w:r>
      <w:r w:rsidR="00CB3A1F" w:rsidRPr="008D54A5">
        <w:rPr>
          <w:szCs w:val="18"/>
        </w:rPr>
        <w:t>-</w:t>
      </w:r>
      <w:r w:rsidR="002B2330" w:rsidRPr="008D54A5">
        <w:rPr>
          <w:szCs w:val="18"/>
        </w:rPr>
        <w:t>202</w:t>
      </w:r>
      <w:r w:rsidR="00F75BCF" w:rsidRPr="008D54A5">
        <w:rPr>
          <w:szCs w:val="18"/>
        </w:rPr>
        <w:t>2</w:t>
      </w:r>
      <w:r w:rsidRPr="008D54A5">
        <w:rPr>
          <w:szCs w:val="18"/>
        </w:rPr>
        <w:t xml:space="preserve"> Medical Expenditure Panel Survey </w:t>
      </w:r>
      <w:r w:rsidR="005B7458" w:rsidRPr="008D54A5">
        <w:rPr>
          <w:szCs w:val="18"/>
        </w:rPr>
        <w:t>–</w:t>
      </w:r>
      <w:r w:rsidRPr="008D54A5">
        <w:rPr>
          <w:szCs w:val="18"/>
        </w:rPr>
        <w:t xml:space="preserve"> Medical Provider Component.</w:t>
      </w:r>
    </w:p>
    <w:p w14:paraId="0CD9CCED" w14:textId="30CA7AC4" w:rsidR="00367425" w:rsidRPr="008D54A5" w:rsidRDefault="00F66AD2" w:rsidP="007B19FD">
      <w:pPr>
        <w:pStyle w:val="Heading2"/>
      </w:pPr>
      <w:bookmarkStart w:id="79" w:name="_Toc127287277"/>
      <w:bookmarkStart w:id="80" w:name="_Toc160529603"/>
      <w:bookmarkStart w:id="81" w:name="_Hlk36200400"/>
      <w:bookmarkStart w:id="82" w:name="_Toc189128090"/>
      <w:r w:rsidRPr="008D54A5">
        <w:t xml:space="preserve">Indicators for INDIAN_HEALTH, CHARITY, MILITARY, or VA </w:t>
      </w:r>
      <w:r w:rsidR="00014A51" w:rsidRPr="008D54A5">
        <w:t>T</w:t>
      </w:r>
      <w:r w:rsidRPr="008D54A5">
        <w:t>ype of Provider</w:t>
      </w:r>
      <w:bookmarkEnd w:id="79"/>
      <w:bookmarkEnd w:id="80"/>
      <w:bookmarkEnd w:id="82"/>
    </w:p>
    <w:p w14:paraId="1A975BF8" w14:textId="640A2FFF" w:rsidR="00367425" w:rsidRPr="008D54A5" w:rsidRDefault="00A34891" w:rsidP="00E63E71">
      <w:pPr>
        <w:pStyle w:val="BodyText"/>
        <w:spacing w:after="120"/>
      </w:pPr>
      <w:r w:rsidRPr="008D54A5">
        <w:t>F</w:t>
      </w:r>
      <w:r w:rsidR="00F66AD2" w:rsidRPr="008D54A5">
        <w:t xml:space="preserve">our indicator variables </w:t>
      </w:r>
      <w:r w:rsidR="00632BAC" w:rsidRPr="008D54A5">
        <w:t>that denote</w:t>
      </w:r>
      <w:r w:rsidR="00F66AD2" w:rsidRPr="008D54A5">
        <w:t xml:space="preserve"> whether an MPC provider is likely to be associated with the Indian Health Service, provide charity care, be a provider for the U.S. </w:t>
      </w:r>
      <w:r w:rsidR="005C697E" w:rsidRPr="008D54A5">
        <w:t>military</w:t>
      </w:r>
      <w:r w:rsidR="00F66AD2" w:rsidRPr="008D54A5">
        <w:t>, or be a provider with the Department of Veterans Affairs (VA)</w:t>
      </w:r>
      <w:r w:rsidR="00FB7D73" w:rsidRPr="008D54A5">
        <w:t xml:space="preserve"> have been created</w:t>
      </w:r>
      <w:r w:rsidRPr="008D54A5">
        <w:t xml:space="preserve">, starting </w:t>
      </w:r>
      <w:r w:rsidR="001B3C17" w:rsidRPr="008D54A5">
        <w:t xml:space="preserve">in </w:t>
      </w:r>
      <w:r w:rsidRPr="008D54A5">
        <w:t>2011</w:t>
      </w:r>
      <w:r w:rsidR="00F66AD2" w:rsidRPr="008D54A5">
        <w:t xml:space="preserve">. These four variables </w:t>
      </w:r>
      <w:r w:rsidR="00FB7D73" w:rsidRPr="008D54A5">
        <w:t xml:space="preserve">are INDIAN_HEALTH, CHARITY, MILIARY, and VA and </w:t>
      </w:r>
      <w:r w:rsidR="00F66AD2" w:rsidRPr="008D54A5">
        <w:t>take values 0 or 1 for each event on the file</w:t>
      </w:r>
      <w:r w:rsidR="00FB7D73" w:rsidRPr="008D54A5">
        <w:t>.</w:t>
      </w:r>
      <w:r w:rsidR="00F66AD2" w:rsidRPr="008D54A5">
        <w:t xml:space="preserve"> These variables only indicate that the provider may be associated with that payment source, and not that the MPC event had that source of payment.</w:t>
      </w:r>
    </w:p>
    <w:p w14:paraId="3BAFF197" w14:textId="75B7E7EC" w:rsidR="005F0ACA" w:rsidRPr="008D54A5" w:rsidRDefault="00F66AD2" w:rsidP="00E63E71">
      <w:pPr>
        <w:pStyle w:val="BodyText"/>
        <w:spacing w:after="120"/>
      </w:pPr>
      <w:r w:rsidRPr="008D54A5">
        <w:t>The creation of these indic</w:t>
      </w:r>
      <w:r w:rsidR="005C697E" w:rsidRPr="008D54A5">
        <w:t>a</w:t>
      </w:r>
      <w:r w:rsidRPr="008D54A5">
        <w:t xml:space="preserve">tors started with the construction of a master list of names and addresses of each type of provider. </w:t>
      </w:r>
      <w:r w:rsidR="00FA647D" w:rsidRPr="008D54A5">
        <w:t xml:space="preserve">The lists </w:t>
      </w:r>
      <w:r w:rsidR="00A34891" w:rsidRPr="008D54A5">
        <w:t>for all the provider types</w:t>
      </w:r>
      <w:r w:rsidR="00A25D2C" w:rsidRPr="008D54A5">
        <w:t xml:space="preserve"> </w:t>
      </w:r>
      <w:r w:rsidR="00F747C1" w:rsidRPr="008D54A5">
        <w:t>used for the 202</w:t>
      </w:r>
      <w:r w:rsidR="0044755B" w:rsidRPr="008D54A5">
        <w:t>2</w:t>
      </w:r>
      <w:r w:rsidR="00F747C1" w:rsidRPr="008D54A5">
        <w:t xml:space="preserve"> MPC</w:t>
      </w:r>
      <w:r w:rsidR="00C265A6" w:rsidRPr="008D54A5">
        <w:t xml:space="preserve"> </w:t>
      </w:r>
      <w:r w:rsidR="00F747C1" w:rsidRPr="008D54A5">
        <w:t xml:space="preserve">were based on </w:t>
      </w:r>
      <w:r w:rsidR="0073675E" w:rsidRPr="008D54A5">
        <w:t>t</w:t>
      </w:r>
      <w:r w:rsidRPr="008D54A5">
        <w:t>he following sources:</w:t>
      </w:r>
    </w:p>
    <w:p w14:paraId="4561F310" w14:textId="6969ED4E" w:rsidR="00E36869" w:rsidRPr="008D54A5" w:rsidRDefault="00F66AD2" w:rsidP="00DC45E7">
      <w:pPr>
        <w:pStyle w:val="Heading5"/>
      </w:pPr>
      <w:r w:rsidRPr="008D54A5">
        <w:t>Indian Health</w:t>
      </w:r>
    </w:p>
    <w:p w14:paraId="69CAAEBE" w14:textId="5CB8FB01" w:rsidR="00E36869" w:rsidRPr="008D54A5" w:rsidRDefault="00F66AD2" w:rsidP="00DC45E7">
      <w:pPr>
        <w:pStyle w:val="BodyText2"/>
      </w:pPr>
      <w:r w:rsidRPr="008D54A5">
        <w:t xml:space="preserve">Indian Health Service </w:t>
      </w:r>
      <w:r w:rsidR="0039692A" w:rsidRPr="008D54A5">
        <w:t xml:space="preserve">Facilities </w:t>
      </w:r>
      <w:r w:rsidRPr="008D54A5">
        <w:t xml:space="preserve">Directory (downloaded </w:t>
      </w:r>
      <w:r w:rsidR="00B0786C" w:rsidRPr="008D54A5">
        <w:t>January 24</w:t>
      </w:r>
      <w:r w:rsidR="0039692A" w:rsidRPr="008D54A5">
        <w:t xml:space="preserve">, </w:t>
      </w:r>
      <w:proofErr w:type="gramStart"/>
      <w:r w:rsidR="0039692A" w:rsidRPr="008D54A5">
        <w:t>20</w:t>
      </w:r>
      <w:r w:rsidR="007E0BE3" w:rsidRPr="008D54A5">
        <w:t>2</w:t>
      </w:r>
      <w:r w:rsidR="00B0786C" w:rsidRPr="008D54A5">
        <w:t>3</w:t>
      </w:r>
      <w:proofErr w:type="gramEnd"/>
      <w:r w:rsidR="0039692A" w:rsidRPr="008D54A5">
        <w:t xml:space="preserve"> from </w:t>
      </w:r>
      <w:hyperlink r:id="rId20" w:history="1">
        <w:r w:rsidR="00C90C6E" w:rsidRPr="008D54A5">
          <w:rPr>
            <w:rStyle w:val="Hyperlink"/>
          </w:rPr>
          <w:t>https://www.ihs.gov/findhealthcare/</w:t>
        </w:r>
      </w:hyperlink>
      <w:r w:rsidR="008B5E0E" w:rsidRPr="008D54A5">
        <w:t>).</w:t>
      </w:r>
      <w:bookmarkStart w:id="83" w:name="_Hlk62107266"/>
    </w:p>
    <w:bookmarkEnd w:id="83"/>
    <w:p w14:paraId="27F9DA3C" w14:textId="0270CC76" w:rsidR="00E36869" w:rsidRPr="008D54A5" w:rsidRDefault="00F66AD2" w:rsidP="00DC45E7">
      <w:pPr>
        <w:pStyle w:val="Heading5"/>
      </w:pPr>
      <w:r w:rsidRPr="008D54A5">
        <w:lastRenderedPageBreak/>
        <w:t>Charity</w:t>
      </w:r>
    </w:p>
    <w:p w14:paraId="39FB930D" w14:textId="6CC4FB86" w:rsidR="0039692A" w:rsidRPr="006E4110" w:rsidRDefault="00F66AD2" w:rsidP="00DC45E7">
      <w:pPr>
        <w:pStyle w:val="BodyText2"/>
        <w:rPr>
          <w:rStyle w:val="Hyperlink"/>
          <w:rFonts w:asciiTheme="majorBidi" w:hAnsiTheme="majorBidi" w:cstheme="majorBidi"/>
          <w:color w:val="auto"/>
          <w:szCs w:val="24"/>
        </w:rPr>
      </w:pPr>
      <w:r w:rsidRPr="008D54A5">
        <w:t xml:space="preserve">Directory of Federally Qualified Health Centers and Look-Alikes from </w:t>
      </w:r>
      <w:r w:rsidR="0001322E" w:rsidRPr="008D54A5">
        <w:t>Health Resources and Services Administration (</w:t>
      </w:r>
      <w:r w:rsidRPr="008D54A5">
        <w:t>HRSA</w:t>
      </w:r>
      <w:r w:rsidR="0001322E" w:rsidRPr="008D54A5">
        <w:t>)</w:t>
      </w:r>
      <w:r w:rsidRPr="008D54A5">
        <w:t xml:space="preserve"> (</w:t>
      </w:r>
      <w:r w:rsidR="007E0BE3" w:rsidRPr="008D54A5">
        <w:t>downloaded</w:t>
      </w:r>
      <w:r w:rsidR="0039692A" w:rsidRPr="008D54A5">
        <w:rPr>
          <w:rStyle w:val="Hyperlink"/>
          <w:color w:val="auto"/>
          <w:szCs w:val="24"/>
          <w:u w:val="none"/>
        </w:rPr>
        <w:t xml:space="preserve"> </w:t>
      </w:r>
      <w:r w:rsidR="0044755B" w:rsidRPr="008D54A5">
        <w:rPr>
          <w:rStyle w:val="Hyperlink"/>
          <w:color w:val="auto"/>
          <w:szCs w:val="24"/>
          <w:u w:val="none"/>
        </w:rPr>
        <w:t>January 24,</w:t>
      </w:r>
      <w:r w:rsidR="0039692A" w:rsidRPr="008D54A5">
        <w:rPr>
          <w:rStyle w:val="Hyperlink"/>
          <w:color w:val="auto"/>
          <w:szCs w:val="24"/>
          <w:u w:val="none"/>
        </w:rPr>
        <w:t xml:space="preserve"> </w:t>
      </w:r>
      <w:proofErr w:type="gramStart"/>
      <w:r w:rsidR="0039692A" w:rsidRPr="008D54A5">
        <w:rPr>
          <w:rStyle w:val="Hyperlink"/>
          <w:color w:val="auto"/>
          <w:szCs w:val="24"/>
          <w:u w:val="none"/>
        </w:rPr>
        <w:t>20</w:t>
      </w:r>
      <w:r w:rsidR="007E0BE3" w:rsidRPr="008D54A5">
        <w:rPr>
          <w:rStyle w:val="Hyperlink"/>
          <w:color w:val="auto"/>
          <w:szCs w:val="24"/>
          <w:u w:val="none"/>
        </w:rPr>
        <w:t>2</w:t>
      </w:r>
      <w:r w:rsidR="0044755B" w:rsidRPr="008D54A5">
        <w:rPr>
          <w:rStyle w:val="Hyperlink"/>
          <w:color w:val="auto"/>
          <w:szCs w:val="24"/>
          <w:u w:val="none"/>
        </w:rPr>
        <w:t>3</w:t>
      </w:r>
      <w:proofErr w:type="gramEnd"/>
      <w:r w:rsidR="00356CD1" w:rsidRPr="008D54A5">
        <w:t xml:space="preserve"> </w:t>
      </w:r>
      <w:r w:rsidR="00164247" w:rsidRPr="008D54A5">
        <w:t xml:space="preserve">from </w:t>
      </w:r>
      <w:r w:rsidR="007E0BE3" w:rsidRPr="008D54A5">
        <w:t>https://data.hrsa.gov/data/download)</w:t>
      </w:r>
      <w:r w:rsidR="00164247" w:rsidRPr="008D54A5">
        <w:rPr>
          <w:rStyle w:val="Hyperlink"/>
          <w:szCs w:val="24"/>
        </w:rPr>
        <w:t>.</w:t>
      </w:r>
      <w:r w:rsidR="00164247" w:rsidRPr="008D54A5">
        <w:rPr>
          <w:rStyle w:val="Hyperlink"/>
          <w:szCs w:val="24"/>
          <w:u w:val="none"/>
        </w:rPr>
        <w:t xml:space="preserve"> </w:t>
      </w:r>
      <w:r w:rsidR="00164247" w:rsidRPr="008D54A5">
        <w:rPr>
          <w:rStyle w:val="Hyperlink"/>
          <w:color w:val="auto"/>
          <w:szCs w:val="24"/>
          <w:u w:val="none"/>
        </w:rPr>
        <w:t>The</w:t>
      </w:r>
      <w:r w:rsidR="00164247" w:rsidRPr="008D54A5">
        <w:rPr>
          <w:rStyle w:val="Hyperlink"/>
          <w:szCs w:val="24"/>
          <w:u w:val="none"/>
        </w:rPr>
        <w:t xml:space="preserve"> </w:t>
      </w:r>
      <w:r w:rsidR="00A24423" w:rsidRPr="008D54A5">
        <w:t xml:space="preserve">specific </w:t>
      </w:r>
      <w:r w:rsidR="0039692A" w:rsidRPr="008D54A5">
        <w:t>file</w:t>
      </w:r>
      <w:r w:rsidR="00A24423" w:rsidRPr="008D54A5">
        <w:rPr>
          <w:rStyle w:val="Hyperlink"/>
          <w:rFonts w:asciiTheme="majorBidi" w:hAnsiTheme="majorBidi" w:cstheme="majorBidi"/>
          <w:szCs w:val="24"/>
          <w:u w:val="none"/>
        </w:rPr>
        <w:t xml:space="preserve"> </w:t>
      </w:r>
      <w:r w:rsidR="00A24423" w:rsidRPr="008D54A5">
        <w:rPr>
          <w:rStyle w:val="Hyperlink"/>
          <w:rFonts w:asciiTheme="majorBidi" w:hAnsiTheme="majorBidi" w:cstheme="majorBidi"/>
          <w:color w:val="auto"/>
          <w:szCs w:val="24"/>
          <w:u w:val="none"/>
        </w:rPr>
        <w:t xml:space="preserve">used is </w:t>
      </w:r>
      <w:r w:rsidR="00356CD1" w:rsidRPr="008D54A5">
        <w:rPr>
          <w:rFonts w:asciiTheme="majorBidi" w:hAnsiTheme="majorBidi" w:cstheme="majorBidi"/>
          <w:shd w:val="clear" w:color="auto" w:fill="FFFFFF"/>
        </w:rPr>
        <w:t>“</w:t>
      </w:r>
      <w:r w:rsidR="0039692A" w:rsidRPr="008D54A5">
        <w:rPr>
          <w:rFonts w:asciiTheme="majorBidi" w:hAnsiTheme="majorBidi" w:cstheme="majorBidi"/>
          <w:shd w:val="clear" w:color="auto" w:fill="FFFFFF"/>
        </w:rPr>
        <w:t>Health Center Service Delivery and Look-Alike Site</w:t>
      </w:r>
      <w:r w:rsidR="00164247" w:rsidRPr="008D54A5">
        <w:rPr>
          <w:rFonts w:asciiTheme="majorBidi" w:hAnsiTheme="majorBidi" w:cstheme="majorBidi"/>
          <w:shd w:val="clear" w:color="auto" w:fill="FFFFFF"/>
        </w:rPr>
        <w:t>s</w:t>
      </w:r>
      <w:r w:rsidR="00A24423" w:rsidRPr="008D54A5">
        <w:rPr>
          <w:rFonts w:asciiTheme="majorBidi" w:hAnsiTheme="majorBidi" w:cstheme="majorBidi"/>
          <w:shd w:val="clear" w:color="auto" w:fill="FFFFFF"/>
        </w:rPr>
        <w:t>.</w:t>
      </w:r>
      <w:r w:rsidR="00356CD1" w:rsidRPr="008D54A5">
        <w:rPr>
          <w:rFonts w:asciiTheme="majorBidi" w:hAnsiTheme="majorBidi" w:cstheme="majorBidi"/>
          <w:shd w:val="clear" w:color="auto" w:fill="FFFFFF"/>
        </w:rPr>
        <w:t>”</w:t>
      </w:r>
    </w:p>
    <w:p w14:paraId="22BDE80A" w14:textId="57138D5B" w:rsidR="0007615A" w:rsidRPr="008D54A5" w:rsidRDefault="00AA4A42" w:rsidP="00DC45E7">
      <w:pPr>
        <w:pStyle w:val="BodyText2"/>
        <w:rPr>
          <w:rStyle w:val="Hyperlink"/>
          <w:szCs w:val="24"/>
        </w:rPr>
      </w:pPr>
      <w:r w:rsidRPr="008D54A5">
        <w:t>C</w:t>
      </w:r>
      <w:r w:rsidR="00367425" w:rsidRPr="008D54A5">
        <w:t>harity clinics f</w:t>
      </w:r>
      <w:r w:rsidR="00060187" w:rsidRPr="008D54A5">
        <w:t>r</w:t>
      </w:r>
      <w:r w:rsidR="00367425" w:rsidRPr="008D54A5">
        <w:t>om the National Association of Free and Charitable Clinics</w:t>
      </w:r>
      <w:r w:rsidR="00713145" w:rsidRPr="008D54A5">
        <w:t xml:space="preserve"> </w:t>
      </w:r>
      <w:r w:rsidR="00F66AD2" w:rsidRPr="008D54A5">
        <w:t xml:space="preserve">(downloaded </w:t>
      </w:r>
      <w:r w:rsidR="00D37914" w:rsidRPr="008D54A5">
        <w:t>May 26</w:t>
      </w:r>
      <w:r w:rsidR="00F66AD2" w:rsidRPr="008D54A5">
        <w:t xml:space="preserve">, </w:t>
      </w:r>
      <w:proofErr w:type="gramStart"/>
      <w:r w:rsidR="00F66AD2" w:rsidRPr="008D54A5">
        <w:t>20</w:t>
      </w:r>
      <w:r w:rsidR="00D37914" w:rsidRPr="008D54A5">
        <w:t>20</w:t>
      </w:r>
      <w:proofErr w:type="gramEnd"/>
      <w:r w:rsidR="00713145" w:rsidRPr="008D54A5">
        <w:t xml:space="preserve"> from </w:t>
      </w:r>
      <w:r w:rsidR="00D37914" w:rsidRPr="008D54A5">
        <w:t>https://www.nafcclinics.org/find-clinic).</w:t>
      </w:r>
      <w:r w:rsidR="00D37914" w:rsidRPr="008D54A5" w:rsidDel="00D37914">
        <w:t xml:space="preserve"> </w:t>
      </w:r>
    </w:p>
    <w:p w14:paraId="6A7B8D9D" w14:textId="03F6F1A5" w:rsidR="0007615A" w:rsidRPr="008D54A5" w:rsidRDefault="0007615A" w:rsidP="00DC45E7">
      <w:pPr>
        <w:pStyle w:val="BodyText2"/>
        <w:rPr>
          <w:rStyle w:val="Hyperlink"/>
          <w:szCs w:val="24"/>
        </w:rPr>
      </w:pPr>
    </w:p>
    <w:p w14:paraId="6ACA060D" w14:textId="77777777" w:rsidR="00E36869" w:rsidRPr="008D54A5" w:rsidRDefault="00F66AD2" w:rsidP="00DC45E7">
      <w:pPr>
        <w:pStyle w:val="Heading5"/>
      </w:pPr>
      <w:r w:rsidRPr="008D54A5">
        <w:t>Military</w:t>
      </w:r>
    </w:p>
    <w:p w14:paraId="66800CDA" w14:textId="769938A3" w:rsidR="0007615A" w:rsidRPr="008D54A5" w:rsidRDefault="00F66AD2" w:rsidP="00DC45E7">
      <w:pPr>
        <w:pStyle w:val="BodyText2"/>
        <w:rPr>
          <w:rStyle w:val="Hyperlink"/>
          <w:szCs w:val="24"/>
        </w:rPr>
      </w:pPr>
      <w:r w:rsidRPr="008D54A5">
        <w:t>TRICARE medical treatment fac</w:t>
      </w:r>
      <w:r w:rsidR="0007615A" w:rsidRPr="008D54A5">
        <w:t xml:space="preserve">ilities (downloaded </w:t>
      </w:r>
      <w:r w:rsidR="00B0786C" w:rsidRPr="008D54A5">
        <w:t>January 24</w:t>
      </w:r>
      <w:r w:rsidR="00D37914" w:rsidRPr="008D54A5">
        <w:t xml:space="preserve">, </w:t>
      </w:r>
      <w:proofErr w:type="gramStart"/>
      <w:r w:rsidR="00D37914" w:rsidRPr="008D54A5">
        <w:t>202</w:t>
      </w:r>
      <w:r w:rsidR="00B0786C" w:rsidRPr="008D54A5">
        <w:t>3</w:t>
      </w:r>
      <w:proofErr w:type="gramEnd"/>
      <w:r w:rsidR="00D37914" w:rsidRPr="008D54A5">
        <w:t xml:space="preserve"> </w:t>
      </w:r>
      <w:r w:rsidR="00713145" w:rsidRPr="008D54A5">
        <w:t xml:space="preserve">from </w:t>
      </w:r>
      <w:r w:rsidR="00D37914" w:rsidRPr="008D54A5">
        <w:t>https://www.tricare.mil/FindDoctor/mtf?country=-18&amp;pageNo=1&amp;pageSize=5&amp;view=map).</w:t>
      </w:r>
      <w:r w:rsidR="00D37914" w:rsidRPr="008D54A5" w:rsidDel="00D37914">
        <w:t xml:space="preserve"> </w:t>
      </w:r>
    </w:p>
    <w:p w14:paraId="5BF40DEC" w14:textId="2E45A126" w:rsidR="00E36869" w:rsidRPr="008D54A5" w:rsidRDefault="00E36869" w:rsidP="00DC45E7">
      <w:pPr>
        <w:pStyle w:val="Heading5"/>
      </w:pPr>
      <w:r w:rsidRPr="008D54A5">
        <w:t>V</w:t>
      </w:r>
      <w:r w:rsidR="0007615A" w:rsidRPr="008D54A5">
        <w:t>A</w:t>
      </w:r>
    </w:p>
    <w:p w14:paraId="5979E53B" w14:textId="0AED072C" w:rsidR="00443422" w:rsidRPr="008D54A5" w:rsidRDefault="00367425" w:rsidP="00DC45E7">
      <w:pPr>
        <w:pStyle w:val="BodyText2"/>
      </w:pPr>
      <w:bookmarkStart w:id="84" w:name="_Hlk62107286"/>
      <w:r w:rsidRPr="008D54A5">
        <w:t>VA facilities</w:t>
      </w:r>
      <w:r w:rsidR="00AA4A42" w:rsidRPr="008D54A5">
        <w:t xml:space="preserve"> </w:t>
      </w:r>
      <w:r w:rsidR="00A34891" w:rsidRPr="008D54A5">
        <w:t>(downloa</w:t>
      </w:r>
      <w:r w:rsidR="00EC4194" w:rsidRPr="008D54A5">
        <w:t>d</w:t>
      </w:r>
      <w:r w:rsidR="00A34891" w:rsidRPr="008D54A5">
        <w:t xml:space="preserve">ed </w:t>
      </w:r>
      <w:r w:rsidR="00B0786C" w:rsidRPr="008D54A5">
        <w:t>January 24</w:t>
      </w:r>
      <w:r w:rsidR="00A34891" w:rsidRPr="008D54A5">
        <w:t>, 202</w:t>
      </w:r>
      <w:r w:rsidR="00B0786C" w:rsidRPr="008D54A5">
        <w:t>3</w:t>
      </w:r>
      <w:r w:rsidR="00A34891" w:rsidRPr="008D54A5">
        <w:t xml:space="preserve">) from </w:t>
      </w:r>
      <w:r w:rsidR="00EC4194" w:rsidRPr="008D54A5">
        <w:t xml:space="preserve">https://www.va.gov/directory/guide/rpt_fac_list.cfm </w:t>
      </w:r>
    </w:p>
    <w:bookmarkEnd w:id="84"/>
    <w:p w14:paraId="345BE0B3" w14:textId="16AD9478" w:rsidR="00443422" w:rsidRPr="008D54A5" w:rsidRDefault="00EC4194" w:rsidP="00C035D2">
      <w:pPr>
        <w:pStyle w:val="BodyText"/>
      </w:pPr>
      <w:r w:rsidRPr="008D54A5">
        <w:t xml:space="preserve">Providers that were determined to be one of the four types in a prior MPC cycle were kept on the list. </w:t>
      </w:r>
      <w:r w:rsidR="00367425" w:rsidRPr="008D54A5">
        <w:t xml:space="preserve">These lists </w:t>
      </w:r>
      <w:r w:rsidR="00A516E2" w:rsidRPr="008D54A5">
        <w:t>a</w:t>
      </w:r>
      <w:r w:rsidR="00367425" w:rsidRPr="008D54A5">
        <w:t>re matched to the MPC sample providers to determine whether each sample provider c</w:t>
      </w:r>
      <w:r w:rsidR="00A516E2" w:rsidRPr="008D54A5">
        <w:t>an</w:t>
      </w:r>
      <w:r w:rsidR="00367425" w:rsidRPr="008D54A5">
        <w:t xml:space="preserve"> be classified into any of the four categories. Matching on telephone number and </w:t>
      </w:r>
      <w:r w:rsidR="00AA4A42" w:rsidRPr="008D54A5">
        <w:t>text</w:t>
      </w:r>
      <w:r w:rsidR="00367425" w:rsidRPr="008D54A5">
        <w:t xml:space="preserve"> matching of names and addresses </w:t>
      </w:r>
      <w:r w:rsidR="00A516E2" w:rsidRPr="008D54A5">
        <w:t>is</w:t>
      </w:r>
      <w:r w:rsidR="00403A50" w:rsidRPr="008D54A5">
        <w:t xml:space="preserve"> </w:t>
      </w:r>
      <w:r w:rsidR="00367425" w:rsidRPr="008D54A5">
        <w:t xml:space="preserve">used to initially classify MPC providers for each indicator, followed by a manual review. </w:t>
      </w:r>
      <w:r w:rsidR="00F66AD2" w:rsidRPr="008D54A5">
        <w:t xml:space="preserve">Searches in the </w:t>
      </w:r>
      <w:proofErr w:type="gramStart"/>
      <w:r w:rsidR="00F66AD2" w:rsidRPr="008D54A5">
        <w:t>provider</w:t>
      </w:r>
      <w:proofErr w:type="gramEnd"/>
      <w:r w:rsidR="00F66AD2" w:rsidRPr="008D54A5">
        <w:t xml:space="preserve"> name for strings such as </w:t>
      </w:r>
      <w:r w:rsidR="00356CD1" w:rsidRPr="008D54A5">
        <w:t>“</w:t>
      </w:r>
      <w:r w:rsidR="00F66AD2" w:rsidRPr="008D54A5">
        <w:t>VA</w:t>
      </w:r>
      <w:r w:rsidR="00356CD1" w:rsidRPr="008D54A5">
        <w:t>”</w:t>
      </w:r>
      <w:r w:rsidR="00F66AD2" w:rsidRPr="008D54A5">
        <w:t xml:space="preserve"> (where the</w:t>
      </w:r>
      <w:r w:rsidR="00443422" w:rsidRPr="008D54A5">
        <w:t xml:space="preserve"> </w:t>
      </w:r>
      <w:r w:rsidR="008F36B4" w:rsidRPr="008D54A5">
        <w:t>S</w:t>
      </w:r>
      <w:r w:rsidR="00F66AD2" w:rsidRPr="008D54A5">
        <w:t xml:space="preserve">tate </w:t>
      </w:r>
      <w:r w:rsidR="00A516E2" w:rsidRPr="008D54A5">
        <w:t>i</w:t>
      </w:r>
      <w:r w:rsidR="00F66AD2" w:rsidRPr="008D54A5">
        <w:t>s not Virginia</w:t>
      </w:r>
      <w:r w:rsidR="00A516E2" w:rsidRPr="008D54A5">
        <w:t>)</w:t>
      </w:r>
      <w:r w:rsidR="00F66AD2" w:rsidRPr="008D54A5">
        <w:t xml:space="preserve">, </w:t>
      </w:r>
      <w:r w:rsidR="00356CD1" w:rsidRPr="008D54A5">
        <w:t>“</w:t>
      </w:r>
      <w:r w:rsidR="00F66AD2" w:rsidRPr="008D54A5">
        <w:t>Veteran</w:t>
      </w:r>
      <w:r w:rsidR="00F40678" w:rsidRPr="008D54A5">
        <w:t>,”</w:t>
      </w:r>
      <w:r w:rsidR="00F66AD2" w:rsidRPr="008D54A5">
        <w:t xml:space="preserve"> </w:t>
      </w:r>
      <w:r w:rsidR="003D250A" w:rsidRPr="008D54A5">
        <w:t>“</w:t>
      </w:r>
      <w:r w:rsidR="00F66AD2" w:rsidRPr="008D54A5">
        <w:t>CBOC</w:t>
      </w:r>
      <w:r w:rsidR="00F40678" w:rsidRPr="008D54A5">
        <w:t>”</w:t>
      </w:r>
      <w:r w:rsidR="004123DE" w:rsidRPr="008D54A5">
        <w:t xml:space="preserve"> (Community-based Outpatient</w:t>
      </w:r>
      <w:r w:rsidR="00F66AD2" w:rsidRPr="008D54A5">
        <w:t xml:space="preserve"> </w:t>
      </w:r>
      <w:r w:rsidR="004123DE" w:rsidRPr="008D54A5">
        <w:t xml:space="preserve">Clinic), </w:t>
      </w:r>
      <w:r w:rsidR="00F66AD2" w:rsidRPr="008D54A5">
        <w:t xml:space="preserve">and similar text strings </w:t>
      </w:r>
      <w:r w:rsidR="00A516E2" w:rsidRPr="008D54A5">
        <w:t>a</w:t>
      </w:r>
      <w:r w:rsidR="00F66AD2" w:rsidRPr="008D54A5">
        <w:t>re used to identify additional VA facilities among the MPC providers.</w:t>
      </w:r>
    </w:p>
    <w:p w14:paraId="32CF8F81" w14:textId="49D97831" w:rsidR="00277C34" w:rsidRPr="008D54A5" w:rsidRDefault="00F66AD2" w:rsidP="00F21444">
      <w:pPr>
        <w:pStyle w:val="BodyText"/>
      </w:pPr>
      <w:r w:rsidRPr="008D54A5">
        <w:t>The MPC data</w:t>
      </w:r>
      <w:r w:rsidR="00F92392" w:rsidRPr="008D54A5">
        <w:t xml:space="preserve"> are</w:t>
      </w:r>
      <w:r w:rsidR="002E12DB" w:rsidRPr="008D54A5">
        <w:t xml:space="preserve"> </w:t>
      </w:r>
      <w:r w:rsidRPr="008D54A5">
        <w:t xml:space="preserve">also used as a source for identifying these types of providers. Proportions of the events for each provider that reported </w:t>
      </w:r>
      <w:r w:rsidR="008C215E" w:rsidRPr="008D54A5">
        <w:t>SOP</w:t>
      </w:r>
      <w:r w:rsidRPr="008D54A5">
        <w:t xml:space="preserve"> as Indian Health, </w:t>
      </w:r>
      <w:r w:rsidR="00EC4194" w:rsidRPr="008D54A5">
        <w:t xml:space="preserve">sliding scale or </w:t>
      </w:r>
      <w:r w:rsidR="00F92392" w:rsidRPr="008D54A5">
        <w:t xml:space="preserve">charity, military, </w:t>
      </w:r>
      <w:r w:rsidRPr="008D54A5">
        <w:t xml:space="preserve">and VA </w:t>
      </w:r>
      <w:r w:rsidR="002E12DB" w:rsidRPr="008D54A5">
        <w:t>are</w:t>
      </w:r>
      <w:r w:rsidRPr="008D54A5">
        <w:t xml:space="preserve"> computed. If more than </w:t>
      </w:r>
      <w:r w:rsidR="00990C2B" w:rsidRPr="008D54A5">
        <w:t>half</w:t>
      </w:r>
      <w:r w:rsidRPr="008D54A5">
        <w:t xml:space="preserve"> of the events for a provider ha</w:t>
      </w:r>
      <w:r w:rsidR="002E12DB" w:rsidRPr="008D54A5">
        <w:t>ve</w:t>
      </w:r>
      <w:r w:rsidRPr="008D54A5">
        <w:t xml:space="preserve"> one of these </w:t>
      </w:r>
      <w:r w:rsidR="008C215E" w:rsidRPr="008D54A5">
        <w:t>SOP</w:t>
      </w:r>
      <w:r w:rsidRPr="008D54A5">
        <w:t xml:space="preserve"> checked, but the provider </w:t>
      </w:r>
      <w:r w:rsidR="002E12DB" w:rsidRPr="008D54A5">
        <w:t>is</w:t>
      </w:r>
      <w:r w:rsidRPr="008D54A5">
        <w:t xml:space="preserve"> not classified as such, then the provider</w:t>
      </w:r>
      <w:r w:rsidR="004256B8" w:rsidRPr="008D54A5">
        <w:t>’s</w:t>
      </w:r>
      <w:r w:rsidRPr="008D54A5">
        <w:t xml:space="preserve"> name and address </w:t>
      </w:r>
      <w:r w:rsidR="00A516E2" w:rsidRPr="008D54A5">
        <w:t>are</w:t>
      </w:r>
      <w:r w:rsidRPr="008D54A5">
        <w:t xml:space="preserve"> printed and examined </w:t>
      </w:r>
      <w:r w:rsidR="003421DA" w:rsidRPr="008D54A5">
        <w:t xml:space="preserve">using </w:t>
      </w:r>
      <w:r w:rsidR="00713145" w:rsidRPr="008D54A5">
        <w:t>I</w:t>
      </w:r>
      <w:r w:rsidR="003421DA" w:rsidRPr="008D54A5">
        <w:t>nternet searches</w:t>
      </w:r>
      <w:r w:rsidR="0091743C" w:rsidRPr="008D54A5">
        <w:t xml:space="preserve"> </w:t>
      </w:r>
      <w:r w:rsidRPr="008D54A5">
        <w:t>for possible addition to the master list and reclassification.</w:t>
      </w:r>
      <w:r w:rsidR="00D2316A" w:rsidRPr="008D54A5">
        <w:t xml:space="preserve"> Sensitivity analysis has not been done on the 50</w:t>
      </w:r>
      <w:r w:rsidR="008F36B4" w:rsidRPr="008D54A5">
        <w:t xml:space="preserve"> percent</w:t>
      </w:r>
      <w:r w:rsidR="00D2316A" w:rsidRPr="008D54A5">
        <w:t xml:space="preserve"> threshold. However, most of the providers flagged by this rule are not </w:t>
      </w:r>
      <w:r w:rsidR="00713145" w:rsidRPr="008D54A5">
        <w:t xml:space="preserve">Indian Health, </w:t>
      </w:r>
      <w:r w:rsidR="00D2316A" w:rsidRPr="008D54A5">
        <w:t xml:space="preserve">charity, military, </w:t>
      </w:r>
      <w:r w:rsidR="00713145" w:rsidRPr="008D54A5">
        <w:t xml:space="preserve">or </w:t>
      </w:r>
      <w:r w:rsidR="00D2316A" w:rsidRPr="008D54A5">
        <w:t xml:space="preserve">VA and </w:t>
      </w:r>
      <w:r w:rsidR="000B75E0" w:rsidRPr="008D54A5">
        <w:t xml:space="preserve">the </w:t>
      </w:r>
      <w:r w:rsidR="0044303B" w:rsidRPr="008D54A5">
        <w:t xml:space="preserve">level of effort </w:t>
      </w:r>
      <w:r w:rsidR="00D2316A" w:rsidRPr="008D54A5">
        <w:t xml:space="preserve">required for the review is </w:t>
      </w:r>
      <w:r w:rsidR="005E1D82" w:rsidRPr="008D54A5">
        <w:t>low</w:t>
      </w:r>
      <w:r w:rsidR="00D2316A" w:rsidRPr="008D54A5">
        <w:t>.</w:t>
      </w:r>
    </w:p>
    <w:p w14:paraId="6617EC2F" w14:textId="2DFBF473" w:rsidR="00971B60" w:rsidRPr="008D54A5" w:rsidRDefault="0044755B" w:rsidP="00DC45E7">
      <w:pPr>
        <w:pStyle w:val="BodyText"/>
        <w:rPr>
          <w:szCs w:val="24"/>
        </w:rPr>
      </w:pPr>
      <w:bookmarkStart w:id="85" w:name="_Hlk84513028"/>
      <w:r w:rsidRPr="008D54A5">
        <w:t xml:space="preserve">Beginning with </w:t>
      </w:r>
      <w:r w:rsidR="00D20E97" w:rsidRPr="008D54A5">
        <w:t xml:space="preserve">the </w:t>
      </w:r>
      <w:r w:rsidR="00585BD6" w:rsidRPr="008D54A5">
        <w:t>202</w:t>
      </w:r>
      <w:r w:rsidR="00D20E97" w:rsidRPr="008D54A5">
        <w:t>0</w:t>
      </w:r>
      <w:r w:rsidR="00585BD6" w:rsidRPr="008D54A5">
        <w:t xml:space="preserve"> MPC, RTI </w:t>
      </w:r>
      <w:r w:rsidR="00174D00" w:rsidRPr="008D54A5">
        <w:t>examined providers</w:t>
      </w:r>
      <w:r w:rsidR="00585BD6" w:rsidRPr="008D54A5">
        <w:t xml:space="preserve"> that are not classified as one of the four types </w:t>
      </w:r>
      <w:proofErr w:type="gramStart"/>
      <w:r w:rsidR="00585BD6" w:rsidRPr="008D54A5">
        <w:t>and also</w:t>
      </w:r>
      <w:proofErr w:type="gramEnd"/>
      <w:r w:rsidR="00585BD6" w:rsidRPr="008D54A5">
        <w:t xml:space="preserve"> contain “County” or “District” in the provider</w:t>
      </w:r>
      <w:r w:rsidR="004256B8" w:rsidRPr="008D54A5">
        <w:t>’s</w:t>
      </w:r>
      <w:r w:rsidR="00585BD6" w:rsidRPr="008D54A5">
        <w:t xml:space="preserve"> name to determine if any should be reclassified as CHARITY. </w:t>
      </w:r>
      <w:r w:rsidR="003F34F0" w:rsidRPr="008D54A5">
        <w:t>Similarly, providers with these text strings in the provider</w:t>
      </w:r>
      <w:r w:rsidR="004256B8" w:rsidRPr="008D54A5">
        <w:t>’s</w:t>
      </w:r>
      <w:r w:rsidR="003F34F0" w:rsidRPr="008D54A5">
        <w:t xml:space="preserve"> name will be examined for the </w:t>
      </w:r>
      <w:r w:rsidR="00C17F90" w:rsidRPr="008D54A5">
        <w:t>202</w:t>
      </w:r>
      <w:r w:rsidR="00C17F90">
        <w:t>3</w:t>
      </w:r>
      <w:r w:rsidR="003F34F0" w:rsidRPr="008D54A5">
        <w:t xml:space="preserve"> MPC and coded as “CHARITY” if this is appropriate.</w:t>
      </w:r>
      <w:r w:rsidR="003543ED" w:rsidRPr="008D54A5">
        <w:t xml:space="preserve"> </w:t>
      </w:r>
      <w:r w:rsidR="002B15E6">
        <w:t>In addition, beginning with</w:t>
      </w:r>
      <w:r w:rsidR="002B15E6" w:rsidRPr="008D54A5">
        <w:t xml:space="preserve"> </w:t>
      </w:r>
      <w:r w:rsidR="00971B60" w:rsidRPr="008D54A5">
        <w:t xml:space="preserve">the 2022 MPC, </w:t>
      </w:r>
      <w:r w:rsidR="005F791D" w:rsidRPr="008D54A5">
        <w:t>RTI</w:t>
      </w:r>
      <w:r w:rsidR="00971B60" w:rsidRPr="008D54A5">
        <w:t xml:space="preserve"> use</w:t>
      </w:r>
      <w:r w:rsidR="00B240E6" w:rsidRPr="008D54A5">
        <w:t>d</w:t>
      </w:r>
      <w:r w:rsidR="00971B60" w:rsidRPr="008D54A5">
        <w:t xml:space="preserve"> the hospital ownership field of the Centers for Medicare and Medicaid Services Hospital General Information </w:t>
      </w:r>
      <w:r w:rsidR="00971B60" w:rsidRPr="008D54A5">
        <w:rPr>
          <w:szCs w:val="24"/>
        </w:rPr>
        <w:t>file (</w:t>
      </w:r>
      <w:hyperlink r:id="rId21" w:history="1">
        <w:r w:rsidR="00971B60" w:rsidRPr="008D54A5">
          <w:rPr>
            <w:rStyle w:val="Hyperlink"/>
            <w:szCs w:val="24"/>
          </w:rPr>
          <w:t>https://data.cms.gov/provider-data/dataset/xubh-q36u</w:t>
        </w:r>
      </w:hyperlink>
      <w:r w:rsidR="00971B60" w:rsidRPr="008D54A5">
        <w:rPr>
          <w:color w:val="0563C1"/>
          <w:szCs w:val="24"/>
          <w:u w:val="single"/>
        </w:rPr>
        <w:t>)</w:t>
      </w:r>
      <w:r w:rsidR="00B240E6" w:rsidRPr="008D54A5">
        <w:rPr>
          <w:color w:val="0563C1"/>
          <w:szCs w:val="24"/>
          <w:u w:val="single"/>
        </w:rPr>
        <w:t xml:space="preserve"> as a preliminary indicator of</w:t>
      </w:r>
      <w:r w:rsidRPr="008D54A5">
        <w:rPr>
          <w:color w:val="0563C1"/>
          <w:szCs w:val="24"/>
          <w:u w:val="single"/>
        </w:rPr>
        <w:t xml:space="preserve"> </w:t>
      </w:r>
      <w:r w:rsidR="00F70D53" w:rsidRPr="008D54A5">
        <w:rPr>
          <w:color w:val="0563C1"/>
          <w:szCs w:val="24"/>
          <w:u w:val="single"/>
        </w:rPr>
        <w:t>government ownership</w:t>
      </w:r>
      <w:r w:rsidR="00971B60" w:rsidRPr="008D54A5">
        <w:rPr>
          <w:color w:val="0563C1"/>
          <w:szCs w:val="24"/>
          <w:u w:val="single"/>
        </w:rPr>
        <w:t>.</w:t>
      </w:r>
    </w:p>
    <w:bookmarkEnd w:id="85"/>
    <w:p w14:paraId="546FFC96" w14:textId="1C576EAE" w:rsidR="00FB5D03" w:rsidRPr="008D54A5" w:rsidRDefault="00172FFB" w:rsidP="00F21444">
      <w:pPr>
        <w:pStyle w:val="BodyText"/>
      </w:pPr>
      <w:r w:rsidRPr="008D54A5">
        <w:lastRenderedPageBreak/>
        <w:t>If</w:t>
      </w:r>
      <w:r w:rsidR="00FB5D03" w:rsidRPr="008D54A5">
        <w:t xml:space="preserve"> a provider is identified as one of the four types</w:t>
      </w:r>
      <w:r w:rsidR="0043256F" w:rsidRPr="008D54A5">
        <w:t>,</w:t>
      </w:r>
      <w:r w:rsidR="00FB5D03" w:rsidRPr="008D54A5">
        <w:t xml:space="preserve"> then it is added to a </w:t>
      </w:r>
      <w:r w:rsidR="00FD68F0" w:rsidRPr="008D54A5">
        <w:t xml:space="preserve">historical </w:t>
      </w:r>
      <w:r w:rsidR="00FB5D03" w:rsidRPr="008D54A5">
        <w:t xml:space="preserve">list that is maintained from year to year. </w:t>
      </w:r>
    </w:p>
    <w:p w14:paraId="613DDD47" w14:textId="78BAAB20" w:rsidR="004256B8" w:rsidRPr="008D54A5" w:rsidRDefault="004256B8" w:rsidP="00F21444">
      <w:pPr>
        <w:pStyle w:val="BodyText"/>
      </w:pPr>
      <w:r w:rsidRPr="008D54A5">
        <w:t xml:space="preserve">The master lists </w:t>
      </w:r>
      <w:r w:rsidR="00A4439D" w:rsidRPr="008D54A5">
        <w:t>of the four types of providers</w:t>
      </w:r>
      <w:r w:rsidR="00F747C1" w:rsidRPr="008D54A5">
        <w:t xml:space="preserve"> </w:t>
      </w:r>
      <w:r w:rsidR="00F70D53" w:rsidRPr="008D54A5">
        <w:t>were</w:t>
      </w:r>
      <w:r w:rsidR="00F747C1" w:rsidRPr="008D54A5">
        <w:t xml:space="preserve"> </w:t>
      </w:r>
      <w:r w:rsidR="00F70D53" w:rsidRPr="008D54A5">
        <w:t xml:space="preserve">last </w:t>
      </w:r>
      <w:r w:rsidR="00F747C1" w:rsidRPr="008D54A5">
        <w:t>updated for the 202</w:t>
      </w:r>
      <w:r w:rsidR="0044755B" w:rsidRPr="008D54A5">
        <w:t>2</w:t>
      </w:r>
      <w:r w:rsidR="00F747C1" w:rsidRPr="008D54A5">
        <w:t xml:space="preserve"> </w:t>
      </w:r>
      <w:proofErr w:type="gramStart"/>
      <w:r w:rsidR="00F747C1" w:rsidRPr="008D54A5">
        <w:t xml:space="preserve">MPC </w:t>
      </w:r>
      <w:r w:rsidR="009E7615" w:rsidRPr="008D54A5">
        <w:t>.</w:t>
      </w:r>
      <w:proofErr w:type="gramEnd"/>
      <w:r w:rsidRPr="008D54A5">
        <w:t xml:space="preserve"> </w:t>
      </w:r>
      <w:r w:rsidR="006C6416" w:rsidRPr="008D54A5">
        <w:t>For the 2022 MPC, RTI</w:t>
      </w:r>
      <w:r w:rsidR="00F70D53" w:rsidRPr="008D54A5">
        <w:t xml:space="preserve"> suggest</w:t>
      </w:r>
      <w:r w:rsidR="003543ED" w:rsidRPr="008D54A5">
        <w:t>s</w:t>
      </w:r>
      <w:r w:rsidR="00F70D53" w:rsidRPr="008D54A5">
        <w:t xml:space="preserve"> appending</w:t>
      </w:r>
      <w:r w:rsidR="0033157C" w:rsidRPr="008D54A5">
        <w:t xml:space="preserve"> the current military lists </w:t>
      </w:r>
      <w:r w:rsidR="00B240E6" w:rsidRPr="008D54A5">
        <w:t xml:space="preserve">with the </w:t>
      </w:r>
      <w:r w:rsidR="0033157C" w:rsidRPr="008D54A5">
        <w:t xml:space="preserve">new </w:t>
      </w:r>
      <w:r w:rsidR="00F70D53" w:rsidRPr="008D54A5">
        <w:t xml:space="preserve">names and addresses of </w:t>
      </w:r>
      <w:r w:rsidR="0044755B" w:rsidRPr="008D54A5">
        <w:t xml:space="preserve">the nine </w:t>
      </w:r>
      <w:r w:rsidR="00F70D53" w:rsidRPr="008D54A5">
        <w:t xml:space="preserve">military bases </w:t>
      </w:r>
      <w:r w:rsidR="006C6416" w:rsidRPr="008D54A5">
        <w:t>that</w:t>
      </w:r>
      <w:r w:rsidR="0044755B" w:rsidRPr="008D54A5">
        <w:t xml:space="preserve"> were renamed</w:t>
      </w:r>
      <w:r w:rsidR="006C6416" w:rsidRPr="008D54A5">
        <w:t xml:space="preserve"> </w:t>
      </w:r>
      <w:r w:rsidR="0044755B" w:rsidRPr="008D54A5">
        <w:t>during 2023.</w:t>
      </w:r>
    </w:p>
    <w:p w14:paraId="35DAB2F1" w14:textId="236AC4B1" w:rsidR="002A15A4" w:rsidRPr="008D54A5" w:rsidRDefault="002A15A4" w:rsidP="002A15A4">
      <w:pPr>
        <w:pStyle w:val="Heading2"/>
      </w:pPr>
      <w:bookmarkStart w:id="86" w:name="_Toc127287278"/>
      <w:bookmarkStart w:id="87" w:name="_Toc160529604"/>
      <w:bookmarkStart w:id="88" w:name="_Toc189128091"/>
      <w:r w:rsidRPr="008D54A5">
        <w:t>Mapping of ICD-10 Codes to CCSR Codes</w:t>
      </w:r>
      <w:bookmarkEnd w:id="86"/>
      <w:bookmarkEnd w:id="87"/>
      <w:bookmarkEnd w:id="88"/>
    </w:p>
    <w:p w14:paraId="66BB9098" w14:textId="60A2471D" w:rsidR="002A15A4" w:rsidRPr="008D54A5" w:rsidRDefault="002A15A4" w:rsidP="00B4238F">
      <w:pPr>
        <w:pStyle w:val="BodyText"/>
      </w:pPr>
      <w:r w:rsidRPr="008D54A5">
        <w:t>RTI maps the ICD-10 codes into CCSR codes, using</w:t>
      </w:r>
      <w:r w:rsidR="001B3C17" w:rsidRPr="008D54A5">
        <w:t xml:space="preserve"> </w:t>
      </w:r>
      <w:r w:rsidRPr="008D54A5">
        <w:t>the mapping from the Healthcare Cost and Utilization Project (HCUP) website</w:t>
      </w:r>
      <w:r w:rsidR="00C265A6" w:rsidRPr="008D54A5">
        <w:t>, and these CCSR codes are then mapped into CCSRMATCH code for use in the matching.</w:t>
      </w:r>
      <w:r w:rsidRPr="008D54A5">
        <w:t xml:space="preserve"> The </w:t>
      </w:r>
      <w:r w:rsidR="0046661C" w:rsidRPr="008D54A5">
        <w:t>December</w:t>
      </w:r>
      <w:r w:rsidR="000227F2" w:rsidRPr="008D54A5">
        <w:t xml:space="preserve"> 202</w:t>
      </w:r>
      <w:r w:rsidR="0044755B" w:rsidRPr="008D54A5">
        <w:t>2</w:t>
      </w:r>
      <w:r w:rsidR="00401569" w:rsidRPr="008D54A5">
        <w:t xml:space="preserve"> (V202</w:t>
      </w:r>
      <w:r w:rsidR="0044755B" w:rsidRPr="008D54A5">
        <w:t>3</w:t>
      </w:r>
      <w:r w:rsidR="00401569" w:rsidRPr="008D54A5">
        <w:t>.</w:t>
      </w:r>
      <w:r w:rsidR="000227F2" w:rsidRPr="008D54A5">
        <w:t>1</w:t>
      </w:r>
      <w:r w:rsidR="00401569" w:rsidRPr="008D54A5">
        <w:t>)</w:t>
      </w:r>
      <w:r w:rsidRPr="008D54A5">
        <w:t xml:space="preserve"> version of the mapping was used for the 20</w:t>
      </w:r>
      <w:r w:rsidR="00401569" w:rsidRPr="008D54A5">
        <w:t>2</w:t>
      </w:r>
      <w:r w:rsidR="0044755B" w:rsidRPr="008D54A5">
        <w:t>2</w:t>
      </w:r>
      <w:r w:rsidRPr="008D54A5">
        <w:t xml:space="preserve"> MPC files. Sometimes partial ICD-10 codes are collected in the MPC. To be considered a “partial” ICD-10 code, the code must be a minimum of 3 characters and</w:t>
      </w:r>
      <w:r w:rsidR="00190913" w:rsidRPr="008D54A5">
        <w:t>/or</w:t>
      </w:r>
      <w:r w:rsidRPr="008D54A5">
        <w:t xml:space="preserve"> digits</w:t>
      </w:r>
      <w:r w:rsidR="00F56D51" w:rsidRPr="008D54A5">
        <w:t xml:space="preserve"> and</w:t>
      </w:r>
      <w:r w:rsidRPr="008D54A5">
        <w:t xml:space="preserve"> match the beginning characters of a complete ICD-10 code. During the 2019 MPC, RTI and AHRQ worked together to develop rules and an algorithm for mapping partial ICD-10 codes into CCSR codes. </w:t>
      </w:r>
    </w:p>
    <w:p w14:paraId="20BEA3A6" w14:textId="2FE17E21" w:rsidR="00B243F9" w:rsidRPr="008D54A5" w:rsidRDefault="00B243F9" w:rsidP="00B243F9">
      <w:pPr>
        <w:pStyle w:val="Heading2"/>
      </w:pPr>
      <w:bookmarkStart w:id="89" w:name="_Toc127287279"/>
      <w:bookmarkStart w:id="90" w:name="_Toc160529605"/>
      <w:bookmarkStart w:id="91" w:name="_Toc189128092"/>
      <w:r w:rsidRPr="008D54A5">
        <w:t xml:space="preserve">Data </w:t>
      </w:r>
      <w:r w:rsidR="00DC45E7" w:rsidRPr="008D54A5">
        <w:t>P</w:t>
      </w:r>
      <w:r w:rsidRPr="008D54A5">
        <w:t>rovided by the Department of Veterans Affairs</w:t>
      </w:r>
      <w:bookmarkEnd w:id="89"/>
      <w:bookmarkEnd w:id="90"/>
      <w:bookmarkEnd w:id="91"/>
    </w:p>
    <w:p w14:paraId="5E3F290B" w14:textId="29DF40E5" w:rsidR="0067274B" w:rsidRPr="008D54A5" w:rsidRDefault="0067274B" w:rsidP="00DC45E7">
      <w:pPr>
        <w:pStyle w:val="BodyText"/>
      </w:pPr>
      <w:r w:rsidRPr="008D54A5">
        <w:t>Pharmacy and Hospital pairs in the sample where the provider was identified as a Veterans Affairs (VA) provider were sent to AHRQ who requested the charges and utilization data for the pairs from the VA. RTI incorporated the VA events with the data for the non-VA Hospital and Pharmacy pairs that were collected in Blaise.</w:t>
      </w:r>
      <w:r w:rsidR="004E1824" w:rsidRPr="008D54A5">
        <w:t xml:space="preserve"> </w:t>
      </w:r>
    </w:p>
    <w:p w14:paraId="21A3BCE3" w14:textId="0BFDE6EF" w:rsidR="0067274B" w:rsidRPr="008D54A5" w:rsidRDefault="0067274B" w:rsidP="00DC45E7">
      <w:pPr>
        <w:pStyle w:val="BodyText"/>
      </w:pPr>
      <w:r w:rsidRPr="008D54A5">
        <w:t xml:space="preserve">Prior to incorporating the VA data with the MPC data from Blaise, RTI and AHRQ examined the </w:t>
      </w:r>
      <w:r w:rsidR="007A475B">
        <w:t>H</w:t>
      </w:r>
      <w:r w:rsidRPr="008D54A5">
        <w:t xml:space="preserve">ospital and </w:t>
      </w:r>
      <w:r w:rsidR="007A475B">
        <w:t>P</w:t>
      </w:r>
      <w:r w:rsidRPr="008D54A5">
        <w:t>harmacy data for duplicate events</w:t>
      </w:r>
      <w:r w:rsidR="00566061" w:rsidRPr="008D54A5">
        <w:t xml:space="preserve"> or other anomalies</w:t>
      </w:r>
      <w:r w:rsidR="002107CF" w:rsidRPr="008D54A5">
        <w:t xml:space="preserve"> such as zero or negative quantities</w:t>
      </w:r>
      <w:r w:rsidR="00566061" w:rsidRPr="008D54A5">
        <w:t>.</w:t>
      </w:r>
      <w:r w:rsidRPr="008D54A5">
        <w:t xml:space="preserve"> In total, the VA provided </w:t>
      </w:r>
      <w:r w:rsidR="0046661C" w:rsidRPr="008D54A5">
        <w:t>10,816</w:t>
      </w:r>
      <w:r w:rsidRPr="008D54A5">
        <w:t xml:space="preserve"> Pharmacy events of which </w:t>
      </w:r>
      <w:r w:rsidR="0046661C" w:rsidRPr="008D54A5">
        <w:t>10,802</w:t>
      </w:r>
      <w:r w:rsidRPr="008D54A5">
        <w:t xml:space="preserve"> were retained and combined with the MPC-collected Pharmacy data, and </w:t>
      </w:r>
      <w:r w:rsidR="0046661C" w:rsidRPr="008D54A5">
        <w:t>7,379</w:t>
      </w:r>
      <w:r w:rsidRPr="008D54A5">
        <w:t xml:space="preserve">Hospital events of which </w:t>
      </w:r>
      <w:r w:rsidR="0046661C" w:rsidRPr="008D54A5">
        <w:t>6,916</w:t>
      </w:r>
      <w:r w:rsidRPr="008D54A5">
        <w:t xml:space="preserve"> were retained and combined with the MPC-collected Hospital data.</w:t>
      </w:r>
    </w:p>
    <w:p w14:paraId="507457DC" w14:textId="539A760F" w:rsidR="0067274B" w:rsidRPr="008D54A5" w:rsidRDefault="0067274B" w:rsidP="00DC45E7">
      <w:pPr>
        <w:pStyle w:val="Heading5"/>
      </w:pPr>
      <w:proofErr w:type="spellStart"/>
      <w:r w:rsidRPr="008D54A5">
        <w:t>NonPharmacy</w:t>
      </w:r>
      <w:proofErr w:type="spellEnd"/>
      <w:r w:rsidRPr="008D54A5">
        <w:t xml:space="preserve"> (Hospital) Edits</w:t>
      </w:r>
    </w:p>
    <w:p w14:paraId="3FDE4CB8" w14:textId="7BA3A994" w:rsidR="0067274B" w:rsidRPr="008D54A5" w:rsidRDefault="0067274B" w:rsidP="00DC45E7">
      <w:pPr>
        <w:pStyle w:val="BodyText"/>
      </w:pPr>
      <w:r w:rsidRPr="008D54A5">
        <w:t xml:space="preserve">VA Hospital variable were renamed or recoded to be consistent with the names and values from the MPC Blaise data. MPC Hospital variables that were not included in the data from the VA were logically assigned consistency codes or other values for VA </w:t>
      </w:r>
      <w:r w:rsidR="007A475B">
        <w:t>H</w:t>
      </w:r>
      <w:r w:rsidRPr="008D54A5">
        <w:t>ospital events.</w:t>
      </w:r>
    </w:p>
    <w:p w14:paraId="7158A9AC" w14:textId="6FA6B4A3" w:rsidR="0067274B" w:rsidRPr="008D54A5" w:rsidRDefault="0067274B" w:rsidP="00DC45E7">
      <w:pPr>
        <w:pStyle w:val="BodyText"/>
      </w:pPr>
      <w:r w:rsidRPr="008D54A5">
        <w:t xml:space="preserve">The VA Hospital file included the location of service. Additional categories on the VA Hospital file identified various types of telehealth, Home Health, and long-term care encounters. </w:t>
      </w:r>
    </w:p>
    <w:p w14:paraId="724156DB" w14:textId="175E177E" w:rsidR="0067274B" w:rsidRPr="008D54A5" w:rsidRDefault="0067274B" w:rsidP="00DC45E7">
      <w:pPr>
        <w:pStyle w:val="BodyText"/>
      </w:pPr>
      <w:r w:rsidRPr="008D54A5">
        <w:t xml:space="preserve">The VA Hospital data did not include charge variables, and all MPC charge variables were set to “don’t know” (-8) for the </w:t>
      </w:r>
      <w:r w:rsidR="007A475B">
        <w:t>H</w:t>
      </w:r>
      <w:r w:rsidRPr="008D54A5">
        <w:t xml:space="preserve">ospital events provided by the VA. The VA provided the payment variable VAPRODCOST, which is the VA </w:t>
      </w:r>
      <w:r w:rsidR="007A475B">
        <w:t>thi</w:t>
      </w:r>
      <w:r w:rsidRPr="008D54A5">
        <w:t>rd</w:t>
      </w:r>
      <w:r w:rsidR="007A475B">
        <w:t>-</w:t>
      </w:r>
      <w:r w:rsidRPr="008D54A5">
        <w:t>party payment amount; the value of this variable was assigned to the MPC variable VAPAYM.</w:t>
      </w:r>
      <w:r w:rsidR="003543ED" w:rsidRPr="008D54A5">
        <w:t xml:space="preserve"> </w:t>
      </w:r>
      <w:r w:rsidRPr="008D54A5">
        <w:t xml:space="preserve">All other MPC 3rd party PAYM fields were set to $0 when the VA data was combined with the MPC data. The VA data contained a variable which indicated whether there was any patient copay, but this patient copayment amount was not provided. The patient copay amount variable PATPAYM was set to $0 when there was no patient </w:t>
      </w:r>
      <w:proofErr w:type="gramStart"/>
      <w:r w:rsidRPr="008D54A5">
        <w:t>copay, and</w:t>
      </w:r>
      <w:proofErr w:type="gramEnd"/>
      <w:r w:rsidRPr="008D54A5">
        <w:t xml:space="preserve"> was set to missing when there was an indication that there was a patient </w:t>
      </w:r>
      <w:r w:rsidRPr="008D54A5">
        <w:lastRenderedPageBreak/>
        <w:t>copay. As a result, all of the events from the VA have a missing value of TOTLCHRG, and many are missing TOTLPAYM (when there was a patient copay</w:t>
      </w:r>
      <w:r w:rsidR="00A55530" w:rsidRPr="008D54A5">
        <w:t>ment</w:t>
      </w:r>
      <w:r w:rsidRPr="008D54A5">
        <w:t xml:space="preserve"> </w:t>
      </w:r>
      <w:proofErr w:type="gramStart"/>
      <w:r w:rsidRPr="008D54A5">
        <w:t>amount</w:t>
      </w:r>
      <w:proofErr w:type="gramEnd"/>
      <w:r w:rsidRPr="008D54A5">
        <w:t xml:space="preserve"> but it was missing). Any VA event with a VAPAYM amount were considered eligible for matching (unless they were ineligible for some other reason, such as being in a rollup group or having a nonpositive weight); usually</w:t>
      </w:r>
      <w:r w:rsidR="001E7290" w:rsidRPr="008D54A5">
        <w:t>,</w:t>
      </w:r>
      <w:r w:rsidRPr="008D54A5">
        <w:t xml:space="preserve"> MPC events missing both total charge and total payment are not eligible for matching.</w:t>
      </w:r>
    </w:p>
    <w:p w14:paraId="7731C177" w14:textId="77777777" w:rsidR="00DC45E7" w:rsidRPr="008D54A5" w:rsidRDefault="00DC45E7" w:rsidP="0067274B">
      <w:pPr>
        <w:tabs>
          <w:tab w:val="left" w:pos="3144"/>
        </w:tabs>
      </w:pPr>
    </w:p>
    <w:p w14:paraId="38228F8D" w14:textId="77777777" w:rsidR="00DC45E7" w:rsidRPr="008D54A5" w:rsidRDefault="00DC45E7" w:rsidP="0067274B">
      <w:pPr>
        <w:tabs>
          <w:tab w:val="left" w:pos="3144"/>
        </w:tabs>
      </w:pPr>
    </w:p>
    <w:p w14:paraId="272EC2B6" w14:textId="2784EF25" w:rsidR="005B3FDF" w:rsidRPr="008D54A5" w:rsidRDefault="00471B99" w:rsidP="00975A4F">
      <w:pPr>
        <w:pStyle w:val="Heading1"/>
      </w:pPr>
      <w:bookmarkStart w:id="92" w:name="_Toc99560316"/>
      <w:bookmarkStart w:id="93" w:name="_Toc99560317"/>
      <w:bookmarkStart w:id="94" w:name="_Toc68018527"/>
      <w:bookmarkStart w:id="95" w:name="_Toc68018855"/>
      <w:bookmarkStart w:id="96" w:name="_Toc68020143"/>
      <w:bookmarkStart w:id="97" w:name="_Toc68018528"/>
      <w:bookmarkStart w:id="98" w:name="_Toc68018856"/>
      <w:bookmarkStart w:id="99" w:name="_Toc68020144"/>
      <w:bookmarkStart w:id="100" w:name="_Toc508804506"/>
      <w:bookmarkStart w:id="101" w:name="_Toc508864435"/>
      <w:bookmarkStart w:id="102" w:name="_Toc508864659"/>
      <w:bookmarkStart w:id="103" w:name="_Toc508864883"/>
      <w:bookmarkStart w:id="104" w:name="_Toc508864962"/>
      <w:bookmarkStart w:id="105" w:name="_Toc508804507"/>
      <w:bookmarkStart w:id="106" w:name="_Toc508864436"/>
      <w:bookmarkStart w:id="107" w:name="_Toc508864660"/>
      <w:bookmarkStart w:id="108" w:name="_Toc508864884"/>
      <w:bookmarkStart w:id="109" w:name="_Toc508864963"/>
      <w:bookmarkStart w:id="110" w:name="_Toc508804508"/>
      <w:bookmarkStart w:id="111" w:name="_Toc508864437"/>
      <w:bookmarkStart w:id="112" w:name="_Toc508864661"/>
      <w:bookmarkStart w:id="113" w:name="_Toc508864885"/>
      <w:bookmarkStart w:id="114" w:name="_Toc508864964"/>
      <w:bookmarkStart w:id="115" w:name="_Toc508804509"/>
      <w:bookmarkStart w:id="116" w:name="_Toc508864438"/>
      <w:bookmarkStart w:id="117" w:name="_Toc508864662"/>
      <w:bookmarkStart w:id="118" w:name="_Toc508864886"/>
      <w:bookmarkStart w:id="119" w:name="_Toc508864965"/>
      <w:bookmarkStart w:id="120" w:name="_Toc508804510"/>
      <w:bookmarkStart w:id="121" w:name="_Toc508864439"/>
      <w:bookmarkStart w:id="122" w:name="_Toc508864663"/>
      <w:bookmarkStart w:id="123" w:name="_Toc508864887"/>
      <w:bookmarkStart w:id="124" w:name="_Toc508864966"/>
      <w:bookmarkStart w:id="125" w:name="_Toc508804511"/>
      <w:bookmarkStart w:id="126" w:name="_Toc508864440"/>
      <w:bookmarkStart w:id="127" w:name="_Toc508864664"/>
      <w:bookmarkStart w:id="128" w:name="_Toc508864888"/>
      <w:bookmarkStart w:id="129" w:name="_Toc508864967"/>
      <w:bookmarkStart w:id="130" w:name="_Toc508804512"/>
      <w:bookmarkStart w:id="131" w:name="_Toc508864441"/>
      <w:bookmarkStart w:id="132" w:name="_Toc508864665"/>
      <w:bookmarkStart w:id="133" w:name="_Toc508864889"/>
      <w:bookmarkStart w:id="134" w:name="_Toc508864968"/>
      <w:bookmarkStart w:id="135" w:name="_Toc508804513"/>
      <w:bookmarkStart w:id="136" w:name="_Toc508864442"/>
      <w:bookmarkStart w:id="137" w:name="_Toc508864666"/>
      <w:bookmarkStart w:id="138" w:name="_Toc508864890"/>
      <w:bookmarkStart w:id="139" w:name="_Toc508864969"/>
      <w:bookmarkStart w:id="140" w:name="_Toc508804514"/>
      <w:bookmarkStart w:id="141" w:name="_Toc508864443"/>
      <w:bookmarkStart w:id="142" w:name="_Toc508864667"/>
      <w:bookmarkStart w:id="143" w:name="_Toc508864891"/>
      <w:bookmarkStart w:id="144" w:name="_Toc508864970"/>
      <w:bookmarkStart w:id="145" w:name="_Toc508804515"/>
      <w:bookmarkStart w:id="146" w:name="_Toc508864444"/>
      <w:bookmarkStart w:id="147" w:name="_Toc508864668"/>
      <w:bookmarkStart w:id="148" w:name="_Toc508864892"/>
      <w:bookmarkStart w:id="149" w:name="_Toc508864971"/>
      <w:bookmarkStart w:id="150" w:name="_Toc508804516"/>
      <w:bookmarkStart w:id="151" w:name="_Toc508864445"/>
      <w:bookmarkStart w:id="152" w:name="_Toc508864669"/>
      <w:bookmarkStart w:id="153" w:name="_Toc508864893"/>
      <w:bookmarkStart w:id="154" w:name="_Toc508864972"/>
      <w:bookmarkStart w:id="155" w:name="_Toc508804517"/>
      <w:bookmarkStart w:id="156" w:name="_Toc508864446"/>
      <w:bookmarkStart w:id="157" w:name="_Toc508864670"/>
      <w:bookmarkStart w:id="158" w:name="_Toc508864894"/>
      <w:bookmarkStart w:id="159" w:name="_Toc508864973"/>
      <w:bookmarkStart w:id="160" w:name="_Toc127287280"/>
      <w:bookmarkStart w:id="161" w:name="_Toc160529606"/>
      <w:bookmarkStart w:id="162" w:name="_Toc189128093"/>
      <w:bookmarkEnd w:id="20"/>
      <w:bookmarkEnd w:id="8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8D54A5">
        <w:t xml:space="preserve">2022 </w:t>
      </w:r>
      <w:r w:rsidR="00F66AD2" w:rsidRPr="008D54A5">
        <w:t>Medical File Editing Activities</w:t>
      </w:r>
      <w:r w:rsidR="00443422" w:rsidRPr="008D54A5">
        <w:t>—</w:t>
      </w:r>
      <w:r w:rsidR="00C45C59" w:rsidRPr="008D54A5">
        <w:br/>
      </w:r>
      <w:r w:rsidR="00F66AD2" w:rsidRPr="008D54A5">
        <w:t>Quality Control Checks</w:t>
      </w:r>
      <w:bookmarkEnd w:id="160"/>
      <w:bookmarkEnd w:id="161"/>
      <w:bookmarkEnd w:id="162"/>
    </w:p>
    <w:p w14:paraId="47F0892C" w14:textId="789C5AB1" w:rsidR="00964AB3" w:rsidRPr="008D54A5" w:rsidRDefault="00F66AD2" w:rsidP="008164E7">
      <w:pPr>
        <w:pStyle w:val="BodyText"/>
        <w:spacing w:after="360"/>
      </w:pPr>
      <w:r w:rsidRPr="008D54A5">
        <w:t xml:space="preserve">As part of the effort to produce useful and high-quality data, various checks </w:t>
      </w:r>
      <w:r w:rsidR="002E12DB" w:rsidRPr="008D54A5">
        <w:t xml:space="preserve">are </w:t>
      </w:r>
      <w:r w:rsidRPr="008D54A5">
        <w:t xml:space="preserve">implemented throughout the </w:t>
      </w:r>
      <w:r w:rsidR="00A113DF" w:rsidRPr="008D54A5">
        <w:t xml:space="preserve">Medical Provider Component </w:t>
      </w:r>
      <w:r w:rsidRPr="008D54A5">
        <w:t>file pre-matching and matching procedures.</w:t>
      </w:r>
      <w:r w:rsidR="00EB11DC" w:rsidRPr="008D54A5">
        <w:t xml:space="preserve"> </w:t>
      </w:r>
      <w:r w:rsidRPr="008D54A5">
        <w:t xml:space="preserve">The approach to </w:t>
      </w:r>
      <w:r w:rsidR="00A113DF" w:rsidRPr="008D54A5">
        <w:t xml:space="preserve">quality control </w:t>
      </w:r>
      <w:r w:rsidRPr="008D54A5">
        <w:t>include</w:t>
      </w:r>
      <w:r w:rsidR="002E12DB" w:rsidRPr="008D54A5">
        <w:t>s</w:t>
      </w:r>
      <w:r w:rsidRPr="008D54A5">
        <w:t xml:space="preserve"> </w:t>
      </w:r>
      <w:r w:rsidR="00F24B74" w:rsidRPr="008D54A5">
        <w:t>i</w:t>
      </w:r>
      <w:r w:rsidRPr="008D54A5">
        <w:t>nternal checking by the programmer with primary responsibility for the activity</w:t>
      </w:r>
      <w:r w:rsidR="00F24B74" w:rsidRPr="008D54A5">
        <w:t xml:space="preserve"> and c</w:t>
      </w:r>
      <w:r w:rsidRPr="008D54A5">
        <w:t>omparison of data distributions with previous years.</w:t>
      </w:r>
      <w:r w:rsidR="00EB11DC" w:rsidRPr="008D54A5">
        <w:t xml:space="preserve"> </w:t>
      </w:r>
      <w:r w:rsidRPr="008D54A5">
        <w:t>Each of these activities is described below.</w:t>
      </w:r>
    </w:p>
    <w:p w14:paraId="71CB3AA4" w14:textId="34D74B78" w:rsidR="00FF7BA7" w:rsidRPr="008D54A5" w:rsidRDefault="00F66AD2" w:rsidP="00DD4425">
      <w:pPr>
        <w:pStyle w:val="Heading2"/>
      </w:pPr>
      <w:bookmarkStart w:id="163" w:name="_Toc127287281"/>
      <w:bookmarkStart w:id="164" w:name="_Toc160529607"/>
      <w:bookmarkStart w:id="165" w:name="_Toc189128094"/>
      <w:r w:rsidRPr="008D54A5">
        <w:t>Internal Checking by Primary Programmer</w:t>
      </w:r>
      <w:bookmarkEnd w:id="163"/>
      <w:bookmarkEnd w:id="164"/>
      <w:bookmarkEnd w:id="165"/>
    </w:p>
    <w:p w14:paraId="1C95A7BB" w14:textId="1DF625D8" w:rsidR="00964AB3" w:rsidRPr="008D54A5" w:rsidRDefault="00F66AD2" w:rsidP="00E75D33">
      <w:pPr>
        <w:pStyle w:val="BodyText"/>
      </w:pPr>
      <w:r w:rsidRPr="008D54A5">
        <w:t xml:space="preserve">The primary programmers perform internal checks concurrent with running the editing and matching programs. These internal checks include, but </w:t>
      </w:r>
      <w:r w:rsidR="002E12DB" w:rsidRPr="008D54A5">
        <w:t>are</w:t>
      </w:r>
      <w:r w:rsidRPr="008D54A5">
        <w:t xml:space="preserve"> not limited to</w:t>
      </w:r>
      <w:r w:rsidR="00FB5DA4" w:rsidRPr="008D54A5">
        <w:t>,</w:t>
      </w:r>
      <w:r w:rsidR="00E239B5" w:rsidRPr="008D54A5">
        <w:t xml:space="preserve"> </w:t>
      </w:r>
      <w:r w:rsidR="00964AB3" w:rsidRPr="008D54A5">
        <w:t>case</w:t>
      </w:r>
      <w:r w:rsidR="00CF2989" w:rsidRPr="008D54A5">
        <w:t xml:space="preserve"> reviews</w:t>
      </w:r>
      <w:r w:rsidR="00964AB3" w:rsidRPr="008D54A5">
        <w:t>, coding checks, and consistency checks</w:t>
      </w:r>
      <w:r w:rsidRPr="008D54A5">
        <w:t>.</w:t>
      </w:r>
      <w:r w:rsidR="00560D67" w:rsidRPr="008D54A5">
        <w:t xml:space="preserve"> </w:t>
      </w:r>
      <w:r w:rsidRPr="008D54A5">
        <w:t xml:space="preserve">When a new variable </w:t>
      </w:r>
      <w:r w:rsidR="002E12DB" w:rsidRPr="008D54A5">
        <w:t>is</w:t>
      </w:r>
      <w:r w:rsidRPr="008D54A5">
        <w:t xml:space="preserve"> created, a </w:t>
      </w:r>
      <w:r w:rsidR="00EB11DC" w:rsidRPr="008D54A5">
        <w:t xml:space="preserve">cross tabulation </w:t>
      </w:r>
      <w:r w:rsidR="002E12DB" w:rsidRPr="008D54A5">
        <w:t>is</w:t>
      </w:r>
      <w:r w:rsidRPr="008D54A5">
        <w:t xml:space="preserve"> run to check the programming code that created the variable. The primary programmers also examine extreme values of continuous variables to identify outliers.</w:t>
      </w:r>
    </w:p>
    <w:p w14:paraId="3450780B" w14:textId="77777777" w:rsidR="007F577A" w:rsidRPr="008D54A5" w:rsidRDefault="00F66AD2" w:rsidP="00C90C6E">
      <w:pPr>
        <w:pStyle w:val="BodyText"/>
      </w:pPr>
      <w:r w:rsidRPr="008D54A5">
        <w:t>Primary programmers also conduct quality checks after each major step of their activities. These checks include the foll</w:t>
      </w:r>
      <w:r w:rsidR="00964AB3" w:rsidRPr="008D54A5">
        <w:t>owing:</w:t>
      </w:r>
    </w:p>
    <w:p w14:paraId="0E19FFF0" w14:textId="2A0A88B6" w:rsidR="00964AB3" w:rsidRPr="008D54A5" w:rsidRDefault="00964AB3" w:rsidP="007A4CF4">
      <w:pPr>
        <w:pStyle w:val="bullets"/>
      </w:pPr>
      <w:r w:rsidRPr="008D54A5">
        <w:t>Tabulating some key variables</w:t>
      </w:r>
      <w:r w:rsidR="00EB11DC" w:rsidRPr="008D54A5">
        <w:t xml:space="preserve"> such as</w:t>
      </w:r>
      <w:r w:rsidRPr="008D54A5">
        <w:t xml:space="preserve"> event type, conditions</w:t>
      </w:r>
      <w:r w:rsidR="006A1542" w:rsidRPr="008D54A5">
        <w:t>,</w:t>
      </w:r>
      <w:r w:rsidRPr="008D54A5">
        <w:t xml:space="preserve"> and procedures</w:t>
      </w:r>
      <w:r w:rsidR="00560D67" w:rsidRPr="008D54A5">
        <w:t xml:space="preserve">. </w:t>
      </w:r>
      <w:r w:rsidR="00F66AD2" w:rsidRPr="008D54A5">
        <w:t xml:space="preserve">These tabulations help give an understanding of the data </w:t>
      </w:r>
      <w:r w:rsidR="005541AB" w:rsidRPr="008D54A5">
        <w:t>and</w:t>
      </w:r>
      <w:r w:rsidR="00F66AD2" w:rsidRPr="008D54A5">
        <w:t xml:space="preserve"> help identify any issues potentially affecting the quality of the matching results.</w:t>
      </w:r>
    </w:p>
    <w:p w14:paraId="167C47AC" w14:textId="77777777" w:rsidR="00964AB3" w:rsidRPr="008D54A5" w:rsidRDefault="00F66AD2" w:rsidP="007A4CF4">
      <w:pPr>
        <w:pStyle w:val="bullets"/>
      </w:pPr>
      <w:r w:rsidRPr="008D54A5">
        <w:t xml:space="preserve">Manually reviewing a sample of duplicated records, consecutive hospital </w:t>
      </w:r>
      <w:proofErr w:type="gramStart"/>
      <w:r w:rsidRPr="008D54A5">
        <w:t>stay</w:t>
      </w:r>
      <w:proofErr w:type="gramEnd"/>
      <w:r w:rsidRPr="008D54A5">
        <w:t xml:space="preserve"> records, and events </w:t>
      </w:r>
      <w:r w:rsidR="002E12DB" w:rsidRPr="008D54A5">
        <w:t>for</w:t>
      </w:r>
      <w:r w:rsidRPr="008D54A5">
        <w:t xml:space="preserve"> the same patients on the same days.</w:t>
      </w:r>
    </w:p>
    <w:p w14:paraId="38D64EC7" w14:textId="77777777" w:rsidR="00964AB3" w:rsidRPr="008D54A5" w:rsidRDefault="00F66AD2" w:rsidP="007A4CF4">
      <w:pPr>
        <w:pStyle w:val="bullets"/>
      </w:pPr>
      <w:r w:rsidRPr="008D54A5">
        <w:t>Preparing a summary of events excluded from matching for any reason.</w:t>
      </w:r>
    </w:p>
    <w:p w14:paraId="1098F21A" w14:textId="744DDFBF" w:rsidR="00FF7BA7" w:rsidRPr="008D54A5" w:rsidRDefault="00F66AD2" w:rsidP="00DD4425">
      <w:pPr>
        <w:pStyle w:val="Heading2"/>
      </w:pPr>
      <w:bookmarkStart w:id="166" w:name="_Toc127287282"/>
      <w:bookmarkStart w:id="167" w:name="_Toc160529608"/>
      <w:bookmarkStart w:id="168" w:name="_Toc189128095"/>
      <w:r w:rsidRPr="008D54A5">
        <w:t>Comparison of Data Distributions with Previous Years</w:t>
      </w:r>
      <w:bookmarkEnd w:id="166"/>
      <w:bookmarkEnd w:id="167"/>
      <w:bookmarkEnd w:id="168"/>
    </w:p>
    <w:p w14:paraId="568C7FB3" w14:textId="38BDF8F8" w:rsidR="00D125C7" w:rsidRPr="008D54A5" w:rsidRDefault="00F66AD2" w:rsidP="00E75D33">
      <w:pPr>
        <w:pStyle w:val="BodyText"/>
      </w:pPr>
      <w:r w:rsidRPr="008D54A5">
        <w:t xml:space="preserve">Codebooks </w:t>
      </w:r>
      <w:r w:rsidR="002E12DB" w:rsidRPr="008D54A5">
        <w:t>are</w:t>
      </w:r>
      <w:r w:rsidRPr="008D54A5">
        <w:t xml:space="preserve"> created that allow comparisons of the</w:t>
      </w:r>
      <w:r w:rsidR="00D707BC" w:rsidRPr="008D54A5">
        <w:t xml:space="preserve"> most recent year</w:t>
      </w:r>
      <w:r w:rsidR="00F24B74" w:rsidRPr="008D54A5">
        <w:t xml:space="preserve"> </w:t>
      </w:r>
      <w:r w:rsidRPr="008D54A5">
        <w:t xml:space="preserve">data distribution with the distributions from </w:t>
      </w:r>
      <w:r w:rsidR="00D707BC" w:rsidRPr="008D54A5">
        <w:t xml:space="preserve">the </w:t>
      </w:r>
      <w:r w:rsidR="006A1542" w:rsidRPr="008D54A5">
        <w:t>2</w:t>
      </w:r>
      <w:r w:rsidR="00D707BC" w:rsidRPr="008D54A5">
        <w:t xml:space="preserve"> prior years </w:t>
      </w:r>
      <w:r w:rsidRPr="008D54A5">
        <w:t xml:space="preserve">for all variables on all delivered files. No formal statistical tests </w:t>
      </w:r>
      <w:r w:rsidR="002E12DB" w:rsidRPr="008D54A5">
        <w:t>are</w:t>
      </w:r>
      <w:r w:rsidRPr="008D54A5">
        <w:t xml:space="preserve"> conducted; however, any apparent discrepancies between the </w:t>
      </w:r>
      <w:r w:rsidR="00D707BC" w:rsidRPr="008D54A5">
        <w:t xml:space="preserve">most recent year </w:t>
      </w:r>
      <w:r w:rsidRPr="008D54A5">
        <w:t xml:space="preserve">distribution and previous years </w:t>
      </w:r>
      <w:r w:rsidR="002E12DB" w:rsidRPr="008D54A5">
        <w:t>are</w:t>
      </w:r>
      <w:r w:rsidRPr="008D54A5">
        <w:t xml:space="preserve"> explored. This check </w:t>
      </w:r>
      <w:r w:rsidR="002E12DB" w:rsidRPr="008D54A5">
        <w:t>is</w:t>
      </w:r>
      <w:r w:rsidRPr="008D54A5">
        <w:t xml:space="preserve"> particularly important to ensuring consistency in the variable def</w:t>
      </w:r>
      <w:r w:rsidR="006E5399" w:rsidRPr="008D54A5">
        <w:t xml:space="preserve">initions and resulting distributions between </w:t>
      </w:r>
      <w:r w:rsidR="00A113DF" w:rsidRPr="008D54A5">
        <w:t xml:space="preserve">Medical Expenditure Panel Survey </w:t>
      </w:r>
      <w:r w:rsidR="006E5399" w:rsidRPr="008D54A5">
        <w:t>years.</w:t>
      </w:r>
    </w:p>
    <w:p w14:paraId="4FA93C06" w14:textId="68B5FEF1" w:rsidR="00B14F7F" w:rsidRPr="008D54A5" w:rsidRDefault="00D125C7">
      <w:pPr>
        <w:rPr>
          <w:i/>
        </w:rPr>
      </w:pPr>
      <w:r w:rsidRPr="008D54A5">
        <w:lastRenderedPageBreak/>
        <w:br w:type="page"/>
      </w:r>
    </w:p>
    <w:p w14:paraId="670BCEF7" w14:textId="19DEB106" w:rsidR="005B3FDF" w:rsidRPr="008D54A5" w:rsidRDefault="00B04B44" w:rsidP="00975A4F">
      <w:pPr>
        <w:pStyle w:val="Heading1"/>
      </w:pPr>
      <w:bookmarkStart w:id="169" w:name="_Toc127287283"/>
      <w:bookmarkStart w:id="170" w:name="_Toc160529609"/>
      <w:bookmarkStart w:id="171" w:name="_Toc189128096"/>
      <w:r w:rsidRPr="008D54A5">
        <w:lastRenderedPageBreak/>
        <w:t xml:space="preserve">Summary of Key </w:t>
      </w:r>
      <w:r w:rsidR="00471B99" w:rsidRPr="008D54A5">
        <w:t xml:space="preserve">2022 </w:t>
      </w:r>
      <w:r w:rsidRPr="008D54A5">
        <w:t xml:space="preserve">MPC </w:t>
      </w:r>
      <w:r w:rsidR="00E23F56" w:rsidRPr="008D54A5">
        <w:t>Medical File</w:t>
      </w:r>
      <w:r w:rsidR="00F66AD2" w:rsidRPr="008D54A5">
        <w:t xml:space="preserve"> Variables</w:t>
      </w:r>
      <w:bookmarkEnd w:id="169"/>
      <w:bookmarkEnd w:id="170"/>
      <w:bookmarkEnd w:id="171"/>
    </w:p>
    <w:p w14:paraId="4B0FCADF" w14:textId="16FB3DCE" w:rsidR="009104EE" w:rsidRPr="008D54A5" w:rsidRDefault="00F66AD2" w:rsidP="00E75D33">
      <w:pPr>
        <w:pStyle w:val="BodyText"/>
      </w:pPr>
      <w:r w:rsidRPr="008D54A5">
        <w:t xml:space="preserve">Key variables from the </w:t>
      </w:r>
      <w:r w:rsidR="005D562C" w:rsidRPr="008D54A5">
        <w:t>H</w:t>
      </w:r>
      <w:r w:rsidR="00350AE3" w:rsidRPr="008D54A5">
        <w:t>ospital</w:t>
      </w:r>
      <w:r w:rsidRPr="008D54A5">
        <w:t xml:space="preserve">, </w:t>
      </w:r>
      <w:r w:rsidR="000B0443" w:rsidRPr="008D54A5">
        <w:t>office-based doctor (</w:t>
      </w:r>
      <w:r w:rsidRPr="008D54A5">
        <w:t>OBD</w:t>
      </w:r>
      <w:r w:rsidR="000B0443" w:rsidRPr="008D54A5">
        <w:t>)</w:t>
      </w:r>
      <w:r w:rsidRPr="008D54A5">
        <w:t xml:space="preserve">, and </w:t>
      </w:r>
      <w:r w:rsidR="000B0443" w:rsidRPr="008D54A5">
        <w:t>separately billing doctor (</w:t>
      </w:r>
      <w:r w:rsidRPr="008D54A5">
        <w:t>SBD</w:t>
      </w:r>
      <w:r w:rsidR="000B0443" w:rsidRPr="008D54A5">
        <w:t>)</w:t>
      </w:r>
      <w:r w:rsidRPr="008D54A5">
        <w:t xml:space="preserve"> files are the payment and charge variables, and variables that give the reason for discrepancy between the payments and charges. As part of the </w:t>
      </w:r>
      <w:r w:rsidR="000B0443" w:rsidRPr="008D54A5">
        <w:t>quality control (</w:t>
      </w:r>
      <w:r w:rsidR="00F40678" w:rsidRPr="008D54A5">
        <w:t>QC</w:t>
      </w:r>
      <w:r w:rsidR="000B0443" w:rsidRPr="008D54A5">
        <w:t>)</w:t>
      </w:r>
      <w:r w:rsidRPr="008D54A5">
        <w:t xml:space="preserve"> processes, </w:t>
      </w:r>
      <w:r w:rsidR="00BB7282" w:rsidRPr="008D54A5">
        <w:t xml:space="preserve">RTI examines and compares </w:t>
      </w:r>
      <w:r w:rsidRPr="008D54A5">
        <w:t xml:space="preserve">the distributions of these variables </w:t>
      </w:r>
      <w:r w:rsidR="00EC480E" w:rsidRPr="008D54A5">
        <w:t>with data from</w:t>
      </w:r>
      <w:r w:rsidRPr="008D54A5">
        <w:t xml:space="preserve"> </w:t>
      </w:r>
      <w:r w:rsidR="00D707BC" w:rsidRPr="008D54A5">
        <w:t>most recent</w:t>
      </w:r>
      <w:r w:rsidR="00C96360" w:rsidRPr="008D54A5">
        <w:t xml:space="preserve"> </w:t>
      </w:r>
      <w:r w:rsidR="006A1542" w:rsidRPr="008D54A5">
        <w:t>3</w:t>
      </w:r>
      <w:r w:rsidR="00D707BC" w:rsidRPr="008D54A5">
        <w:t>-</w:t>
      </w:r>
      <w:r w:rsidR="00C96360" w:rsidRPr="008D54A5">
        <w:t xml:space="preserve">year </w:t>
      </w:r>
      <w:r w:rsidR="000A03B0" w:rsidRPr="008D54A5">
        <w:t>period</w:t>
      </w:r>
      <w:r w:rsidRPr="008D54A5">
        <w:t xml:space="preserve">. This section summarizes </w:t>
      </w:r>
      <w:r w:rsidR="00C96360" w:rsidRPr="008D54A5">
        <w:t>the</w:t>
      </w:r>
      <w:r w:rsidRPr="008D54A5">
        <w:t xml:space="preserve"> findings from this comparison.</w:t>
      </w:r>
    </w:p>
    <w:p w14:paraId="37E6B17E" w14:textId="7CB0D48C" w:rsidR="00443422" w:rsidRPr="008D54A5" w:rsidRDefault="00F66AD2" w:rsidP="00E75D33">
      <w:pPr>
        <w:pStyle w:val="BodyText"/>
      </w:pPr>
      <w:bookmarkStart w:id="172" w:name="_Hlk36117825"/>
      <w:r w:rsidRPr="008D54A5">
        <w:t>RTI prepare</w:t>
      </w:r>
      <w:r w:rsidR="002B3BA8" w:rsidRPr="008D54A5">
        <w:t>s</w:t>
      </w:r>
      <w:r w:rsidRPr="008D54A5">
        <w:t xml:space="preserve"> summary tables </w:t>
      </w:r>
      <w:r w:rsidR="009104EE" w:rsidRPr="008D54A5">
        <w:t xml:space="preserve">that examine these variables across the </w:t>
      </w:r>
      <w:r w:rsidR="001A4C10" w:rsidRPr="008D54A5">
        <w:t xml:space="preserve">most recent </w:t>
      </w:r>
      <w:r w:rsidR="006A1542" w:rsidRPr="008D54A5">
        <w:t>3</w:t>
      </w:r>
      <w:r w:rsidR="001A4C10" w:rsidRPr="008D54A5">
        <w:t>-</w:t>
      </w:r>
      <w:r w:rsidR="009104EE" w:rsidRPr="008D54A5">
        <w:t>year</w:t>
      </w:r>
      <w:r w:rsidR="001A4C10" w:rsidRPr="008D54A5">
        <w:t xml:space="preserve"> </w:t>
      </w:r>
      <w:r w:rsidR="000A03B0" w:rsidRPr="008D54A5">
        <w:t>period</w:t>
      </w:r>
      <w:r w:rsidRPr="008D54A5">
        <w:t xml:space="preserve">, by type of event (OBD, </w:t>
      </w:r>
      <w:r w:rsidR="000A051B" w:rsidRPr="008D54A5">
        <w:t xml:space="preserve">total </w:t>
      </w:r>
      <w:r w:rsidR="005D562C" w:rsidRPr="008D54A5">
        <w:t>H</w:t>
      </w:r>
      <w:r w:rsidRPr="008D54A5">
        <w:t xml:space="preserve">ospital, </w:t>
      </w:r>
      <w:r w:rsidR="005D562C" w:rsidRPr="008D54A5">
        <w:t>H</w:t>
      </w:r>
      <w:r w:rsidRPr="008D54A5">
        <w:t xml:space="preserve">ospital </w:t>
      </w:r>
      <w:r w:rsidR="00FD77FA" w:rsidRPr="008D54A5">
        <w:t>e</w:t>
      </w:r>
      <w:r w:rsidR="000B0443" w:rsidRPr="008D54A5">
        <w:t xml:space="preserve">mergency </w:t>
      </w:r>
      <w:r w:rsidR="00FD77FA" w:rsidRPr="008D54A5">
        <w:t>r</w:t>
      </w:r>
      <w:r w:rsidR="000B0443" w:rsidRPr="008D54A5">
        <w:t>oom</w:t>
      </w:r>
      <w:r w:rsidRPr="008D54A5">
        <w:t xml:space="preserve">, </w:t>
      </w:r>
      <w:r w:rsidR="005D562C" w:rsidRPr="008D54A5">
        <w:t>H</w:t>
      </w:r>
      <w:r w:rsidRPr="008D54A5">
        <w:t xml:space="preserve">ospital </w:t>
      </w:r>
      <w:r w:rsidR="00FD77FA" w:rsidRPr="008D54A5">
        <w:t>o</w:t>
      </w:r>
      <w:r w:rsidR="000B0443" w:rsidRPr="008D54A5">
        <w:t>utpatient</w:t>
      </w:r>
      <w:r w:rsidRPr="008D54A5">
        <w:t xml:space="preserve">, </w:t>
      </w:r>
      <w:r w:rsidR="005D562C" w:rsidRPr="008D54A5">
        <w:t>H</w:t>
      </w:r>
      <w:r w:rsidRPr="008D54A5">
        <w:t xml:space="preserve">ospital </w:t>
      </w:r>
      <w:r w:rsidR="00FD77FA" w:rsidRPr="008D54A5">
        <w:t>i</w:t>
      </w:r>
      <w:r w:rsidRPr="008D54A5">
        <w:t xml:space="preserve">npatient, and </w:t>
      </w:r>
      <w:r w:rsidR="00FD77FA" w:rsidRPr="008D54A5">
        <w:t>i</w:t>
      </w:r>
      <w:r w:rsidRPr="008D54A5">
        <w:t xml:space="preserve">nstitutional </w:t>
      </w:r>
      <w:r w:rsidR="000A051B" w:rsidRPr="008D54A5">
        <w:t>s</w:t>
      </w:r>
      <w:r w:rsidRPr="008D54A5">
        <w:t xml:space="preserve">tays), mode of data collection (telephone or abstraction), and source of payment. </w:t>
      </w:r>
      <w:bookmarkEnd w:id="172"/>
      <w:r w:rsidRPr="008D54A5">
        <w:t>Tabulations</w:t>
      </w:r>
      <w:r w:rsidR="00C342A2" w:rsidRPr="008D54A5">
        <w:t xml:space="preserve"> in this matching and editing plan</w:t>
      </w:r>
      <w:r w:rsidRPr="008D54A5">
        <w:t xml:space="preserve"> </w:t>
      </w:r>
      <w:r w:rsidR="002B3BA8" w:rsidRPr="008D54A5">
        <w:t xml:space="preserve">are </w:t>
      </w:r>
      <w:r w:rsidRPr="008D54A5">
        <w:t xml:space="preserve">prepared separately for </w:t>
      </w:r>
      <w:r w:rsidR="004263BF" w:rsidRPr="008D54A5">
        <w:rPr>
          <w:color w:val="000000" w:themeColor="text1"/>
        </w:rPr>
        <w:t>fee-for-service (</w:t>
      </w:r>
      <w:r w:rsidR="006A1542" w:rsidRPr="008D54A5">
        <w:t>FFS</w:t>
      </w:r>
      <w:r w:rsidR="004263BF" w:rsidRPr="008D54A5">
        <w:t>)</w:t>
      </w:r>
      <w:r w:rsidRPr="008D54A5">
        <w:t xml:space="preserve"> and capitated events. </w:t>
      </w:r>
      <w:r w:rsidR="004C2409">
        <w:t>T</w:t>
      </w:r>
      <w:r w:rsidRPr="008D54A5">
        <w:t xml:space="preserve">ables containing the summary statistics </w:t>
      </w:r>
      <w:r w:rsidR="002B3BA8" w:rsidRPr="008D54A5">
        <w:t xml:space="preserve">are </w:t>
      </w:r>
      <w:r w:rsidRPr="008D54A5">
        <w:t>produced.</w:t>
      </w:r>
      <w:r w:rsidR="00AF6214" w:rsidRPr="008D54A5">
        <w:t xml:space="preserve"> Hospital events provided by the VA are excluded from the exhibits in this section.</w:t>
      </w:r>
    </w:p>
    <w:p w14:paraId="2833F881" w14:textId="5CC42635" w:rsidR="007F577A" w:rsidRPr="008D54A5" w:rsidRDefault="00F66AD2" w:rsidP="00031B71">
      <w:pPr>
        <w:pStyle w:val="BodyText"/>
      </w:pPr>
      <w:bookmarkStart w:id="173" w:name="_Hlk65062684"/>
      <w:r w:rsidRPr="008D54A5">
        <w:t xml:space="preserve">These distributions and summary statistics </w:t>
      </w:r>
      <w:r w:rsidR="002B3BA8" w:rsidRPr="008D54A5">
        <w:t xml:space="preserve">are </w:t>
      </w:r>
      <w:r w:rsidRPr="008D54A5">
        <w:t xml:space="preserve">visually compared to look for anomalies or outliers in the </w:t>
      </w:r>
      <w:r w:rsidR="00471B99" w:rsidRPr="008D54A5">
        <w:t xml:space="preserve">2022 </w:t>
      </w:r>
      <w:r w:rsidRPr="008D54A5">
        <w:t xml:space="preserve">data. </w:t>
      </w:r>
      <w:r w:rsidRPr="008D54A5">
        <w:rPr>
          <w:b/>
        </w:rPr>
        <w:t xml:space="preserve">Exhibits 5.1 </w:t>
      </w:r>
      <w:r w:rsidRPr="008D54A5">
        <w:t>and</w:t>
      </w:r>
      <w:r w:rsidRPr="008D54A5">
        <w:rPr>
          <w:b/>
        </w:rPr>
        <w:t xml:space="preserve"> 5.2</w:t>
      </w:r>
      <w:r w:rsidRPr="008D54A5">
        <w:t xml:space="preserve"> display summary statistics for charges and payments from the Medical File data for </w:t>
      </w:r>
      <w:r w:rsidR="006A1542" w:rsidRPr="008D54A5">
        <w:t>FFS</w:t>
      </w:r>
      <w:r w:rsidRPr="008D54A5">
        <w:t xml:space="preserve"> OBD events and for </w:t>
      </w:r>
      <w:r w:rsidR="006A1542" w:rsidRPr="008D54A5">
        <w:t>FFS</w:t>
      </w:r>
      <w:r w:rsidR="004D5317" w:rsidRPr="008D54A5">
        <w:t xml:space="preserve"> </w:t>
      </w:r>
      <w:r w:rsidR="005D562C" w:rsidRPr="008D54A5">
        <w:t>H</w:t>
      </w:r>
      <w:r w:rsidR="00350AE3" w:rsidRPr="008D54A5">
        <w:t>ospital</w:t>
      </w:r>
      <w:r w:rsidRPr="008D54A5">
        <w:t xml:space="preserve"> events for </w:t>
      </w:r>
      <w:r w:rsidR="00D707BC" w:rsidRPr="008D54A5">
        <w:t xml:space="preserve">the most recent </w:t>
      </w:r>
      <w:r w:rsidR="006A1542" w:rsidRPr="008D54A5">
        <w:t>3</w:t>
      </w:r>
      <w:r w:rsidR="001A4C10" w:rsidRPr="008D54A5">
        <w:t xml:space="preserve">-year </w:t>
      </w:r>
      <w:r w:rsidR="000A03B0" w:rsidRPr="008D54A5">
        <w:t>period</w:t>
      </w:r>
      <w:r w:rsidRPr="008D54A5">
        <w:t>.</w:t>
      </w:r>
      <w:r w:rsidR="00217E27" w:rsidRPr="008D54A5">
        <w:t xml:space="preserve"> </w:t>
      </w:r>
      <w:r w:rsidR="00C27EF0" w:rsidRPr="008D54A5">
        <w:t xml:space="preserve">As shown </w:t>
      </w:r>
      <w:r w:rsidR="00BE4297" w:rsidRPr="008D54A5">
        <w:t xml:space="preserve">in </w:t>
      </w:r>
      <w:r w:rsidR="00356CD1" w:rsidRPr="00404E1F">
        <w:rPr>
          <w:b/>
          <w:bCs w:val="0"/>
        </w:rPr>
        <w:t>Exhibit </w:t>
      </w:r>
      <w:r w:rsidR="00BE4297" w:rsidRPr="008D54A5">
        <w:rPr>
          <w:b/>
          <w:bCs w:val="0"/>
        </w:rPr>
        <w:t>5.1</w:t>
      </w:r>
      <w:r w:rsidR="00BE4297" w:rsidRPr="008D54A5">
        <w:t xml:space="preserve">, </w:t>
      </w:r>
      <w:r w:rsidR="00031B71" w:rsidRPr="008D54A5">
        <w:t>in</w:t>
      </w:r>
      <w:r w:rsidR="00BE4297" w:rsidRPr="008D54A5">
        <w:t xml:space="preserve"> </w:t>
      </w:r>
      <w:r w:rsidR="001C3BD7" w:rsidRPr="008D54A5">
        <w:t>2022</w:t>
      </w:r>
      <w:r w:rsidR="0020227C" w:rsidRPr="008D54A5">
        <w:t>,</w:t>
      </w:r>
      <w:r w:rsidR="00C27EF0" w:rsidRPr="008D54A5">
        <w:t xml:space="preserve"> </w:t>
      </w:r>
      <w:r w:rsidR="001C3BD7" w:rsidRPr="008D54A5">
        <w:t>44.2</w:t>
      </w:r>
      <w:r w:rsidR="008F36B4" w:rsidRPr="008D54A5">
        <w:t xml:space="preserve"> percent</w:t>
      </w:r>
      <w:r w:rsidR="00031B71" w:rsidRPr="008D54A5">
        <w:t xml:space="preserve"> of </w:t>
      </w:r>
      <w:r w:rsidR="006A1542" w:rsidRPr="008D54A5">
        <w:t>FFS</w:t>
      </w:r>
      <w:r w:rsidR="00031B71" w:rsidRPr="008D54A5">
        <w:t xml:space="preserve"> OBD events had </w:t>
      </w:r>
      <w:r w:rsidR="00457B93" w:rsidRPr="008D54A5">
        <w:t xml:space="preserve">payments </w:t>
      </w:r>
      <w:r w:rsidR="00031B71" w:rsidRPr="008D54A5">
        <w:t xml:space="preserve">greater than </w:t>
      </w:r>
      <w:r w:rsidR="00457B93" w:rsidRPr="008D54A5">
        <w:t>$</w:t>
      </w:r>
      <w:r w:rsidR="00031B71" w:rsidRPr="008D54A5">
        <w:t xml:space="preserve">0 </w:t>
      </w:r>
      <w:r w:rsidR="00BE4297" w:rsidRPr="008D54A5">
        <w:t>from private insurance</w:t>
      </w:r>
      <w:r w:rsidR="00031B71" w:rsidRPr="008D54A5">
        <w:t xml:space="preserve">, and </w:t>
      </w:r>
      <w:r w:rsidR="00594A4E" w:rsidRPr="008D54A5">
        <w:t>5</w:t>
      </w:r>
      <w:r w:rsidR="001C3BD7" w:rsidRPr="008D54A5">
        <w:t>5.6</w:t>
      </w:r>
      <w:r w:rsidR="008F36B4" w:rsidRPr="008D54A5">
        <w:t xml:space="preserve"> percent</w:t>
      </w:r>
      <w:r w:rsidR="00031B71" w:rsidRPr="008D54A5">
        <w:t xml:space="preserve"> of events had </w:t>
      </w:r>
      <w:r w:rsidR="00C27EF0" w:rsidRPr="008D54A5">
        <w:t xml:space="preserve">payments equal to </w:t>
      </w:r>
      <w:r w:rsidR="00457B93" w:rsidRPr="008D54A5">
        <w:t>$</w:t>
      </w:r>
      <w:r w:rsidR="00C27EF0" w:rsidRPr="008D54A5">
        <w:t>0</w:t>
      </w:r>
      <w:r w:rsidR="00BE4297" w:rsidRPr="008D54A5">
        <w:t xml:space="preserve"> </w:t>
      </w:r>
      <w:r w:rsidR="00C27EF0" w:rsidRPr="008D54A5">
        <w:t>from private insurance</w:t>
      </w:r>
      <w:r w:rsidR="00031B71" w:rsidRPr="008D54A5">
        <w:t>.</w:t>
      </w:r>
      <w:r w:rsidR="00C27EF0" w:rsidRPr="008D54A5">
        <w:t xml:space="preserve"> </w:t>
      </w:r>
      <w:r w:rsidR="00DE092F" w:rsidRPr="008D54A5">
        <w:t>Only 0.</w:t>
      </w:r>
      <w:r w:rsidR="001C3BD7" w:rsidRPr="008D54A5">
        <w:t xml:space="preserve">2 </w:t>
      </w:r>
      <w:r w:rsidR="00DE092F" w:rsidRPr="008D54A5">
        <w:t xml:space="preserve">percent of </w:t>
      </w:r>
      <w:r w:rsidR="00031B71" w:rsidRPr="008D54A5">
        <w:t xml:space="preserve">events </w:t>
      </w:r>
      <w:r w:rsidR="00C27EF0" w:rsidRPr="008D54A5">
        <w:t xml:space="preserve">had missing or unknown values for this payment type </w:t>
      </w:r>
      <w:r w:rsidR="00CE2114" w:rsidRPr="008D54A5">
        <w:t xml:space="preserve">and </w:t>
      </w:r>
      <w:r w:rsidR="00C27EF0" w:rsidRPr="008D54A5">
        <w:t xml:space="preserve">the average dollar amount paid by private insurance for </w:t>
      </w:r>
      <w:r w:rsidR="00CE2114" w:rsidRPr="008D54A5">
        <w:t xml:space="preserve">each </w:t>
      </w:r>
      <w:r w:rsidR="00C27EF0" w:rsidRPr="008D54A5">
        <w:t>OBD event was $</w:t>
      </w:r>
      <w:r w:rsidR="001C3BD7" w:rsidRPr="008D54A5">
        <w:t>202</w:t>
      </w:r>
      <w:r w:rsidR="00C27EF0" w:rsidRPr="008D54A5">
        <w:t xml:space="preserve">. </w:t>
      </w:r>
    </w:p>
    <w:p w14:paraId="6CD13C82" w14:textId="040D72F8" w:rsidR="00443422" w:rsidRPr="008D54A5" w:rsidRDefault="00F66AD2">
      <w:pPr>
        <w:pStyle w:val="BodyText"/>
      </w:pPr>
      <w:r w:rsidRPr="008D54A5">
        <w:rPr>
          <w:b/>
        </w:rPr>
        <w:t xml:space="preserve">Exhibits 5.3 </w:t>
      </w:r>
      <w:r w:rsidRPr="008D54A5">
        <w:t>and</w:t>
      </w:r>
      <w:r w:rsidRPr="008D54A5">
        <w:rPr>
          <w:b/>
        </w:rPr>
        <w:t xml:space="preserve"> 5.4 </w:t>
      </w:r>
      <w:r w:rsidRPr="008D54A5">
        <w:t xml:space="preserve">examine the reasons for discrepancy between total charge and total payment for the </w:t>
      </w:r>
      <w:r w:rsidR="006A1542" w:rsidRPr="008D54A5">
        <w:t>FFS</w:t>
      </w:r>
      <w:r w:rsidRPr="008D54A5">
        <w:t xml:space="preserve"> OBD events and for the</w:t>
      </w:r>
      <w:r w:rsidR="004D5317" w:rsidRPr="008D54A5">
        <w:t xml:space="preserve"> </w:t>
      </w:r>
      <w:r w:rsidR="006A1542" w:rsidRPr="008D54A5">
        <w:t>FFS</w:t>
      </w:r>
      <w:r w:rsidRPr="008D54A5">
        <w:t xml:space="preserve"> </w:t>
      </w:r>
      <w:r w:rsidR="005D562C" w:rsidRPr="008D54A5">
        <w:t>H</w:t>
      </w:r>
      <w:r w:rsidR="00350AE3" w:rsidRPr="008D54A5">
        <w:t>ospital</w:t>
      </w:r>
      <w:r w:rsidRPr="008D54A5">
        <w:t xml:space="preserve"> events for </w:t>
      </w:r>
      <w:r w:rsidR="001A4C10" w:rsidRPr="008D54A5">
        <w:t xml:space="preserve">the most recent </w:t>
      </w:r>
      <w:r w:rsidR="006A1542" w:rsidRPr="008D54A5">
        <w:t>3</w:t>
      </w:r>
      <w:r w:rsidR="001A4C10" w:rsidRPr="008D54A5">
        <w:t xml:space="preserve">-year </w:t>
      </w:r>
      <w:r w:rsidR="000A03B0" w:rsidRPr="008D54A5">
        <w:t>period</w:t>
      </w:r>
      <w:r w:rsidRPr="008D54A5">
        <w:t>.</w:t>
      </w:r>
      <w:r w:rsidR="00031B71" w:rsidRPr="008D54A5">
        <w:t xml:space="preserve"> For example, from </w:t>
      </w:r>
      <w:r w:rsidR="00356CD1" w:rsidRPr="00404E1F">
        <w:rPr>
          <w:b/>
          <w:bCs w:val="0"/>
        </w:rPr>
        <w:t>Exhibit </w:t>
      </w:r>
      <w:r w:rsidR="00031B71" w:rsidRPr="008D54A5">
        <w:rPr>
          <w:b/>
          <w:bCs w:val="0"/>
        </w:rPr>
        <w:t>5.3</w:t>
      </w:r>
      <w:r w:rsidR="00031B71" w:rsidRPr="008D54A5">
        <w:t xml:space="preserve">, of OBD </w:t>
      </w:r>
      <w:r w:rsidR="006A1542" w:rsidRPr="008D54A5">
        <w:t>FFS</w:t>
      </w:r>
      <w:r w:rsidR="00031B71" w:rsidRPr="008D54A5">
        <w:t xml:space="preserve"> events where payments were less than charges and </w:t>
      </w:r>
      <w:r w:rsidR="00356CD1" w:rsidRPr="008D54A5">
        <w:t>“</w:t>
      </w:r>
      <w:r w:rsidR="00393D22" w:rsidRPr="008D54A5">
        <w:t>Adjustments</w:t>
      </w:r>
      <w:r w:rsidR="00031B71" w:rsidRPr="008D54A5">
        <w:t xml:space="preserve"> (DIS</w:t>
      </w:r>
      <w:r w:rsidR="00393D22" w:rsidRPr="008D54A5">
        <w:t>ADJ</w:t>
      </w:r>
      <w:r w:rsidR="00031B71" w:rsidRPr="008D54A5">
        <w:t>)</w:t>
      </w:r>
      <w:r w:rsidR="00356CD1" w:rsidRPr="008D54A5">
        <w:t>”</w:t>
      </w:r>
      <w:r w:rsidR="00031B71" w:rsidRPr="008D54A5">
        <w:t xml:space="preserve"> was coded as </w:t>
      </w:r>
      <w:r w:rsidR="00356CD1" w:rsidRPr="008D54A5">
        <w:t>“</w:t>
      </w:r>
      <w:r w:rsidR="00031B71" w:rsidRPr="008D54A5">
        <w:t>yes</w:t>
      </w:r>
      <w:r w:rsidR="00356CD1" w:rsidRPr="008D54A5">
        <w:t>”</w:t>
      </w:r>
      <w:r w:rsidR="00031B71" w:rsidRPr="008D54A5">
        <w:t xml:space="preserve"> or </w:t>
      </w:r>
      <w:r w:rsidR="00356CD1" w:rsidRPr="008D54A5">
        <w:t>“</w:t>
      </w:r>
      <w:r w:rsidR="00031B71" w:rsidRPr="008D54A5">
        <w:t>no</w:t>
      </w:r>
      <w:r w:rsidR="00356CD1" w:rsidRPr="008D54A5">
        <w:t>”</w:t>
      </w:r>
      <w:r w:rsidR="00031B71" w:rsidRPr="008D54A5">
        <w:t xml:space="preserve"> for the reason, </w:t>
      </w:r>
      <w:r w:rsidR="00AF6214" w:rsidRPr="008D54A5">
        <w:t>97.</w:t>
      </w:r>
      <w:r w:rsidR="00223C7B" w:rsidRPr="008D54A5">
        <w:t xml:space="preserve">8 </w:t>
      </w:r>
      <w:r w:rsidR="008F36B4" w:rsidRPr="008D54A5">
        <w:t>percent</w:t>
      </w:r>
      <w:r w:rsidR="00031B71" w:rsidRPr="008D54A5">
        <w:t xml:space="preserve"> of the events </w:t>
      </w:r>
      <w:r w:rsidR="00F361B3" w:rsidRPr="008D54A5">
        <w:t xml:space="preserve">have a response of </w:t>
      </w:r>
      <w:r w:rsidR="00356CD1" w:rsidRPr="008D54A5">
        <w:t>“</w:t>
      </w:r>
      <w:r w:rsidR="00F361B3" w:rsidRPr="008D54A5">
        <w:t>yes</w:t>
      </w:r>
      <w:r w:rsidR="00356CD1" w:rsidRPr="008D54A5">
        <w:t>”</w:t>
      </w:r>
      <w:r w:rsidR="00F361B3" w:rsidRPr="008D54A5">
        <w:t xml:space="preserve"> that this is the reason.</w:t>
      </w:r>
      <w:r w:rsidRPr="008D54A5">
        <w:t xml:space="preserve"> </w:t>
      </w:r>
    </w:p>
    <w:p w14:paraId="4B194584" w14:textId="31C167E2" w:rsidR="00A322E7" w:rsidRPr="008D54A5" w:rsidRDefault="00A322E7" w:rsidP="00FD4A4F">
      <w:pPr>
        <w:pStyle w:val="ExhibitTitle"/>
      </w:pPr>
      <w:bookmarkStart w:id="174" w:name="RANGE!A1:M15"/>
      <w:bookmarkStart w:id="175" w:name="_Toc128574187"/>
      <w:bookmarkStart w:id="176" w:name="_Toc188622344"/>
      <w:bookmarkEnd w:id="173"/>
      <w:r w:rsidRPr="00404E1F">
        <w:t>Exhibit </w:t>
      </w:r>
      <w:r w:rsidR="00AB3CB9" w:rsidRPr="008D54A5">
        <w:rPr>
          <w:noProof/>
        </w:rPr>
        <w:fldChar w:fldCharType="begin"/>
      </w:r>
      <w:r w:rsidR="00AB3CB9" w:rsidRPr="008D54A5">
        <w:rPr>
          <w:noProof/>
        </w:rPr>
        <w:instrText xml:space="preserve"> STYLEREF 1 \s </w:instrText>
      </w:r>
      <w:r w:rsidR="00AB3CB9" w:rsidRPr="008D54A5">
        <w:rPr>
          <w:noProof/>
        </w:rPr>
        <w:fldChar w:fldCharType="separate"/>
      </w:r>
      <w:r w:rsidR="00EC2444" w:rsidRPr="008D54A5">
        <w:rPr>
          <w:noProof/>
        </w:rPr>
        <w:t>5</w:t>
      </w:r>
      <w:r w:rsidR="00AB3CB9" w:rsidRPr="008D54A5">
        <w:rPr>
          <w:noProof/>
        </w:rPr>
        <w:fldChar w:fldCharType="end"/>
      </w:r>
      <w:r w:rsidR="00AB3CB9" w:rsidRPr="008D54A5">
        <w:t>.</w:t>
      </w:r>
      <w:r w:rsidR="00AB3CB9" w:rsidRPr="008D54A5">
        <w:rPr>
          <w:noProof/>
        </w:rPr>
        <w:fldChar w:fldCharType="begin"/>
      </w:r>
      <w:r w:rsidR="00AB3CB9" w:rsidRPr="008D54A5">
        <w:rPr>
          <w:noProof/>
        </w:rPr>
        <w:instrText xml:space="preserve"> SEQ Exhibit \* ARABIC \s 1 </w:instrText>
      </w:r>
      <w:r w:rsidR="00AB3CB9" w:rsidRPr="008D54A5">
        <w:rPr>
          <w:noProof/>
        </w:rPr>
        <w:fldChar w:fldCharType="separate"/>
      </w:r>
      <w:r w:rsidR="00EC2444" w:rsidRPr="008D54A5">
        <w:rPr>
          <w:noProof/>
        </w:rPr>
        <w:t>1</w:t>
      </w:r>
      <w:r w:rsidR="00AB3CB9" w:rsidRPr="008D54A5">
        <w:rPr>
          <w:noProof/>
        </w:rPr>
        <w:fldChar w:fldCharType="end"/>
      </w:r>
      <w:r w:rsidRPr="008D54A5">
        <w:tab/>
        <w:t xml:space="preserve">Comparing Payments and Charge Variables </w:t>
      </w:r>
      <w:r w:rsidR="00734B66" w:rsidRPr="008D54A5">
        <w:t xml:space="preserve">Among </w:t>
      </w:r>
      <w:r w:rsidRPr="008D54A5">
        <w:t xml:space="preserve">Fee-for-Service OBD Events, </w:t>
      </w:r>
      <w:r w:rsidR="00471B99" w:rsidRPr="008D54A5">
        <w:t>2020</w:t>
      </w:r>
      <w:r w:rsidR="006A1542" w:rsidRPr="008D54A5">
        <w:t>–</w:t>
      </w:r>
      <w:r w:rsidR="002B2330" w:rsidRPr="008D54A5">
        <w:t>202</w:t>
      </w:r>
      <w:r w:rsidR="00471B99" w:rsidRPr="008D54A5">
        <w:t>2</w:t>
      </w:r>
      <w:r w:rsidRPr="008D54A5">
        <w:t xml:space="preserve"> MPC</w:t>
      </w:r>
      <w:bookmarkEnd w:id="174"/>
      <w:r w:rsidRPr="008D54A5">
        <w:sym w:font="Symbol" w:char="F0BE"/>
      </w:r>
      <w:r w:rsidRPr="008D54A5">
        <w:t>OBD (MV Only)</w:t>
      </w:r>
      <w:bookmarkEnd w:id="175"/>
      <w:bookmarkEnd w:id="176"/>
    </w:p>
    <w:tbl>
      <w:tblPr>
        <w:tblStyle w:val="TableGrid"/>
        <w:tblW w:w="5000" w:type="pct"/>
        <w:tblLook w:val="04A0" w:firstRow="1" w:lastRow="0" w:firstColumn="1" w:lastColumn="0" w:noHBand="0" w:noVBand="1"/>
      </w:tblPr>
      <w:tblGrid>
        <w:gridCol w:w="2703"/>
        <w:gridCol w:w="513"/>
        <w:gridCol w:w="513"/>
        <w:gridCol w:w="483"/>
        <w:gridCol w:w="513"/>
        <w:gridCol w:w="514"/>
        <w:gridCol w:w="477"/>
        <w:gridCol w:w="573"/>
        <w:gridCol w:w="573"/>
        <w:gridCol w:w="537"/>
        <w:gridCol w:w="670"/>
        <w:gridCol w:w="669"/>
        <w:gridCol w:w="612"/>
      </w:tblGrid>
      <w:tr w:rsidR="0067323E" w:rsidRPr="008D54A5" w14:paraId="710160C2" w14:textId="77777777" w:rsidTr="00471B99">
        <w:trPr>
          <w:cnfStyle w:val="100000000000" w:firstRow="1" w:lastRow="0" w:firstColumn="0" w:lastColumn="0" w:oddVBand="0" w:evenVBand="0" w:oddHBand="0" w:evenHBand="0" w:firstRowFirstColumn="0" w:firstRowLastColumn="0" w:lastRowFirstColumn="0" w:lastRowLastColumn="0"/>
          <w:trHeight w:val="20"/>
        </w:trPr>
        <w:tc>
          <w:tcPr>
            <w:tcW w:w="1112" w:type="pct"/>
            <w:vMerge w:val="restart"/>
            <w:noWrap/>
            <w:hideMark/>
          </w:tcPr>
          <w:p w14:paraId="238CC946" w14:textId="77777777" w:rsidR="0067323E" w:rsidRPr="008D54A5" w:rsidRDefault="0067323E" w:rsidP="00A322E7">
            <w:pPr>
              <w:pStyle w:val="TableHeading-10"/>
              <w:rPr>
                <w:sz w:val="18"/>
                <w:szCs w:val="18"/>
              </w:rPr>
            </w:pPr>
            <w:r w:rsidRPr="008D54A5">
              <w:rPr>
                <w:sz w:val="18"/>
                <w:szCs w:val="18"/>
              </w:rPr>
              <w:t>Payment/Charge</w:t>
            </w:r>
          </w:p>
        </w:tc>
        <w:tc>
          <w:tcPr>
            <w:tcW w:w="977" w:type="pct"/>
            <w:gridSpan w:val="3"/>
            <w:noWrap/>
            <w:hideMark/>
          </w:tcPr>
          <w:p w14:paraId="6B12409E" w14:textId="77777777" w:rsidR="0067323E" w:rsidRPr="008D54A5" w:rsidRDefault="0067323E" w:rsidP="00A322E7">
            <w:pPr>
              <w:pStyle w:val="TableHeading-10"/>
              <w:rPr>
                <w:sz w:val="18"/>
                <w:szCs w:val="18"/>
              </w:rPr>
            </w:pPr>
            <w:r w:rsidRPr="008D54A5">
              <w:rPr>
                <w:sz w:val="18"/>
                <w:szCs w:val="18"/>
              </w:rPr>
              <w:t>Percent &gt; 0</w:t>
            </w:r>
          </w:p>
        </w:tc>
        <w:tc>
          <w:tcPr>
            <w:tcW w:w="973" w:type="pct"/>
            <w:gridSpan w:val="3"/>
            <w:noWrap/>
            <w:hideMark/>
          </w:tcPr>
          <w:p w14:paraId="3645E476" w14:textId="77777777" w:rsidR="0067323E" w:rsidRPr="008D54A5" w:rsidRDefault="0067323E" w:rsidP="00A322E7">
            <w:pPr>
              <w:pStyle w:val="TableHeading-10"/>
              <w:rPr>
                <w:sz w:val="18"/>
                <w:szCs w:val="18"/>
              </w:rPr>
            </w:pPr>
            <w:r w:rsidRPr="008D54A5">
              <w:rPr>
                <w:sz w:val="18"/>
                <w:szCs w:val="18"/>
              </w:rPr>
              <w:t>Percent = 0</w:t>
            </w:r>
          </w:p>
        </w:tc>
        <w:tc>
          <w:tcPr>
            <w:tcW w:w="973" w:type="pct"/>
            <w:gridSpan w:val="3"/>
            <w:noWrap/>
            <w:hideMark/>
          </w:tcPr>
          <w:p w14:paraId="325A4E79" w14:textId="77777777" w:rsidR="0067323E" w:rsidRPr="008D54A5" w:rsidRDefault="0067323E" w:rsidP="00A322E7">
            <w:pPr>
              <w:pStyle w:val="TableHeading-10"/>
              <w:rPr>
                <w:sz w:val="18"/>
                <w:szCs w:val="18"/>
              </w:rPr>
            </w:pPr>
            <w:r w:rsidRPr="008D54A5">
              <w:rPr>
                <w:sz w:val="18"/>
                <w:szCs w:val="18"/>
              </w:rPr>
              <w:t xml:space="preserve">Percent = </w:t>
            </w:r>
            <w:r w:rsidRPr="008D54A5">
              <w:rPr>
                <w:sz w:val="18"/>
                <w:szCs w:val="18"/>
              </w:rPr>
              <w:br/>
              <w:t>Missing, Refusal, etc.</w:t>
            </w:r>
          </w:p>
        </w:tc>
        <w:tc>
          <w:tcPr>
            <w:tcW w:w="965" w:type="pct"/>
            <w:gridSpan w:val="3"/>
            <w:noWrap/>
            <w:hideMark/>
          </w:tcPr>
          <w:p w14:paraId="4D8135FF" w14:textId="77777777" w:rsidR="0067323E" w:rsidRPr="008D54A5" w:rsidRDefault="0067323E" w:rsidP="00A322E7">
            <w:pPr>
              <w:pStyle w:val="TableHeading-10"/>
              <w:rPr>
                <w:sz w:val="18"/>
                <w:szCs w:val="18"/>
              </w:rPr>
            </w:pPr>
            <w:r w:rsidRPr="008D54A5">
              <w:rPr>
                <w:sz w:val="18"/>
                <w:szCs w:val="18"/>
              </w:rPr>
              <w:t>Mean Among Values &gt; 0</w:t>
            </w:r>
          </w:p>
        </w:tc>
      </w:tr>
      <w:tr w:rsidR="00B73659" w:rsidRPr="008D54A5" w14:paraId="0B460EB0" w14:textId="77777777" w:rsidTr="00471B99">
        <w:trPr>
          <w:trHeight w:val="20"/>
        </w:trPr>
        <w:tc>
          <w:tcPr>
            <w:tcW w:w="1112" w:type="pct"/>
            <w:vMerge/>
            <w:shd w:val="clear" w:color="auto" w:fill="BFBFBF"/>
            <w:vAlign w:val="bottom"/>
            <w:hideMark/>
          </w:tcPr>
          <w:p w14:paraId="5CE9EC9C" w14:textId="77777777" w:rsidR="00471B99" w:rsidRPr="008D54A5" w:rsidRDefault="00471B99" w:rsidP="00471B99">
            <w:pPr>
              <w:pStyle w:val="TableHeading-10"/>
              <w:rPr>
                <w:sz w:val="18"/>
                <w:szCs w:val="18"/>
              </w:rPr>
            </w:pPr>
          </w:p>
        </w:tc>
        <w:tc>
          <w:tcPr>
            <w:tcW w:w="331" w:type="pct"/>
            <w:tcBorders>
              <w:top w:val="single" w:sz="4" w:space="0" w:color="auto"/>
              <w:left w:val="single" w:sz="4" w:space="0" w:color="auto"/>
              <w:bottom w:val="single" w:sz="4" w:space="0" w:color="auto"/>
              <w:right w:val="single" w:sz="4" w:space="0" w:color="auto"/>
            </w:tcBorders>
            <w:shd w:val="clear" w:color="000000" w:fill="BFBFBF"/>
          </w:tcPr>
          <w:p w14:paraId="15AA441E" w14:textId="55F8E80E" w:rsidR="00471B99" w:rsidRPr="008D54A5" w:rsidRDefault="00471B99" w:rsidP="00471B99">
            <w:pPr>
              <w:pStyle w:val="TableHeading-10"/>
              <w:rPr>
                <w:sz w:val="18"/>
                <w:szCs w:val="18"/>
              </w:rPr>
            </w:pPr>
            <w:r w:rsidRPr="008D54A5">
              <w:t>2020</w:t>
            </w:r>
          </w:p>
        </w:tc>
        <w:tc>
          <w:tcPr>
            <w:tcW w:w="331" w:type="pct"/>
            <w:tcBorders>
              <w:top w:val="single" w:sz="4" w:space="0" w:color="auto"/>
              <w:left w:val="nil"/>
              <w:bottom w:val="single" w:sz="4" w:space="0" w:color="auto"/>
              <w:right w:val="single" w:sz="4" w:space="0" w:color="auto"/>
            </w:tcBorders>
            <w:shd w:val="clear" w:color="000000" w:fill="BFBFBF"/>
          </w:tcPr>
          <w:p w14:paraId="16CE7982" w14:textId="48EB409F" w:rsidR="00471B99" w:rsidRPr="008D54A5" w:rsidRDefault="00471B99" w:rsidP="00471B99">
            <w:pPr>
              <w:pStyle w:val="TableHeading-10"/>
              <w:rPr>
                <w:sz w:val="18"/>
                <w:szCs w:val="18"/>
              </w:rPr>
            </w:pPr>
            <w:r w:rsidRPr="008D54A5">
              <w:t>2021</w:t>
            </w:r>
          </w:p>
        </w:tc>
        <w:tc>
          <w:tcPr>
            <w:tcW w:w="315" w:type="pct"/>
            <w:tcBorders>
              <w:top w:val="single" w:sz="4" w:space="0" w:color="auto"/>
              <w:left w:val="nil"/>
              <w:bottom w:val="single" w:sz="4" w:space="0" w:color="auto"/>
              <w:right w:val="single" w:sz="4" w:space="0" w:color="auto"/>
            </w:tcBorders>
            <w:shd w:val="clear" w:color="000000" w:fill="BFBFBF"/>
            <w:noWrap/>
            <w:hideMark/>
          </w:tcPr>
          <w:p w14:paraId="1526F983" w14:textId="041ADDF2" w:rsidR="00471B99" w:rsidRPr="008D54A5" w:rsidRDefault="00471B99" w:rsidP="00471B99">
            <w:pPr>
              <w:pStyle w:val="TableHeading-10"/>
              <w:rPr>
                <w:sz w:val="18"/>
                <w:szCs w:val="18"/>
              </w:rPr>
            </w:pPr>
            <w:r w:rsidRPr="008D54A5">
              <w:t>2022</w:t>
            </w:r>
          </w:p>
        </w:tc>
        <w:tc>
          <w:tcPr>
            <w:tcW w:w="331" w:type="pct"/>
            <w:tcBorders>
              <w:top w:val="single" w:sz="4" w:space="0" w:color="auto"/>
              <w:left w:val="nil"/>
              <w:bottom w:val="single" w:sz="4" w:space="0" w:color="auto"/>
              <w:right w:val="single" w:sz="4" w:space="0" w:color="auto"/>
            </w:tcBorders>
            <w:shd w:val="clear" w:color="000000" w:fill="BFBFBF"/>
          </w:tcPr>
          <w:p w14:paraId="03BC818C" w14:textId="15C139A6" w:rsidR="00471B99" w:rsidRPr="008D54A5" w:rsidRDefault="00471B99" w:rsidP="00471B99">
            <w:pPr>
              <w:pStyle w:val="TableHeading-10"/>
              <w:rPr>
                <w:sz w:val="18"/>
                <w:szCs w:val="18"/>
              </w:rPr>
            </w:pPr>
            <w:r w:rsidRPr="008D54A5">
              <w:t>2020</w:t>
            </w:r>
          </w:p>
        </w:tc>
        <w:tc>
          <w:tcPr>
            <w:tcW w:w="331" w:type="pct"/>
            <w:tcBorders>
              <w:top w:val="single" w:sz="4" w:space="0" w:color="auto"/>
              <w:left w:val="nil"/>
              <w:bottom w:val="single" w:sz="4" w:space="0" w:color="auto"/>
              <w:right w:val="single" w:sz="4" w:space="0" w:color="auto"/>
            </w:tcBorders>
            <w:shd w:val="clear" w:color="000000" w:fill="BFBFBF"/>
          </w:tcPr>
          <w:p w14:paraId="13BEE465" w14:textId="30CD59A4" w:rsidR="00471B99" w:rsidRPr="008D54A5" w:rsidRDefault="00471B99" w:rsidP="00471B99">
            <w:pPr>
              <w:pStyle w:val="TableHeading-10"/>
              <w:rPr>
                <w:sz w:val="18"/>
                <w:szCs w:val="18"/>
              </w:rPr>
            </w:pPr>
            <w:r w:rsidRPr="008D54A5">
              <w:t>2021</w:t>
            </w:r>
          </w:p>
        </w:tc>
        <w:tc>
          <w:tcPr>
            <w:tcW w:w="311" w:type="pct"/>
            <w:tcBorders>
              <w:top w:val="single" w:sz="4" w:space="0" w:color="auto"/>
              <w:left w:val="nil"/>
              <w:bottom w:val="single" w:sz="4" w:space="0" w:color="auto"/>
              <w:right w:val="single" w:sz="4" w:space="0" w:color="auto"/>
            </w:tcBorders>
            <w:shd w:val="clear" w:color="000000" w:fill="BFBFBF"/>
            <w:noWrap/>
            <w:hideMark/>
          </w:tcPr>
          <w:p w14:paraId="066BEC46" w14:textId="50F4B53B" w:rsidR="00471B99" w:rsidRPr="008D54A5" w:rsidRDefault="00471B99" w:rsidP="00471B99">
            <w:pPr>
              <w:pStyle w:val="TableHeading-10"/>
              <w:rPr>
                <w:sz w:val="18"/>
                <w:szCs w:val="18"/>
              </w:rPr>
            </w:pPr>
            <w:r w:rsidRPr="008D54A5">
              <w:t>2022</w:t>
            </w:r>
          </w:p>
        </w:tc>
        <w:tc>
          <w:tcPr>
            <w:tcW w:w="331" w:type="pct"/>
            <w:tcBorders>
              <w:top w:val="single" w:sz="4" w:space="0" w:color="auto"/>
              <w:left w:val="nil"/>
              <w:bottom w:val="single" w:sz="4" w:space="0" w:color="auto"/>
              <w:right w:val="single" w:sz="4" w:space="0" w:color="auto"/>
            </w:tcBorders>
            <w:shd w:val="clear" w:color="000000" w:fill="BFBFBF"/>
          </w:tcPr>
          <w:p w14:paraId="0F4A748A" w14:textId="56D96B4E" w:rsidR="00471B99" w:rsidRPr="008D54A5" w:rsidRDefault="00471B99" w:rsidP="00471B99">
            <w:pPr>
              <w:pStyle w:val="TableHeading-10"/>
              <w:rPr>
                <w:sz w:val="18"/>
                <w:szCs w:val="18"/>
              </w:rPr>
            </w:pPr>
            <w:r w:rsidRPr="008D54A5">
              <w:t>2020</w:t>
            </w:r>
          </w:p>
        </w:tc>
        <w:tc>
          <w:tcPr>
            <w:tcW w:w="331" w:type="pct"/>
            <w:tcBorders>
              <w:top w:val="single" w:sz="4" w:space="0" w:color="auto"/>
              <w:left w:val="nil"/>
              <w:bottom w:val="single" w:sz="4" w:space="0" w:color="auto"/>
              <w:right w:val="single" w:sz="4" w:space="0" w:color="auto"/>
            </w:tcBorders>
            <w:shd w:val="clear" w:color="000000" w:fill="BFBFBF"/>
          </w:tcPr>
          <w:p w14:paraId="069AF899" w14:textId="6DF66520" w:rsidR="00471B99" w:rsidRPr="008D54A5" w:rsidRDefault="00471B99" w:rsidP="00471B99">
            <w:pPr>
              <w:pStyle w:val="TableHeading-10"/>
              <w:rPr>
                <w:sz w:val="18"/>
                <w:szCs w:val="18"/>
              </w:rPr>
            </w:pPr>
            <w:r w:rsidRPr="008D54A5">
              <w:t>2021</w:t>
            </w:r>
          </w:p>
        </w:tc>
        <w:tc>
          <w:tcPr>
            <w:tcW w:w="311" w:type="pct"/>
            <w:tcBorders>
              <w:top w:val="single" w:sz="4" w:space="0" w:color="auto"/>
              <w:left w:val="nil"/>
              <w:bottom w:val="single" w:sz="4" w:space="0" w:color="auto"/>
              <w:right w:val="single" w:sz="4" w:space="0" w:color="auto"/>
            </w:tcBorders>
            <w:shd w:val="clear" w:color="000000" w:fill="BFBFBF"/>
            <w:noWrap/>
            <w:hideMark/>
          </w:tcPr>
          <w:p w14:paraId="1638915F" w14:textId="20927C01" w:rsidR="00471B99" w:rsidRPr="008D54A5" w:rsidRDefault="00471B99" w:rsidP="00471B99">
            <w:pPr>
              <w:pStyle w:val="TableHeading-10"/>
              <w:rPr>
                <w:sz w:val="18"/>
                <w:szCs w:val="18"/>
              </w:rPr>
            </w:pPr>
            <w:r w:rsidRPr="008D54A5">
              <w:t>2022</w:t>
            </w:r>
          </w:p>
        </w:tc>
        <w:tc>
          <w:tcPr>
            <w:tcW w:w="331" w:type="pct"/>
            <w:tcBorders>
              <w:top w:val="single" w:sz="4" w:space="0" w:color="auto"/>
              <w:left w:val="nil"/>
              <w:bottom w:val="single" w:sz="4" w:space="0" w:color="auto"/>
              <w:right w:val="single" w:sz="4" w:space="0" w:color="auto"/>
            </w:tcBorders>
            <w:shd w:val="clear" w:color="000000" w:fill="BFBFBF"/>
          </w:tcPr>
          <w:p w14:paraId="63BB364D" w14:textId="2EAC041D" w:rsidR="00471B99" w:rsidRPr="008D54A5" w:rsidRDefault="00471B99" w:rsidP="00471B99">
            <w:pPr>
              <w:pStyle w:val="TableHeading-10"/>
              <w:rPr>
                <w:sz w:val="18"/>
                <w:szCs w:val="18"/>
              </w:rPr>
            </w:pPr>
            <w:r w:rsidRPr="008D54A5">
              <w:t>2020</w:t>
            </w:r>
          </w:p>
        </w:tc>
        <w:tc>
          <w:tcPr>
            <w:tcW w:w="331" w:type="pct"/>
            <w:tcBorders>
              <w:top w:val="single" w:sz="4" w:space="0" w:color="auto"/>
              <w:left w:val="nil"/>
              <w:bottom w:val="single" w:sz="4" w:space="0" w:color="auto"/>
              <w:right w:val="single" w:sz="4" w:space="0" w:color="auto"/>
            </w:tcBorders>
            <w:shd w:val="clear" w:color="000000" w:fill="BFBFBF"/>
          </w:tcPr>
          <w:p w14:paraId="3849C958" w14:textId="18268688" w:rsidR="00471B99" w:rsidRPr="008D54A5" w:rsidRDefault="00471B99" w:rsidP="00471B99">
            <w:pPr>
              <w:pStyle w:val="TableHeading-10"/>
              <w:rPr>
                <w:sz w:val="18"/>
                <w:szCs w:val="18"/>
              </w:rPr>
            </w:pPr>
            <w:r w:rsidRPr="008D54A5">
              <w:t>2021</w:t>
            </w:r>
          </w:p>
        </w:tc>
        <w:tc>
          <w:tcPr>
            <w:tcW w:w="303" w:type="pct"/>
            <w:tcBorders>
              <w:top w:val="single" w:sz="4" w:space="0" w:color="auto"/>
              <w:left w:val="nil"/>
              <w:bottom w:val="single" w:sz="4" w:space="0" w:color="auto"/>
              <w:right w:val="single" w:sz="4" w:space="0" w:color="auto"/>
            </w:tcBorders>
            <w:shd w:val="clear" w:color="000000" w:fill="BFBFBF"/>
            <w:noWrap/>
            <w:hideMark/>
          </w:tcPr>
          <w:p w14:paraId="6A540E0F" w14:textId="1903D983" w:rsidR="00471B99" w:rsidRPr="008D54A5" w:rsidRDefault="00471B99" w:rsidP="00471B99">
            <w:pPr>
              <w:pStyle w:val="TableHeading-10"/>
              <w:rPr>
                <w:sz w:val="18"/>
                <w:szCs w:val="18"/>
              </w:rPr>
            </w:pPr>
            <w:r w:rsidRPr="008D54A5">
              <w:t>2022</w:t>
            </w:r>
          </w:p>
        </w:tc>
      </w:tr>
      <w:tr w:rsidR="00652EC4" w:rsidRPr="008D54A5" w14:paraId="5F014102" w14:textId="77777777" w:rsidTr="00471B99">
        <w:trPr>
          <w:trHeight w:val="20"/>
        </w:trPr>
        <w:tc>
          <w:tcPr>
            <w:tcW w:w="1112" w:type="pct"/>
            <w:noWrap/>
            <w:hideMark/>
          </w:tcPr>
          <w:p w14:paraId="19AE224C" w14:textId="77777777" w:rsidR="00471B99" w:rsidRPr="008D54A5" w:rsidRDefault="00471B99" w:rsidP="00E47419">
            <w:pPr>
              <w:pStyle w:val="TableText-10"/>
            </w:pPr>
            <w:r w:rsidRPr="008D54A5">
              <w:t>Payment from Patient</w:t>
            </w:r>
          </w:p>
        </w:tc>
        <w:tc>
          <w:tcPr>
            <w:tcW w:w="331" w:type="pct"/>
            <w:tcBorders>
              <w:top w:val="single" w:sz="4" w:space="0" w:color="auto"/>
              <w:left w:val="single" w:sz="4" w:space="0" w:color="auto"/>
              <w:bottom w:val="single" w:sz="4" w:space="0" w:color="auto"/>
              <w:right w:val="single" w:sz="4" w:space="0" w:color="auto"/>
            </w:tcBorders>
            <w:shd w:val="clear" w:color="auto" w:fill="auto"/>
          </w:tcPr>
          <w:p w14:paraId="6F5971AD" w14:textId="43BC42B8" w:rsidR="00471B99" w:rsidRPr="008D54A5" w:rsidRDefault="00471B99" w:rsidP="00E47419">
            <w:pPr>
              <w:pStyle w:val="TableText-center-10"/>
            </w:pPr>
            <w:r w:rsidRPr="008D54A5">
              <w:t>33.3</w:t>
            </w:r>
          </w:p>
        </w:tc>
        <w:tc>
          <w:tcPr>
            <w:tcW w:w="331" w:type="pct"/>
            <w:tcBorders>
              <w:top w:val="single" w:sz="4" w:space="0" w:color="auto"/>
              <w:left w:val="nil"/>
              <w:bottom w:val="single" w:sz="4" w:space="0" w:color="auto"/>
              <w:right w:val="single" w:sz="4" w:space="0" w:color="auto"/>
            </w:tcBorders>
            <w:shd w:val="clear" w:color="auto" w:fill="auto"/>
          </w:tcPr>
          <w:p w14:paraId="5DAB04B4" w14:textId="2858554D" w:rsidR="00471B99" w:rsidRPr="008D54A5" w:rsidRDefault="00471B99" w:rsidP="00E47419">
            <w:pPr>
              <w:pStyle w:val="TableText-center-10"/>
            </w:pPr>
            <w:r w:rsidRPr="008D54A5">
              <w:t>33.4</w:t>
            </w:r>
          </w:p>
        </w:tc>
        <w:tc>
          <w:tcPr>
            <w:tcW w:w="315" w:type="pct"/>
            <w:tcBorders>
              <w:top w:val="single" w:sz="4" w:space="0" w:color="auto"/>
              <w:left w:val="nil"/>
              <w:bottom w:val="single" w:sz="4" w:space="0" w:color="auto"/>
              <w:right w:val="single" w:sz="4" w:space="0" w:color="auto"/>
            </w:tcBorders>
            <w:shd w:val="clear" w:color="auto" w:fill="auto"/>
            <w:noWrap/>
            <w:hideMark/>
          </w:tcPr>
          <w:p w14:paraId="48668577" w14:textId="5FCD373F" w:rsidR="00471B99" w:rsidRPr="008D54A5" w:rsidRDefault="00471B99" w:rsidP="00E47419">
            <w:pPr>
              <w:pStyle w:val="TableText-center-10"/>
            </w:pPr>
            <w:r w:rsidRPr="008D54A5">
              <w:t>37.6</w:t>
            </w:r>
          </w:p>
        </w:tc>
        <w:tc>
          <w:tcPr>
            <w:tcW w:w="331" w:type="pct"/>
            <w:tcBorders>
              <w:top w:val="single" w:sz="4" w:space="0" w:color="auto"/>
              <w:left w:val="nil"/>
              <w:bottom w:val="single" w:sz="4" w:space="0" w:color="auto"/>
              <w:right w:val="single" w:sz="4" w:space="0" w:color="auto"/>
            </w:tcBorders>
            <w:shd w:val="clear" w:color="auto" w:fill="auto"/>
          </w:tcPr>
          <w:p w14:paraId="5167E864" w14:textId="5ECD68A4" w:rsidR="00471B99" w:rsidRPr="008D54A5" w:rsidRDefault="00471B99" w:rsidP="00E47419">
            <w:pPr>
              <w:pStyle w:val="TableText-center-10"/>
            </w:pPr>
            <w:r w:rsidRPr="008D54A5">
              <w:t>66.4</w:t>
            </w:r>
          </w:p>
        </w:tc>
        <w:tc>
          <w:tcPr>
            <w:tcW w:w="331" w:type="pct"/>
            <w:tcBorders>
              <w:top w:val="single" w:sz="4" w:space="0" w:color="auto"/>
              <w:left w:val="nil"/>
              <w:bottom w:val="single" w:sz="4" w:space="0" w:color="auto"/>
              <w:right w:val="single" w:sz="4" w:space="0" w:color="auto"/>
            </w:tcBorders>
            <w:shd w:val="clear" w:color="auto" w:fill="auto"/>
          </w:tcPr>
          <w:p w14:paraId="25229783" w14:textId="093445FB" w:rsidR="00471B99" w:rsidRPr="008D54A5" w:rsidRDefault="00471B99" w:rsidP="00E47419">
            <w:pPr>
              <w:pStyle w:val="TableText-center-10"/>
            </w:pPr>
            <w:r w:rsidRPr="008D54A5">
              <w:t>66.3</w:t>
            </w:r>
          </w:p>
        </w:tc>
        <w:tc>
          <w:tcPr>
            <w:tcW w:w="311" w:type="pct"/>
            <w:tcBorders>
              <w:top w:val="single" w:sz="4" w:space="0" w:color="auto"/>
              <w:left w:val="nil"/>
              <w:bottom w:val="single" w:sz="4" w:space="0" w:color="auto"/>
              <w:right w:val="single" w:sz="4" w:space="0" w:color="auto"/>
            </w:tcBorders>
            <w:shd w:val="clear" w:color="auto" w:fill="auto"/>
            <w:noWrap/>
            <w:hideMark/>
          </w:tcPr>
          <w:p w14:paraId="06BDD830" w14:textId="356D5EF6" w:rsidR="00471B99" w:rsidRPr="008D54A5" w:rsidRDefault="00471B99" w:rsidP="00E47419">
            <w:pPr>
              <w:pStyle w:val="TableText-center-10"/>
            </w:pPr>
            <w:r w:rsidRPr="008D54A5">
              <w:t>62.2</w:t>
            </w:r>
          </w:p>
        </w:tc>
        <w:tc>
          <w:tcPr>
            <w:tcW w:w="331" w:type="pct"/>
            <w:tcBorders>
              <w:top w:val="single" w:sz="4" w:space="0" w:color="auto"/>
              <w:left w:val="nil"/>
              <w:bottom w:val="single" w:sz="4" w:space="0" w:color="auto"/>
              <w:right w:val="single" w:sz="4" w:space="0" w:color="auto"/>
            </w:tcBorders>
            <w:shd w:val="clear" w:color="auto" w:fill="auto"/>
          </w:tcPr>
          <w:p w14:paraId="73051DD6" w14:textId="3FE0E6B9" w:rsidR="00471B99" w:rsidRPr="008D54A5" w:rsidRDefault="00471B99" w:rsidP="00E47419">
            <w:pPr>
              <w:pStyle w:val="TableText-center-10"/>
            </w:pPr>
            <w:r w:rsidRPr="008D54A5">
              <w:t>0.3</w:t>
            </w:r>
          </w:p>
        </w:tc>
        <w:tc>
          <w:tcPr>
            <w:tcW w:w="331" w:type="pct"/>
            <w:tcBorders>
              <w:top w:val="single" w:sz="4" w:space="0" w:color="auto"/>
              <w:left w:val="nil"/>
              <w:bottom w:val="single" w:sz="4" w:space="0" w:color="auto"/>
              <w:right w:val="single" w:sz="4" w:space="0" w:color="auto"/>
            </w:tcBorders>
            <w:shd w:val="clear" w:color="auto" w:fill="auto"/>
          </w:tcPr>
          <w:p w14:paraId="621B6113" w14:textId="32001B81" w:rsidR="00471B99" w:rsidRPr="008D54A5" w:rsidRDefault="00471B99" w:rsidP="00E47419">
            <w:pPr>
              <w:pStyle w:val="TableText-center-10"/>
            </w:pPr>
            <w:r w:rsidRPr="008D54A5">
              <w:t>0.3</w:t>
            </w:r>
          </w:p>
        </w:tc>
        <w:tc>
          <w:tcPr>
            <w:tcW w:w="311" w:type="pct"/>
            <w:tcBorders>
              <w:top w:val="single" w:sz="4" w:space="0" w:color="auto"/>
              <w:left w:val="nil"/>
              <w:bottom w:val="single" w:sz="4" w:space="0" w:color="auto"/>
              <w:right w:val="single" w:sz="4" w:space="0" w:color="auto"/>
            </w:tcBorders>
            <w:shd w:val="clear" w:color="auto" w:fill="auto"/>
            <w:noWrap/>
            <w:hideMark/>
          </w:tcPr>
          <w:p w14:paraId="08301D69" w14:textId="492BE49A" w:rsidR="00471B99" w:rsidRPr="008D54A5" w:rsidRDefault="00471B99" w:rsidP="00E47419">
            <w:pPr>
              <w:pStyle w:val="TableText-center-10"/>
            </w:pPr>
            <w:r w:rsidRPr="008D54A5">
              <w:t>0.2</w:t>
            </w:r>
          </w:p>
        </w:tc>
        <w:tc>
          <w:tcPr>
            <w:tcW w:w="331" w:type="pct"/>
            <w:tcBorders>
              <w:top w:val="single" w:sz="4" w:space="0" w:color="auto"/>
              <w:left w:val="nil"/>
              <w:bottom w:val="single" w:sz="4" w:space="0" w:color="auto"/>
              <w:right w:val="single" w:sz="4" w:space="0" w:color="auto"/>
            </w:tcBorders>
            <w:shd w:val="clear" w:color="auto" w:fill="auto"/>
          </w:tcPr>
          <w:p w14:paraId="6307FE0A" w14:textId="33EDBF63" w:rsidR="00471B99" w:rsidRPr="008D54A5" w:rsidRDefault="00471B99" w:rsidP="00E47419">
            <w:pPr>
              <w:pStyle w:val="TableText-center-10"/>
            </w:pPr>
            <w:r w:rsidRPr="008D54A5">
              <w:t>$87</w:t>
            </w:r>
          </w:p>
        </w:tc>
        <w:tc>
          <w:tcPr>
            <w:tcW w:w="331" w:type="pct"/>
            <w:tcBorders>
              <w:top w:val="single" w:sz="4" w:space="0" w:color="auto"/>
              <w:left w:val="nil"/>
              <w:bottom w:val="single" w:sz="4" w:space="0" w:color="auto"/>
              <w:right w:val="single" w:sz="4" w:space="0" w:color="auto"/>
            </w:tcBorders>
            <w:shd w:val="clear" w:color="auto" w:fill="auto"/>
          </w:tcPr>
          <w:p w14:paraId="705F8E7E" w14:textId="42D411D4" w:rsidR="00471B99" w:rsidRPr="008D54A5" w:rsidRDefault="00471B99" w:rsidP="00E47419">
            <w:pPr>
              <w:pStyle w:val="TableText-center-10"/>
            </w:pPr>
            <w:r w:rsidRPr="008D54A5">
              <w:t>$84</w:t>
            </w:r>
          </w:p>
        </w:tc>
        <w:tc>
          <w:tcPr>
            <w:tcW w:w="303" w:type="pct"/>
            <w:tcBorders>
              <w:top w:val="single" w:sz="4" w:space="0" w:color="auto"/>
              <w:left w:val="nil"/>
              <w:bottom w:val="single" w:sz="4" w:space="0" w:color="auto"/>
              <w:right w:val="single" w:sz="4" w:space="0" w:color="auto"/>
            </w:tcBorders>
            <w:shd w:val="clear" w:color="auto" w:fill="auto"/>
            <w:noWrap/>
            <w:hideMark/>
          </w:tcPr>
          <w:p w14:paraId="758A479E" w14:textId="5CBCDC30" w:rsidR="00471B99" w:rsidRPr="008D54A5" w:rsidRDefault="00471B99" w:rsidP="00E47419">
            <w:pPr>
              <w:pStyle w:val="TableText-center-10"/>
            </w:pPr>
            <w:r w:rsidRPr="008D54A5">
              <w:t>$92</w:t>
            </w:r>
          </w:p>
        </w:tc>
      </w:tr>
      <w:tr w:rsidR="00652EC4" w:rsidRPr="008D54A5" w14:paraId="14A11107" w14:textId="77777777" w:rsidTr="00471B99">
        <w:trPr>
          <w:trHeight w:val="20"/>
        </w:trPr>
        <w:tc>
          <w:tcPr>
            <w:tcW w:w="1112" w:type="pct"/>
            <w:noWrap/>
            <w:hideMark/>
          </w:tcPr>
          <w:p w14:paraId="4E27D519" w14:textId="77777777" w:rsidR="00471B99" w:rsidRPr="008D54A5" w:rsidRDefault="00471B99" w:rsidP="00E47419">
            <w:pPr>
              <w:pStyle w:val="TableText-10"/>
            </w:pPr>
            <w:r w:rsidRPr="008D54A5">
              <w:t>Payment from Medicare</w:t>
            </w:r>
          </w:p>
        </w:tc>
        <w:tc>
          <w:tcPr>
            <w:tcW w:w="331" w:type="pct"/>
            <w:tcBorders>
              <w:top w:val="nil"/>
              <w:left w:val="single" w:sz="4" w:space="0" w:color="auto"/>
              <w:bottom w:val="single" w:sz="4" w:space="0" w:color="auto"/>
              <w:right w:val="single" w:sz="4" w:space="0" w:color="auto"/>
            </w:tcBorders>
            <w:shd w:val="clear" w:color="auto" w:fill="auto"/>
          </w:tcPr>
          <w:p w14:paraId="017B13C1" w14:textId="54580609" w:rsidR="00471B99" w:rsidRPr="008D54A5" w:rsidRDefault="00471B99" w:rsidP="00E47419">
            <w:pPr>
              <w:pStyle w:val="TableText-center-10"/>
            </w:pPr>
            <w:r w:rsidRPr="008D54A5">
              <w:t>40.0</w:t>
            </w:r>
          </w:p>
        </w:tc>
        <w:tc>
          <w:tcPr>
            <w:tcW w:w="331" w:type="pct"/>
            <w:tcBorders>
              <w:top w:val="nil"/>
              <w:left w:val="nil"/>
              <w:bottom w:val="single" w:sz="4" w:space="0" w:color="auto"/>
              <w:right w:val="single" w:sz="4" w:space="0" w:color="auto"/>
            </w:tcBorders>
            <w:shd w:val="clear" w:color="auto" w:fill="auto"/>
          </w:tcPr>
          <w:p w14:paraId="2E91AC25" w14:textId="4FEC76FD" w:rsidR="00471B99" w:rsidRPr="008D54A5" w:rsidRDefault="00471B99" w:rsidP="00E47419">
            <w:pPr>
              <w:pStyle w:val="TableText-center-10"/>
            </w:pPr>
            <w:r w:rsidRPr="008D54A5">
              <w:t>41.1</w:t>
            </w:r>
          </w:p>
        </w:tc>
        <w:tc>
          <w:tcPr>
            <w:tcW w:w="315" w:type="pct"/>
            <w:tcBorders>
              <w:top w:val="nil"/>
              <w:left w:val="nil"/>
              <w:bottom w:val="single" w:sz="4" w:space="0" w:color="auto"/>
              <w:right w:val="single" w:sz="4" w:space="0" w:color="auto"/>
            </w:tcBorders>
            <w:shd w:val="clear" w:color="auto" w:fill="auto"/>
            <w:noWrap/>
            <w:hideMark/>
          </w:tcPr>
          <w:p w14:paraId="69270515" w14:textId="3D9D9B15" w:rsidR="00471B99" w:rsidRPr="008D54A5" w:rsidRDefault="00471B99" w:rsidP="00E47419">
            <w:pPr>
              <w:pStyle w:val="TableText-center-10"/>
            </w:pPr>
            <w:r w:rsidRPr="008D54A5">
              <w:t>41.0</w:t>
            </w:r>
          </w:p>
        </w:tc>
        <w:tc>
          <w:tcPr>
            <w:tcW w:w="331" w:type="pct"/>
            <w:tcBorders>
              <w:top w:val="nil"/>
              <w:left w:val="nil"/>
              <w:bottom w:val="single" w:sz="4" w:space="0" w:color="auto"/>
              <w:right w:val="single" w:sz="4" w:space="0" w:color="auto"/>
            </w:tcBorders>
            <w:shd w:val="clear" w:color="auto" w:fill="auto"/>
          </w:tcPr>
          <w:p w14:paraId="4F1BE5EE" w14:textId="62533FEE" w:rsidR="00471B99" w:rsidRPr="008D54A5" w:rsidRDefault="00471B99" w:rsidP="00E47419">
            <w:pPr>
              <w:pStyle w:val="TableText-center-10"/>
            </w:pPr>
            <w:r w:rsidRPr="008D54A5">
              <w:t>59.7</w:t>
            </w:r>
          </w:p>
        </w:tc>
        <w:tc>
          <w:tcPr>
            <w:tcW w:w="331" w:type="pct"/>
            <w:tcBorders>
              <w:top w:val="nil"/>
              <w:left w:val="nil"/>
              <w:bottom w:val="single" w:sz="4" w:space="0" w:color="auto"/>
              <w:right w:val="single" w:sz="4" w:space="0" w:color="auto"/>
            </w:tcBorders>
            <w:shd w:val="clear" w:color="auto" w:fill="auto"/>
          </w:tcPr>
          <w:p w14:paraId="22960E39" w14:textId="2EC87C5B" w:rsidR="00471B99" w:rsidRPr="008D54A5" w:rsidRDefault="00471B99" w:rsidP="00E47419">
            <w:pPr>
              <w:pStyle w:val="TableText-center-10"/>
            </w:pPr>
            <w:r w:rsidRPr="008D54A5">
              <w:t>58.7</w:t>
            </w:r>
          </w:p>
        </w:tc>
        <w:tc>
          <w:tcPr>
            <w:tcW w:w="311" w:type="pct"/>
            <w:tcBorders>
              <w:top w:val="nil"/>
              <w:left w:val="nil"/>
              <w:bottom w:val="single" w:sz="4" w:space="0" w:color="auto"/>
              <w:right w:val="single" w:sz="4" w:space="0" w:color="auto"/>
            </w:tcBorders>
            <w:shd w:val="clear" w:color="auto" w:fill="auto"/>
            <w:noWrap/>
            <w:hideMark/>
          </w:tcPr>
          <w:p w14:paraId="501F2B6C" w14:textId="5C57824D" w:rsidR="00471B99" w:rsidRPr="008D54A5" w:rsidRDefault="00471B99" w:rsidP="00E47419">
            <w:pPr>
              <w:pStyle w:val="TableText-center-10"/>
            </w:pPr>
            <w:r w:rsidRPr="008D54A5">
              <w:t>58.8</w:t>
            </w:r>
          </w:p>
        </w:tc>
        <w:tc>
          <w:tcPr>
            <w:tcW w:w="331" w:type="pct"/>
            <w:tcBorders>
              <w:top w:val="nil"/>
              <w:left w:val="nil"/>
              <w:bottom w:val="single" w:sz="4" w:space="0" w:color="auto"/>
              <w:right w:val="single" w:sz="4" w:space="0" w:color="auto"/>
            </w:tcBorders>
            <w:shd w:val="clear" w:color="auto" w:fill="auto"/>
          </w:tcPr>
          <w:p w14:paraId="62919286" w14:textId="242EBC9C" w:rsidR="00471B99" w:rsidRPr="008D54A5" w:rsidRDefault="00471B99" w:rsidP="00E47419">
            <w:pPr>
              <w:pStyle w:val="TableText-center-10"/>
            </w:pPr>
            <w:r w:rsidRPr="008D54A5">
              <w:t>0.3</w:t>
            </w:r>
          </w:p>
        </w:tc>
        <w:tc>
          <w:tcPr>
            <w:tcW w:w="331" w:type="pct"/>
            <w:tcBorders>
              <w:top w:val="nil"/>
              <w:left w:val="nil"/>
              <w:bottom w:val="single" w:sz="4" w:space="0" w:color="auto"/>
              <w:right w:val="single" w:sz="4" w:space="0" w:color="auto"/>
            </w:tcBorders>
            <w:shd w:val="clear" w:color="auto" w:fill="auto"/>
          </w:tcPr>
          <w:p w14:paraId="65FCDFCD" w14:textId="30067115" w:rsidR="00471B99" w:rsidRPr="008D54A5" w:rsidRDefault="00471B99" w:rsidP="00E47419">
            <w:pPr>
              <w:pStyle w:val="TableText-center-10"/>
            </w:pPr>
            <w:r w:rsidRPr="008D54A5">
              <w:t>0.2</w:t>
            </w:r>
          </w:p>
        </w:tc>
        <w:tc>
          <w:tcPr>
            <w:tcW w:w="311" w:type="pct"/>
            <w:tcBorders>
              <w:top w:val="nil"/>
              <w:left w:val="nil"/>
              <w:bottom w:val="single" w:sz="4" w:space="0" w:color="auto"/>
              <w:right w:val="single" w:sz="4" w:space="0" w:color="auto"/>
            </w:tcBorders>
            <w:shd w:val="clear" w:color="auto" w:fill="auto"/>
            <w:noWrap/>
            <w:hideMark/>
          </w:tcPr>
          <w:p w14:paraId="14A77133" w14:textId="022D0641" w:rsidR="00471B99" w:rsidRPr="008D54A5" w:rsidRDefault="00471B99" w:rsidP="00E47419">
            <w:pPr>
              <w:pStyle w:val="TableText-center-10"/>
            </w:pPr>
            <w:r w:rsidRPr="008D54A5">
              <w:t>0.2</w:t>
            </w:r>
          </w:p>
        </w:tc>
        <w:tc>
          <w:tcPr>
            <w:tcW w:w="331" w:type="pct"/>
            <w:tcBorders>
              <w:top w:val="nil"/>
              <w:left w:val="nil"/>
              <w:bottom w:val="single" w:sz="4" w:space="0" w:color="auto"/>
              <w:right w:val="single" w:sz="4" w:space="0" w:color="auto"/>
            </w:tcBorders>
            <w:shd w:val="clear" w:color="auto" w:fill="auto"/>
          </w:tcPr>
          <w:p w14:paraId="3D9F10DE" w14:textId="14559401" w:rsidR="00471B99" w:rsidRPr="008D54A5" w:rsidRDefault="00471B99" w:rsidP="00E47419">
            <w:pPr>
              <w:pStyle w:val="TableText-center-10"/>
            </w:pPr>
            <w:r w:rsidRPr="008D54A5">
              <w:t>$172</w:t>
            </w:r>
          </w:p>
        </w:tc>
        <w:tc>
          <w:tcPr>
            <w:tcW w:w="331" w:type="pct"/>
            <w:tcBorders>
              <w:top w:val="nil"/>
              <w:left w:val="nil"/>
              <w:bottom w:val="single" w:sz="4" w:space="0" w:color="auto"/>
              <w:right w:val="single" w:sz="4" w:space="0" w:color="auto"/>
            </w:tcBorders>
            <w:shd w:val="clear" w:color="auto" w:fill="auto"/>
          </w:tcPr>
          <w:p w14:paraId="6990DFED" w14:textId="321B9A2C" w:rsidR="00471B99" w:rsidRPr="008D54A5" w:rsidRDefault="00471B99" w:rsidP="00E47419">
            <w:pPr>
              <w:pStyle w:val="TableText-center-10"/>
            </w:pPr>
            <w:r w:rsidRPr="008D54A5">
              <w:t>$190</w:t>
            </w:r>
          </w:p>
        </w:tc>
        <w:tc>
          <w:tcPr>
            <w:tcW w:w="303" w:type="pct"/>
            <w:tcBorders>
              <w:top w:val="nil"/>
              <w:left w:val="nil"/>
              <w:bottom w:val="single" w:sz="4" w:space="0" w:color="auto"/>
              <w:right w:val="single" w:sz="4" w:space="0" w:color="auto"/>
            </w:tcBorders>
            <w:shd w:val="clear" w:color="auto" w:fill="auto"/>
            <w:noWrap/>
            <w:hideMark/>
          </w:tcPr>
          <w:p w14:paraId="0C02C2BB" w14:textId="67F6501D" w:rsidR="00471B99" w:rsidRPr="008D54A5" w:rsidRDefault="00471B99" w:rsidP="00E47419">
            <w:pPr>
              <w:pStyle w:val="TableText-center-10"/>
            </w:pPr>
            <w:r w:rsidRPr="008D54A5">
              <w:t>$202</w:t>
            </w:r>
          </w:p>
        </w:tc>
      </w:tr>
      <w:tr w:rsidR="00652EC4" w:rsidRPr="008D54A5" w14:paraId="46C911CC" w14:textId="77777777" w:rsidTr="00471B99">
        <w:trPr>
          <w:trHeight w:val="20"/>
        </w:trPr>
        <w:tc>
          <w:tcPr>
            <w:tcW w:w="1112" w:type="pct"/>
            <w:noWrap/>
            <w:hideMark/>
          </w:tcPr>
          <w:p w14:paraId="0216F2DE" w14:textId="77777777" w:rsidR="00471B99" w:rsidRPr="008D54A5" w:rsidRDefault="00471B99" w:rsidP="00E47419">
            <w:pPr>
              <w:pStyle w:val="TableText-10"/>
            </w:pPr>
            <w:r w:rsidRPr="008D54A5">
              <w:t>Payment from Medicaid</w:t>
            </w:r>
          </w:p>
        </w:tc>
        <w:tc>
          <w:tcPr>
            <w:tcW w:w="331" w:type="pct"/>
            <w:tcBorders>
              <w:top w:val="nil"/>
              <w:left w:val="single" w:sz="4" w:space="0" w:color="auto"/>
              <w:bottom w:val="single" w:sz="4" w:space="0" w:color="auto"/>
              <w:right w:val="single" w:sz="4" w:space="0" w:color="auto"/>
            </w:tcBorders>
            <w:shd w:val="clear" w:color="auto" w:fill="auto"/>
          </w:tcPr>
          <w:p w14:paraId="5CAA27D3" w14:textId="6F6C6956" w:rsidR="00471B99" w:rsidRPr="008D54A5" w:rsidRDefault="00471B99" w:rsidP="00E47419">
            <w:pPr>
              <w:pStyle w:val="TableText-center-10"/>
            </w:pPr>
            <w:r w:rsidRPr="008D54A5">
              <w:t>11.9</w:t>
            </w:r>
          </w:p>
        </w:tc>
        <w:tc>
          <w:tcPr>
            <w:tcW w:w="331" w:type="pct"/>
            <w:tcBorders>
              <w:top w:val="nil"/>
              <w:left w:val="nil"/>
              <w:bottom w:val="single" w:sz="4" w:space="0" w:color="auto"/>
              <w:right w:val="single" w:sz="4" w:space="0" w:color="auto"/>
            </w:tcBorders>
            <w:shd w:val="clear" w:color="auto" w:fill="auto"/>
          </w:tcPr>
          <w:p w14:paraId="1AF28669" w14:textId="2D11EB4D" w:rsidR="00471B99" w:rsidRPr="008D54A5" w:rsidRDefault="00471B99" w:rsidP="00E47419">
            <w:pPr>
              <w:pStyle w:val="TableText-center-10"/>
            </w:pPr>
            <w:r w:rsidRPr="008D54A5">
              <w:t>13.3</w:t>
            </w:r>
          </w:p>
        </w:tc>
        <w:tc>
          <w:tcPr>
            <w:tcW w:w="315" w:type="pct"/>
            <w:tcBorders>
              <w:top w:val="nil"/>
              <w:left w:val="nil"/>
              <w:bottom w:val="single" w:sz="4" w:space="0" w:color="auto"/>
              <w:right w:val="single" w:sz="4" w:space="0" w:color="auto"/>
            </w:tcBorders>
            <w:shd w:val="clear" w:color="auto" w:fill="auto"/>
            <w:noWrap/>
            <w:hideMark/>
          </w:tcPr>
          <w:p w14:paraId="456FE067" w14:textId="237CA18C" w:rsidR="00471B99" w:rsidRPr="008D54A5" w:rsidRDefault="00471B99" w:rsidP="00E47419">
            <w:pPr>
              <w:pStyle w:val="TableText-center-10"/>
            </w:pPr>
            <w:r w:rsidRPr="008D54A5">
              <w:t>11.4</w:t>
            </w:r>
          </w:p>
        </w:tc>
        <w:tc>
          <w:tcPr>
            <w:tcW w:w="331" w:type="pct"/>
            <w:tcBorders>
              <w:top w:val="nil"/>
              <w:left w:val="nil"/>
              <w:bottom w:val="single" w:sz="4" w:space="0" w:color="auto"/>
              <w:right w:val="single" w:sz="4" w:space="0" w:color="auto"/>
            </w:tcBorders>
            <w:shd w:val="clear" w:color="auto" w:fill="auto"/>
          </w:tcPr>
          <w:p w14:paraId="40678FB6" w14:textId="7F4E30A7" w:rsidR="00471B99" w:rsidRPr="008D54A5" w:rsidRDefault="00471B99" w:rsidP="00E47419">
            <w:pPr>
              <w:pStyle w:val="TableText-center-10"/>
            </w:pPr>
            <w:r w:rsidRPr="008D54A5">
              <w:t>87.9</w:t>
            </w:r>
          </w:p>
        </w:tc>
        <w:tc>
          <w:tcPr>
            <w:tcW w:w="331" w:type="pct"/>
            <w:tcBorders>
              <w:top w:val="nil"/>
              <w:left w:val="nil"/>
              <w:bottom w:val="single" w:sz="4" w:space="0" w:color="auto"/>
              <w:right w:val="single" w:sz="4" w:space="0" w:color="auto"/>
            </w:tcBorders>
            <w:shd w:val="clear" w:color="auto" w:fill="auto"/>
          </w:tcPr>
          <w:p w14:paraId="7BEF97B1" w14:textId="75AD6ABB" w:rsidR="00471B99" w:rsidRPr="008D54A5" w:rsidRDefault="00471B99" w:rsidP="00E47419">
            <w:pPr>
              <w:pStyle w:val="TableText-center-10"/>
            </w:pPr>
            <w:r w:rsidRPr="008D54A5">
              <w:t>86.5</w:t>
            </w:r>
          </w:p>
        </w:tc>
        <w:tc>
          <w:tcPr>
            <w:tcW w:w="311" w:type="pct"/>
            <w:tcBorders>
              <w:top w:val="nil"/>
              <w:left w:val="nil"/>
              <w:bottom w:val="single" w:sz="4" w:space="0" w:color="auto"/>
              <w:right w:val="single" w:sz="4" w:space="0" w:color="auto"/>
            </w:tcBorders>
            <w:shd w:val="clear" w:color="auto" w:fill="auto"/>
            <w:noWrap/>
            <w:hideMark/>
          </w:tcPr>
          <w:p w14:paraId="31FCE9EF" w14:textId="18E46FB6" w:rsidR="00471B99" w:rsidRPr="008D54A5" w:rsidRDefault="00471B99" w:rsidP="00E47419">
            <w:pPr>
              <w:pStyle w:val="TableText-center-10"/>
            </w:pPr>
            <w:r w:rsidRPr="008D54A5">
              <w:t>88.5</w:t>
            </w:r>
          </w:p>
        </w:tc>
        <w:tc>
          <w:tcPr>
            <w:tcW w:w="331" w:type="pct"/>
            <w:tcBorders>
              <w:top w:val="nil"/>
              <w:left w:val="nil"/>
              <w:bottom w:val="single" w:sz="4" w:space="0" w:color="auto"/>
              <w:right w:val="single" w:sz="4" w:space="0" w:color="auto"/>
            </w:tcBorders>
            <w:shd w:val="clear" w:color="auto" w:fill="auto"/>
          </w:tcPr>
          <w:p w14:paraId="259D6B30" w14:textId="0E9E62A0" w:rsidR="00471B99" w:rsidRPr="008D54A5" w:rsidRDefault="00471B99" w:rsidP="00E47419">
            <w:pPr>
              <w:pStyle w:val="TableText-center-10"/>
            </w:pPr>
            <w:r w:rsidRPr="008D54A5">
              <w:t>0.3</w:t>
            </w:r>
          </w:p>
        </w:tc>
        <w:tc>
          <w:tcPr>
            <w:tcW w:w="331" w:type="pct"/>
            <w:tcBorders>
              <w:top w:val="nil"/>
              <w:left w:val="nil"/>
              <w:bottom w:val="single" w:sz="4" w:space="0" w:color="auto"/>
              <w:right w:val="single" w:sz="4" w:space="0" w:color="auto"/>
            </w:tcBorders>
            <w:shd w:val="clear" w:color="auto" w:fill="auto"/>
          </w:tcPr>
          <w:p w14:paraId="1B7879AE" w14:textId="6D3A4EDE" w:rsidR="00471B99" w:rsidRPr="008D54A5" w:rsidRDefault="00471B99" w:rsidP="00E47419">
            <w:pPr>
              <w:pStyle w:val="TableText-center-10"/>
            </w:pPr>
            <w:r w:rsidRPr="008D54A5">
              <w:t>0.2</w:t>
            </w:r>
          </w:p>
        </w:tc>
        <w:tc>
          <w:tcPr>
            <w:tcW w:w="311" w:type="pct"/>
            <w:tcBorders>
              <w:top w:val="nil"/>
              <w:left w:val="nil"/>
              <w:bottom w:val="single" w:sz="4" w:space="0" w:color="auto"/>
              <w:right w:val="single" w:sz="4" w:space="0" w:color="auto"/>
            </w:tcBorders>
            <w:shd w:val="clear" w:color="auto" w:fill="auto"/>
            <w:noWrap/>
            <w:hideMark/>
          </w:tcPr>
          <w:p w14:paraId="3D6B704E" w14:textId="70F08412" w:rsidR="00471B99" w:rsidRPr="008D54A5" w:rsidRDefault="00471B99" w:rsidP="00E47419">
            <w:pPr>
              <w:pStyle w:val="TableText-center-10"/>
            </w:pPr>
            <w:r w:rsidRPr="008D54A5">
              <w:t>0.2</w:t>
            </w:r>
          </w:p>
        </w:tc>
        <w:tc>
          <w:tcPr>
            <w:tcW w:w="331" w:type="pct"/>
            <w:tcBorders>
              <w:top w:val="nil"/>
              <w:left w:val="nil"/>
              <w:bottom w:val="single" w:sz="4" w:space="0" w:color="auto"/>
              <w:right w:val="single" w:sz="4" w:space="0" w:color="auto"/>
            </w:tcBorders>
            <w:shd w:val="clear" w:color="auto" w:fill="auto"/>
          </w:tcPr>
          <w:p w14:paraId="11DA5C2D" w14:textId="56079642" w:rsidR="00471B99" w:rsidRPr="008D54A5" w:rsidRDefault="00471B99" w:rsidP="00E47419">
            <w:pPr>
              <w:pStyle w:val="TableText-center-10"/>
            </w:pPr>
            <w:r w:rsidRPr="008D54A5">
              <w:t>$128</w:t>
            </w:r>
          </w:p>
        </w:tc>
        <w:tc>
          <w:tcPr>
            <w:tcW w:w="331" w:type="pct"/>
            <w:tcBorders>
              <w:top w:val="nil"/>
              <w:left w:val="nil"/>
              <w:bottom w:val="single" w:sz="4" w:space="0" w:color="auto"/>
              <w:right w:val="single" w:sz="4" w:space="0" w:color="auto"/>
            </w:tcBorders>
            <w:shd w:val="clear" w:color="auto" w:fill="auto"/>
          </w:tcPr>
          <w:p w14:paraId="6376B766" w14:textId="7C1C3538" w:rsidR="00471B99" w:rsidRPr="008D54A5" w:rsidRDefault="00471B99" w:rsidP="00E47419">
            <w:pPr>
              <w:pStyle w:val="TableText-center-10"/>
            </w:pPr>
            <w:r w:rsidRPr="008D54A5">
              <w:t>$136</w:t>
            </w:r>
          </w:p>
        </w:tc>
        <w:tc>
          <w:tcPr>
            <w:tcW w:w="303" w:type="pct"/>
            <w:tcBorders>
              <w:top w:val="nil"/>
              <w:left w:val="nil"/>
              <w:bottom w:val="single" w:sz="4" w:space="0" w:color="auto"/>
              <w:right w:val="single" w:sz="4" w:space="0" w:color="auto"/>
            </w:tcBorders>
            <w:shd w:val="clear" w:color="auto" w:fill="auto"/>
            <w:noWrap/>
            <w:hideMark/>
          </w:tcPr>
          <w:p w14:paraId="39847EEA" w14:textId="61329DFA" w:rsidR="00471B99" w:rsidRPr="008D54A5" w:rsidRDefault="00471B99" w:rsidP="00E47419">
            <w:pPr>
              <w:pStyle w:val="TableText-center-10"/>
            </w:pPr>
            <w:r w:rsidRPr="008D54A5">
              <w:t>$134</w:t>
            </w:r>
          </w:p>
        </w:tc>
      </w:tr>
      <w:tr w:rsidR="00652EC4" w:rsidRPr="008D54A5" w14:paraId="4395CF05" w14:textId="77777777" w:rsidTr="00471B99">
        <w:trPr>
          <w:trHeight w:val="20"/>
        </w:trPr>
        <w:tc>
          <w:tcPr>
            <w:tcW w:w="1112" w:type="pct"/>
            <w:noWrap/>
            <w:hideMark/>
          </w:tcPr>
          <w:p w14:paraId="2ABC99D9" w14:textId="77777777" w:rsidR="00471B99" w:rsidRPr="008D54A5" w:rsidRDefault="00471B99" w:rsidP="00E47419">
            <w:pPr>
              <w:pStyle w:val="TableText-10"/>
            </w:pPr>
            <w:r w:rsidRPr="008D54A5">
              <w:t>Payment from Private Insurance</w:t>
            </w:r>
          </w:p>
        </w:tc>
        <w:tc>
          <w:tcPr>
            <w:tcW w:w="331" w:type="pct"/>
            <w:tcBorders>
              <w:top w:val="nil"/>
              <w:left w:val="single" w:sz="4" w:space="0" w:color="auto"/>
              <w:bottom w:val="single" w:sz="4" w:space="0" w:color="auto"/>
              <w:right w:val="single" w:sz="4" w:space="0" w:color="auto"/>
            </w:tcBorders>
            <w:shd w:val="clear" w:color="auto" w:fill="auto"/>
          </w:tcPr>
          <w:p w14:paraId="11E7777E" w14:textId="6DE36ABE" w:rsidR="00471B99" w:rsidRPr="008D54A5" w:rsidRDefault="00471B99" w:rsidP="00E47419">
            <w:pPr>
              <w:pStyle w:val="TableText-center-10"/>
            </w:pPr>
            <w:r w:rsidRPr="008D54A5">
              <w:t>48.0</w:t>
            </w:r>
          </w:p>
        </w:tc>
        <w:tc>
          <w:tcPr>
            <w:tcW w:w="331" w:type="pct"/>
            <w:tcBorders>
              <w:top w:val="nil"/>
              <w:left w:val="nil"/>
              <w:bottom w:val="single" w:sz="4" w:space="0" w:color="auto"/>
              <w:right w:val="single" w:sz="4" w:space="0" w:color="auto"/>
            </w:tcBorders>
            <w:shd w:val="clear" w:color="auto" w:fill="auto"/>
          </w:tcPr>
          <w:p w14:paraId="5DD5FCB7" w14:textId="4882DC94" w:rsidR="00471B99" w:rsidRPr="008D54A5" w:rsidRDefault="00471B99" w:rsidP="00E47419">
            <w:pPr>
              <w:pStyle w:val="TableText-center-10"/>
            </w:pPr>
            <w:r w:rsidRPr="008D54A5">
              <w:t>41.8</w:t>
            </w:r>
          </w:p>
        </w:tc>
        <w:tc>
          <w:tcPr>
            <w:tcW w:w="315" w:type="pct"/>
            <w:tcBorders>
              <w:top w:val="nil"/>
              <w:left w:val="nil"/>
              <w:bottom w:val="single" w:sz="4" w:space="0" w:color="auto"/>
              <w:right w:val="single" w:sz="4" w:space="0" w:color="auto"/>
            </w:tcBorders>
            <w:shd w:val="clear" w:color="auto" w:fill="auto"/>
            <w:noWrap/>
            <w:hideMark/>
          </w:tcPr>
          <w:p w14:paraId="2066F266" w14:textId="5F5506C9" w:rsidR="00471B99" w:rsidRPr="008D54A5" w:rsidRDefault="00471B99" w:rsidP="00E47419">
            <w:pPr>
              <w:pStyle w:val="TableText-center-10"/>
            </w:pPr>
            <w:r w:rsidRPr="008D54A5">
              <w:t>44.2</w:t>
            </w:r>
          </w:p>
        </w:tc>
        <w:tc>
          <w:tcPr>
            <w:tcW w:w="331" w:type="pct"/>
            <w:tcBorders>
              <w:top w:val="nil"/>
              <w:left w:val="nil"/>
              <w:bottom w:val="single" w:sz="4" w:space="0" w:color="auto"/>
              <w:right w:val="single" w:sz="4" w:space="0" w:color="auto"/>
            </w:tcBorders>
            <w:shd w:val="clear" w:color="auto" w:fill="auto"/>
          </w:tcPr>
          <w:p w14:paraId="25B10220" w14:textId="5BF231DF" w:rsidR="00471B99" w:rsidRPr="008D54A5" w:rsidRDefault="00471B99" w:rsidP="00E47419">
            <w:pPr>
              <w:pStyle w:val="TableText-center-10"/>
            </w:pPr>
            <w:r w:rsidRPr="008D54A5">
              <w:t>51.8</w:t>
            </w:r>
          </w:p>
        </w:tc>
        <w:tc>
          <w:tcPr>
            <w:tcW w:w="331" w:type="pct"/>
            <w:tcBorders>
              <w:top w:val="nil"/>
              <w:left w:val="nil"/>
              <w:bottom w:val="single" w:sz="4" w:space="0" w:color="auto"/>
              <w:right w:val="single" w:sz="4" w:space="0" w:color="auto"/>
            </w:tcBorders>
            <w:shd w:val="clear" w:color="auto" w:fill="auto"/>
          </w:tcPr>
          <w:p w14:paraId="2DEA86CA" w14:textId="75702494" w:rsidR="00471B99" w:rsidRPr="008D54A5" w:rsidRDefault="00471B99" w:rsidP="00E47419">
            <w:pPr>
              <w:pStyle w:val="TableText-center-10"/>
            </w:pPr>
            <w:r w:rsidRPr="008D54A5">
              <w:t>57.9</w:t>
            </w:r>
          </w:p>
        </w:tc>
        <w:tc>
          <w:tcPr>
            <w:tcW w:w="311" w:type="pct"/>
            <w:tcBorders>
              <w:top w:val="nil"/>
              <w:left w:val="nil"/>
              <w:bottom w:val="single" w:sz="4" w:space="0" w:color="auto"/>
              <w:right w:val="single" w:sz="4" w:space="0" w:color="auto"/>
            </w:tcBorders>
            <w:shd w:val="clear" w:color="auto" w:fill="auto"/>
            <w:noWrap/>
            <w:hideMark/>
          </w:tcPr>
          <w:p w14:paraId="15410A84" w14:textId="6A384989" w:rsidR="00471B99" w:rsidRPr="008D54A5" w:rsidRDefault="00471B99" w:rsidP="00E47419">
            <w:pPr>
              <w:pStyle w:val="TableText-center-10"/>
            </w:pPr>
            <w:r w:rsidRPr="008D54A5">
              <w:t>55.6</w:t>
            </w:r>
          </w:p>
        </w:tc>
        <w:tc>
          <w:tcPr>
            <w:tcW w:w="331" w:type="pct"/>
            <w:tcBorders>
              <w:top w:val="nil"/>
              <w:left w:val="nil"/>
              <w:bottom w:val="single" w:sz="4" w:space="0" w:color="auto"/>
              <w:right w:val="single" w:sz="4" w:space="0" w:color="auto"/>
            </w:tcBorders>
            <w:shd w:val="clear" w:color="auto" w:fill="auto"/>
          </w:tcPr>
          <w:p w14:paraId="7CE20245" w14:textId="0C69EBB5" w:rsidR="00471B99" w:rsidRPr="008D54A5" w:rsidRDefault="00471B99" w:rsidP="00E47419">
            <w:pPr>
              <w:pStyle w:val="TableText-center-10"/>
            </w:pPr>
            <w:r w:rsidRPr="008D54A5">
              <w:t>0.3</w:t>
            </w:r>
          </w:p>
        </w:tc>
        <w:tc>
          <w:tcPr>
            <w:tcW w:w="331" w:type="pct"/>
            <w:tcBorders>
              <w:top w:val="nil"/>
              <w:left w:val="nil"/>
              <w:bottom w:val="single" w:sz="4" w:space="0" w:color="auto"/>
              <w:right w:val="single" w:sz="4" w:space="0" w:color="auto"/>
            </w:tcBorders>
            <w:shd w:val="clear" w:color="auto" w:fill="auto"/>
          </w:tcPr>
          <w:p w14:paraId="040B9AEC" w14:textId="5684378C" w:rsidR="00471B99" w:rsidRPr="008D54A5" w:rsidRDefault="00471B99" w:rsidP="00E47419">
            <w:pPr>
              <w:pStyle w:val="TableText-center-10"/>
            </w:pPr>
            <w:r w:rsidRPr="008D54A5">
              <w:t>0.3</w:t>
            </w:r>
          </w:p>
        </w:tc>
        <w:tc>
          <w:tcPr>
            <w:tcW w:w="311" w:type="pct"/>
            <w:tcBorders>
              <w:top w:val="nil"/>
              <w:left w:val="nil"/>
              <w:bottom w:val="single" w:sz="4" w:space="0" w:color="auto"/>
              <w:right w:val="single" w:sz="4" w:space="0" w:color="auto"/>
            </w:tcBorders>
            <w:shd w:val="clear" w:color="auto" w:fill="auto"/>
            <w:noWrap/>
            <w:hideMark/>
          </w:tcPr>
          <w:p w14:paraId="77D7D17D" w14:textId="2953E9ED" w:rsidR="00471B99" w:rsidRPr="008D54A5" w:rsidRDefault="00471B99" w:rsidP="00E47419">
            <w:pPr>
              <w:pStyle w:val="TableText-center-10"/>
            </w:pPr>
            <w:r w:rsidRPr="008D54A5">
              <w:t>0.2</w:t>
            </w:r>
          </w:p>
        </w:tc>
        <w:tc>
          <w:tcPr>
            <w:tcW w:w="331" w:type="pct"/>
            <w:tcBorders>
              <w:top w:val="nil"/>
              <w:left w:val="nil"/>
              <w:bottom w:val="single" w:sz="4" w:space="0" w:color="auto"/>
              <w:right w:val="single" w:sz="4" w:space="0" w:color="auto"/>
            </w:tcBorders>
            <w:shd w:val="clear" w:color="auto" w:fill="auto"/>
          </w:tcPr>
          <w:p w14:paraId="3163C4B5" w14:textId="1341EA70" w:rsidR="00471B99" w:rsidRPr="008D54A5" w:rsidRDefault="00471B99" w:rsidP="00E47419">
            <w:pPr>
              <w:pStyle w:val="TableText-center-10"/>
            </w:pPr>
            <w:r w:rsidRPr="008D54A5">
              <w:t>$213</w:t>
            </w:r>
          </w:p>
        </w:tc>
        <w:tc>
          <w:tcPr>
            <w:tcW w:w="331" w:type="pct"/>
            <w:tcBorders>
              <w:top w:val="nil"/>
              <w:left w:val="nil"/>
              <w:bottom w:val="single" w:sz="4" w:space="0" w:color="auto"/>
              <w:right w:val="single" w:sz="4" w:space="0" w:color="auto"/>
            </w:tcBorders>
            <w:shd w:val="clear" w:color="auto" w:fill="auto"/>
          </w:tcPr>
          <w:p w14:paraId="6A92CB88" w14:textId="62CB8D26" w:rsidR="00471B99" w:rsidRPr="008D54A5" w:rsidRDefault="00471B99" w:rsidP="00E47419">
            <w:pPr>
              <w:pStyle w:val="TableText-center-10"/>
            </w:pPr>
            <w:r w:rsidRPr="008D54A5">
              <w:t>$201</w:t>
            </w:r>
          </w:p>
        </w:tc>
        <w:tc>
          <w:tcPr>
            <w:tcW w:w="303" w:type="pct"/>
            <w:tcBorders>
              <w:top w:val="nil"/>
              <w:left w:val="nil"/>
              <w:bottom w:val="single" w:sz="4" w:space="0" w:color="auto"/>
              <w:right w:val="single" w:sz="4" w:space="0" w:color="auto"/>
            </w:tcBorders>
            <w:shd w:val="clear" w:color="auto" w:fill="auto"/>
            <w:noWrap/>
            <w:hideMark/>
          </w:tcPr>
          <w:p w14:paraId="3672758B" w14:textId="35F2C911" w:rsidR="00471B99" w:rsidRPr="008D54A5" w:rsidRDefault="00471B99" w:rsidP="00E47419">
            <w:pPr>
              <w:pStyle w:val="TableText-center-10"/>
            </w:pPr>
            <w:r w:rsidRPr="008D54A5">
              <w:t>$202</w:t>
            </w:r>
          </w:p>
        </w:tc>
      </w:tr>
      <w:tr w:rsidR="00652EC4" w:rsidRPr="008D54A5" w14:paraId="5093D4C9" w14:textId="77777777" w:rsidTr="00471B99">
        <w:trPr>
          <w:trHeight w:val="20"/>
        </w:trPr>
        <w:tc>
          <w:tcPr>
            <w:tcW w:w="1112" w:type="pct"/>
            <w:noWrap/>
            <w:hideMark/>
          </w:tcPr>
          <w:p w14:paraId="6533C670" w14:textId="77777777" w:rsidR="00471B99" w:rsidRPr="008D54A5" w:rsidRDefault="00471B99" w:rsidP="00E47419">
            <w:pPr>
              <w:pStyle w:val="TableText-10"/>
            </w:pPr>
            <w:r w:rsidRPr="008D54A5">
              <w:t>Payment from VA/CHAMPVA</w:t>
            </w:r>
          </w:p>
        </w:tc>
        <w:tc>
          <w:tcPr>
            <w:tcW w:w="331" w:type="pct"/>
            <w:tcBorders>
              <w:top w:val="nil"/>
              <w:left w:val="single" w:sz="4" w:space="0" w:color="auto"/>
              <w:bottom w:val="single" w:sz="4" w:space="0" w:color="auto"/>
              <w:right w:val="single" w:sz="4" w:space="0" w:color="auto"/>
            </w:tcBorders>
            <w:shd w:val="clear" w:color="auto" w:fill="auto"/>
          </w:tcPr>
          <w:p w14:paraId="64164CF3" w14:textId="3E1857FC" w:rsidR="00471B99" w:rsidRPr="008D54A5" w:rsidRDefault="00471B99" w:rsidP="00E47419">
            <w:pPr>
              <w:pStyle w:val="TableText-center-10"/>
            </w:pPr>
            <w:r w:rsidRPr="008D54A5">
              <w:t>0.4</w:t>
            </w:r>
          </w:p>
        </w:tc>
        <w:tc>
          <w:tcPr>
            <w:tcW w:w="331" w:type="pct"/>
            <w:tcBorders>
              <w:top w:val="nil"/>
              <w:left w:val="nil"/>
              <w:bottom w:val="single" w:sz="4" w:space="0" w:color="auto"/>
              <w:right w:val="single" w:sz="4" w:space="0" w:color="auto"/>
            </w:tcBorders>
            <w:shd w:val="clear" w:color="auto" w:fill="auto"/>
          </w:tcPr>
          <w:p w14:paraId="20BCF37D" w14:textId="46F42AF9" w:rsidR="00471B99" w:rsidRPr="008D54A5" w:rsidRDefault="00471B99" w:rsidP="00E47419">
            <w:pPr>
              <w:pStyle w:val="TableText-center-10"/>
            </w:pPr>
            <w:r w:rsidRPr="008D54A5">
              <w:t>0.5</w:t>
            </w:r>
          </w:p>
        </w:tc>
        <w:tc>
          <w:tcPr>
            <w:tcW w:w="315" w:type="pct"/>
            <w:tcBorders>
              <w:top w:val="nil"/>
              <w:left w:val="nil"/>
              <w:bottom w:val="single" w:sz="4" w:space="0" w:color="auto"/>
              <w:right w:val="single" w:sz="4" w:space="0" w:color="auto"/>
            </w:tcBorders>
            <w:shd w:val="clear" w:color="auto" w:fill="auto"/>
            <w:noWrap/>
            <w:hideMark/>
          </w:tcPr>
          <w:p w14:paraId="0E5090E8" w14:textId="202176CA" w:rsidR="00471B99" w:rsidRPr="008D54A5" w:rsidRDefault="00471B99" w:rsidP="00E47419">
            <w:pPr>
              <w:pStyle w:val="TableText-center-10"/>
            </w:pPr>
            <w:r w:rsidRPr="008D54A5">
              <w:t>0.6</w:t>
            </w:r>
          </w:p>
        </w:tc>
        <w:tc>
          <w:tcPr>
            <w:tcW w:w="331" w:type="pct"/>
            <w:tcBorders>
              <w:top w:val="nil"/>
              <w:left w:val="nil"/>
              <w:bottom w:val="single" w:sz="4" w:space="0" w:color="auto"/>
              <w:right w:val="single" w:sz="4" w:space="0" w:color="auto"/>
            </w:tcBorders>
            <w:shd w:val="clear" w:color="auto" w:fill="auto"/>
          </w:tcPr>
          <w:p w14:paraId="4F191C57" w14:textId="3ED6DF2D" w:rsidR="00471B99" w:rsidRPr="008D54A5" w:rsidRDefault="00471B99" w:rsidP="00E47419">
            <w:pPr>
              <w:pStyle w:val="TableText-center-10"/>
            </w:pPr>
            <w:r w:rsidRPr="008D54A5">
              <w:t>99.4</w:t>
            </w:r>
          </w:p>
        </w:tc>
        <w:tc>
          <w:tcPr>
            <w:tcW w:w="331" w:type="pct"/>
            <w:tcBorders>
              <w:top w:val="nil"/>
              <w:left w:val="nil"/>
              <w:bottom w:val="single" w:sz="4" w:space="0" w:color="auto"/>
              <w:right w:val="single" w:sz="4" w:space="0" w:color="auto"/>
            </w:tcBorders>
            <w:shd w:val="clear" w:color="auto" w:fill="auto"/>
          </w:tcPr>
          <w:p w14:paraId="08E71DDD" w14:textId="543C993D" w:rsidR="00471B99" w:rsidRPr="008D54A5" w:rsidRDefault="00471B99" w:rsidP="00E47419">
            <w:pPr>
              <w:pStyle w:val="TableText-center-10"/>
            </w:pPr>
            <w:r w:rsidRPr="008D54A5">
              <w:t>99.3</w:t>
            </w:r>
          </w:p>
        </w:tc>
        <w:tc>
          <w:tcPr>
            <w:tcW w:w="311" w:type="pct"/>
            <w:tcBorders>
              <w:top w:val="nil"/>
              <w:left w:val="nil"/>
              <w:bottom w:val="single" w:sz="4" w:space="0" w:color="auto"/>
              <w:right w:val="single" w:sz="4" w:space="0" w:color="auto"/>
            </w:tcBorders>
            <w:shd w:val="clear" w:color="auto" w:fill="auto"/>
            <w:noWrap/>
            <w:hideMark/>
          </w:tcPr>
          <w:p w14:paraId="126C1741" w14:textId="33CF9579" w:rsidR="00471B99" w:rsidRPr="008D54A5" w:rsidRDefault="00471B99" w:rsidP="00E47419">
            <w:pPr>
              <w:pStyle w:val="TableText-center-10"/>
            </w:pPr>
            <w:r w:rsidRPr="008D54A5">
              <w:t>99.2</w:t>
            </w:r>
          </w:p>
        </w:tc>
        <w:tc>
          <w:tcPr>
            <w:tcW w:w="331" w:type="pct"/>
            <w:tcBorders>
              <w:top w:val="nil"/>
              <w:left w:val="nil"/>
              <w:bottom w:val="single" w:sz="4" w:space="0" w:color="auto"/>
              <w:right w:val="single" w:sz="4" w:space="0" w:color="auto"/>
            </w:tcBorders>
            <w:shd w:val="clear" w:color="auto" w:fill="auto"/>
          </w:tcPr>
          <w:p w14:paraId="4DCB9405" w14:textId="3DA61468" w:rsidR="00471B99" w:rsidRPr="008D54A5" w:rsidRDefault="00471B99" w:rsidP="00E47419">
            <w:pPr>
              <w:pStyle w:val="TableText-center-10"/>
            </w:pPr>
            <w:r w:rsidRPr="008D54A5">
              <w:t>0.2</w:t>
            </w:r>
          </w:p>
        </w:tc>
        <w:tc>
          <w:tcPr>
            <w:tcW w:w="331" w:type="pct"/>
            <w:tcBorders>
              <w:top w:val="nil"/>
              <w:left w:val="nil"/>
              <w:bottom w:val="single" w:sz="4" w:space="0" w:color="auto"/>
              <w:right w:val="single" w:sz="4" w:space="0" w:color="auto"/>
            </w:tcBorders>
            <w:shd w:val="clear" w:color="auto" w:fill="auto"/>
          </w:tcPr>
          <w:p w14:paraId="4365EEB3" w14:textId="27699E44" w:rsidR="00471B99" w:rsidRPr="008D54A5" w:rsidRDefault="00471B99" w:rsidP="00E47419">
            <w:pPr>
              <w:pStyle w:val="TableText-center-10"/>
            </w:pPr>
            <w:r w:rsidRPr="008D54A5">
              <w:t>0.2</w:t>
            </w:r>
          </w:p>
        </w:tc>
        <w:tc>
          <w:tcPr>
            <w:tcW w:w="311" w:type="pct"/>
            <w:tcBorders>
              <w:top w:val="nil"/>
              <w:left w:val="nil"/>
              <w:bottom w:val="single" w:sz="4" w:space="0" w:color="auto"/>
              <w:right w:val="single" w:sz="4" w:space="0" w:color="auto"/>
            </w:tcBorders>
            <w:shd w:val="clear" w:color="auto" w:fill="auto"/>
            <w:noWrap/>
            <w:hideMark/>
          </w:tcPr>
          <w:p w14:paraId="18A99634" w14:textId="19E9714B" w:rsidR="00471B99" w:rsidRPr="008D54A5" w:rsidRDefault="00471B99" w:rsidP="00E47419">
            <w:pPr>
              <w:pStyle w:val="TableText-center-10"/>
            </w:pPr>
            <w:r w:rsidRPr="008D54A5">
              <w:t>0.2</w:t>
            </w:r>
          </w:p>
        </w:tc>
        <w:tc>
          <w:tcPr>
            <w:tcW w:w="331" w:type="pct"/>
            <w:tcBorders>
              <w:top w:val="nil"/>
              <w:left w:val="nil"/>
              <w:bottom w:val="single" w:sz="4" w:space="0" w:color="auto"/>
              <w:right w:val="single" w:sz="4" w:space="0" w:color="auto"/>
            </w:tcBorders>
            <w:shd w:val="clear" w:color="auto" w:fill="auto"/>
          </w:tcPr>
          <w:p w14:paraId="0F71E262" w14:textId="2BAC14E0" w:rsidR="00471B99" w:rsidRPr="008D54A5" w:rsidRDefault="00471B99" w:rsidP="00E47419">
            <w:pPr>
              <w:pStyle w:val="TableText-center-10"/>
            </w:pPr>
            <w:r w:rsidRPr="008D54A5">
              <w:t>$144</w:t>
            </w:r>
          </w:p>
        </w:tc>
        <w:tc>
          <w:tcPr>
            <w:tcW w:w="331" w:type="pct"/>
            <w:tcBorders>
              <w:top w:val="nil"/>
              <w:left w:val="nil"/>
              <w:bottom w:val="single" w:sz="4" w:space="0" w:color="auto"/>
              <w:right w:val="single" w:sz="4" w:space="0" w:color="auto"/>
            </w:tcBorders>
            <w:shd w:val="clear" w:color="auto" w:fill="auto"/>
          </w:tcPr>
          <w:p w14:paraId="67CE8BC3" w14:textId="03A9ABEC" w:rsidR="00471B99" w:rsidRPr="008D54A5" w:rsidRDefault="00471B99" w:rsidP="00E47419">
            <w:pPr>
              <w:pStyle w:val="TableText-center-10"/>
            </w:pPr>
            <w:r w:rsidRPr="008D54A5">
              <w:t>$290</w:t>
            </w:r>
          </w:p>
        </w:tc>
        <w:tc>
          <w:tcPr>
            <w:tcW w:w="303" w:type="pct"/>
            <w:tcBorders>
              <w:top w:val="nil"/>
              <w:left w:val="nil"/>
              <w:bottom w:val="single" w:sz="4" w:space="0" w:color="auto"/>
              <w:right w:val="single" w:sz="4" w:space="0" w:color="auto"/>
            </w:tcBorders>
            <w:shd w:val="clear" w:color="auto" w:fill="auto"/>
            <w:noWrap/>
            <w:hideMark/>
          </w:tcPr>
          <w:p w14:paraId="5E9D0CF8" w14:textId="1F352858" w:rsidR="00471B99" w:rsidRPr="008D54A5" w:rsidRDefault="00471B99" w:rsidP="00E47419">
            <w:pPr>
              <w:pStyle w:val="TableText-center-10"/>
            </w:pPr>
            <w:r w:rsidRPr="008D54A5">
              <w:t>$292</w:t>
            </w:r>
          </w:p>
        </w:tc>
      </w:tr>
      <w:tr w:rsidR="00652EC4" w:rsidRPr="008D54A5" w14:paraId="7A32523D" w14:textId="77777777" w:rsidTr="00471B99">
        <w:trPr>
          <w:trHeight w:val="20"/>
        </w:trPr>
        <w:tc>
          <w:tcPr>
            <w:tcW w:w="1112" w:type="pct"/>
            <w:noWrap/>
            <w:hideMark/>
          </w:tcPr>
          <w:p w14:paraId="52570A6B" w14:textId="77777777" w:rsidR="00471B99" w:rsidRPr="008D54A5" w:rsidRDefault="00471B99" w:rsidP="00E47419">
            <w:pPr>
              <w:pStyle w:val="TableText-10"/>
            </w:pPr>
            <w:r w:rsidRPr="008D54A5">
              <w:t>Payment from TRICARE</w:t>
            </w:r>
          </w:p>
        </w:tc>
        <w:tc>
          <w:tcPr>
            <w:tcW w:w="331" w:type="pct"/>
            <w:tcBorders>
              <w:top w:val="nil"/>
              <w:left w:val="single" w:sz="4" w:space="0" w:color="auto"/>
              <w:bottom w:val="single" w:sz="4" w:space="0" w:color="auto"/>
              <w:right w:val="single" w:sz="4" w:space="0" w:color="auto"/>
            </w:tcBorders>
            <w:shd w:val="clear" w:color="auto" w:fill="auto"/>
          </w:tcPr>
          <w:p w14:paraId="0E5E9189" w14:textId="555986DE" w:rsidR="00471B99" w:rsidRPr="008D54A5" w:rsidRDefault="00471B99" w:rsidP="00E47419">
            <w:pPr>
              <w:pStyle w:val="TableText-center-10"/>
            </w:pPr>
            <w:r w:rsidRPr="008D54A5">
              <w:t>2.4</w:t>
            </w:r>
          </w:p>
        </w:tc>
        <w:tc>
          <w:tcPr>
            <w:tcW w:w="331" w:type="pct"/>
            <w:tcBorders>
              <w:top w:val="nil"/>
              <w:left w:val="nil"/>
              <w:bottom w:val="single" w:sz="4" w:space="0" w:color="auto"/>
              <w:right w:val="single" w:sz="4" w:space="0" w:color="auto"/>
            </w:tcBorders>
            <w:shd w:val="clear" w:color="auto" w:fill="auto"/>
          </w:tcPr>
          <w:p w14:paraId="2105D342" w14:textId="6697D6C0" w:rsidR="00471B99" w:rsidRPr="008D54A5" w:rsidRDefault="00471B99" w:rsidP="00E47419">
            <w:pPr>
              <w:pStyle w:val="TableText-center-10"/>
            </w:pPr>
            <w:r w:rsidRPr="008D54A5">
              <w:t>2.3</w:t>
            </w:r>
          </w:p>
        </w:tc>
        <w:tc>
          <w:tcPr>
            <w:tcW w:w="315" w:type="pct"/>
            <w:tcBorders>
              <w:top w:val="nil"/>
              <w:left w:val="nil"/>
              <w:bottom w:val="single" w:sz="4" w:space="0" w:color="auto"/>
              <w:right w:val="single" w:sz="4" w:space="0" w:color="auto"/>
            </w:tcBorders>
            <w:shd w:val="clear" w:color="auto" w:fill="auto"/>
            <w:noWrap/>
            <w:hideMark/>
          </w:tcPr>
          <w:p w14:paraId="70379E2F" w14:textId="6A16775D" w:rsidR="00471B99" w:rsidRPr="008D54A5" w:rsidRDefault="00471B99" w:rsidP="00E47419">
            <w:pPr>
              <w:pStyle w:val="TableText-center-10"/>
            </w:pPr>
            <w:r w:rsidRPr="008D54A5">
              <w:t>2.4</w:t>
            </w:r>
          </w:p>
        </w:tc>
        <w:tc>
          <w:tcPr>
            <w:tcW w:w="331" w:type="pct"/>
            <w:tcBorders>
              <w:top w:val="nil"/>
              <w:left w:val="nil"/>
              <w:bottom w:val="single" w:sz="4" w:space="0" w:color="auto"/>
              <w:right w:val="single" w:sz="4" w:space="0" w:color="auto"/>
            </w:tcBorders>
            <w:shd w:val="clear" w:color="auto" w:fill="auto"/>
          </w:tcPr>
          <w:p w14:paraId="52EDE1D8" w14:textId="7AEE0F09" w:rsidR="00471B99" w:rsidRPr="008D54A5" w:rsidRDefault="00471B99" w:rsidP="00E47419">
            <w:pPr>
              <w:pStyle w:val="TableText-center-10"/>
            </w:pPr>
            <w:r w:rsidRPr="008D54A5">
              <w:t>97.4</w:t>
            </w:r>
          </w:p>
        </w:tc>
        <w:tc>
          <w:tcPr>
            <w:tcW w:w="331" w:type="pct"/>
            <w:tcBorders>
              <w:top w:val="nil"/>
              <w:left w:val="nil"/>
              <w:bottom w:val="single" w:sz="4" w:space="0" w:color="auto"/>
              <w:right w:val="single" w:sz="4" w:space="0" w:color="auto"/>
            </w:tcBorders>
            <w:shd w:val="clear" w:color="auto" w:fill="auto"/>
          </w:tcPr>
          <w:p w14:paraId="0677B640" w14:textId="19C3CDD3" w:rsidR="00471B99" w:rsidRPr="008D54A5" w:rsidRDefault="00471B99" w:rsidP="00E47419">
            <w:pPr>
              <w:pStyle w:val="TableText-center-10"/>
            </w:pPr>
            <w:r w:rsidRPr="008D54A5">
              <w:t>97.5</w:t>
            </w:r>
          </w:p>
        </w:tc>
        <w:tc>
          <w:tcPr>
            <w:tcW w:w="311" w:type="pct"/>
            <w:tcBorders>
              <w:top w:val="nil"/>
              <w:left w:val="nil"/>
              <w:bottom w:val="single" w:sz="4" w:space="0" w:color="auto"/>
              <w:right w:val="single" w:sz="4" w:space="0" w:color="auto"/>
            </w:tcBorders>
            <w:shd w:val="clear" w:color="auto" w:fill="auto"/>
            <w:noWrap/>
            <w:hideMark/>
          </w:tcPr>
          <w:p w14:paraId="325347D7" w14:textId="07BBCD61" w:rsidR="00471B99" w:rsidRPr="008D54A5" w:rsidRDefault="00471B99" w:rsidP="00E47419">
            <w:pPr>
              <w:pStyle w:val="TableText-center-10"/>
            </w:pPr>
            <w:r w:rsidRPr="008D54A5">
              <w:t>97.4</w:t>
            </w:r>
          </w:p>
        </w:tc>
        <w:tc>
          <w:tcPr>
            <w:tcW w:w="331" w:type="pct"/>
            <w:tcBorders>
              <w:top w:val="nil"/>
              <w:left w:val="nil"/>
              <w:bottom w:val="single" w:sz="4" w:space="0" w:color="auto"/>
              <w:right w:val="single" w:sz="4" w:space="0" w:color="auto"/>
            </w:tcBorders>
            <w:shd w:val="clear" w:color="auto" w:fill="auto"/>
          </w:tcPr>
          <w:p w14:paraId="43184E7C" w14:textId="4AC2BEC8" w:rsidR="00471B99" w:rsidRPr="008D54A5" w:rsidRDefault="00471B99" w:rsidP="00E47419">
            <w:pPr>
              <w:pStyle w:val="TableText-center-10"/>
            </w:pPr>
            <w:r w:rsidRPr="008D54A5">
              <w:t>0.2</w:t>
            </w:r>
          </w:p>
        </w:tc>
        <w:tc>
          <w:tcPr>
            <w:tcW w:w="331" w:type="pct"/>
            <w:tcBorders>
              <w:top w:val="nil"/>
              <w:left w:val="nil"/>
              <w:bottom w:val="single" w:sz="4" w:space="0" w:color="auto"/>
              <w:right w:val="single" w:sz="4" w:space="0" w:color="auto"/>
            </w:tcBorders>
            <w:shd w:val="clear" w:color="auto" w:fill="auto"/>
          </w:tcPr>
          <w:p w14:paraId="1C0B173C" w14:textId="2C1DCF81" w:rsidR="00471B99" w:rsidRPr="008D54A5" w:rsidRDefault="00471B99" w:rsidP="00E47419">
            <w:pPr>
              <w:pStyle w:val="TableText-center-10"/>
            </w:pPr>
            <w:r w:rsidRPr="008D54A5">
              <w:t>0.2</w:t>
            </w:r>
          </w:p>
        </w:tc>
        <w:tc>
          <w:tcPr>
            <w:tcW w:w="311" w:type="pct"/>
            <w:tcBorders>
              <w:top w:val="nil"/>
              <w:left w:val="nil"/>
              <w:bottom w:val="single" w:sz="4" w:space="0" w:color="auto"/>
              <w:right w:val="single" w:sz="4" w:space="0" w:color="auto"/>
            </w:tcBorders>
            <w:shd w:val="clear" w:color="auto" w:fill="auto"/>
            <w:noWrap/>
            <w:hideMark/>
          </w:tcPr>
          <w:p w14:paraId="18FE950E" w14:textId="0EAE6155" w:rsidR="00471B99" w:rsidRPr="008D54A5" w:rsidRDefault="00471B99" w:rsidP="00E47419">
            <w:pPr>
              <w:pStyle w:val="TableText-center-10"/>
            </w:pPr>
            <w:r w:rsidRPr="008D54A5">
              <w:t>0.2</w:t>
            </w:r>
          </w:p>
        </w:tc>
        <w:tc>
          <w:tcPr>
            <w:tcW w:w="331" w:type="pct"/>
            <w:tcBorders>
              <w:top w:val="nil"/>
              <w:left w:val="nil"/>
              <w:bottom w:val="single" w:sz="4" w:space="0" w:color="auto"/>
              <w:right w:val="single" w:sz="4" w:space="0" w:color="auto"/>
            </w:tcBorders>
            <w:shd w:val="clear" w:color="auto" w:fill="auto"/>
          </w:tcPr>
          <w:p w14:paraId="578053DC" w14:textId="52D8A8B5" w:rsidR="00471B99" w:rsidRPr="008D54A5" w:rsidRDefault="00471B99" w:rsidP="00E47419">
            <w:pPr>
              <w:pStyle w:val="TableText-center-10"/>
              <w:rPr>
                <w:sz w:val="18"/>
                <w:szCs w:val="18"/>
              </w:rPr>
            </w:pPr>
            <w:r w:rsidRPr="008D54A5">
              <w:t>$117</w:t>
            </w:r>
          </w:p>
        </w:tc>
        <w:tc>
          <w:tcPr>
            <w:tcW w:w="331" w:type="pct"/>
            <w:tcBorders>
              <w:top w:val="nil"/>
              <w:left w:val="nil"/>
              <w:bottom w:val="single" w:sz="4" w:space="0" w:color="auto"/>
              <w:right w:val="single" w:sz="4" w:space="0" w:color="auto"/>
            </w:tcBorders>
            <w:shd w:val="clear" w:color="auto" w:fill="auto"/>
          </w:tcPr>
          <w:p w14:paraId="6ED3A49E" w14:textId="5CCD15BF" w:rsidR="00471B99" w:rsidRPr="008D54A5" w:rsidRDefault="00471B99" w:rsidP="00E47419">
            <w:pPr>
              <w:pStyle w:val="TableText-center-10"/>
            </w:pPr>
            <w:r w:rsidRPr="008D54A5">
              <w:t>$114</w:t>
            </w:r>
          </w:p>
        </w:tc>
        <w:tc>
          <w:tcPr>
            <w:tcW w:w="303" w:type="pct"/>
            <w:tcBorders>
              <w:top w:val="nil"/>
              <w:left w:val="nil"/>
              <w:bottom w:val="single" w:sz="4" w:space="0" w:color="auto"/>
              <w:right w:val="single" w:sz="4" w:space="0" w:color="auto"/>
            </w:tcBorders>
            <w:shd w:val="clear" w:color="auto" w:fill="auto"/>
            <w:noWrap/>
            <w:hideMark/>
          </w:tcPr>
          <w:p w14:paraId="792FA2EA" w14:textId="42C8331A" w:rsidR="00471B99" w:rsidRPr="008D54A5" w:rsidRDefault="00471B99" w:rsidP="00E47419">
            <w:pPr>
              <w:pStyle w:val="TableText-center-10"/>
            </w:pPr>
            <w:r w:rsidRPr="008D54A5">
              <w:t>$160</w:t>
            </w:r>
          </w:p>
        </w:tc>
      </w:tr>
      <w:tr w:rsidR="00652EC4" w:rsidRPr="008D54A5" w14:paraId="1F196D3F" w14:textId="77777777" w:rsidTr="00471B99">
        <w:trPr>
          <w:trHeight w:val="20"/>
        </w:trPr>
        <w:tc>
          <w:tcPr>
            <w:tcW w:w="1112" w:type="pct"/>
            <w:noWrap/>
            <w:hideMark/>
          </w:tcPr>
          <w:p w14:paraId="7789E1EC" w14:textId="77777777" w:rsidR="00471B99" w:rsidRPr="008D54A5" w:rsidRDefault="00471B99" w:rsidP="00E47419">
            <w:pPr>
              <w:pStyle w:val="TableText-10"/>
            </w:pPr>
            <w:r w:rsidRPr="008D54A5">
              <w:t>Payment from Workers Comp</w:t>
            </w:r>
          </w:p>
        </w:tc>
        <w:tc>
          <w:tcPr>
            <w:tcW w:w="331" w:type="pct"/>
            <w:tcBorders>
              <w:top w:val="nil"/>
              <w:left w:val="single" w:sz="4" w:space="0" w:color="auto"/>
              <w:bottom w:val="single" w:sz="4" w:space="0" w:color="auto"/>
              <w:right w:val="single" w:sz="4" w:space="0" w:color="auto"/>
            </w:tcBorders>
            <w:shd w:val="clear" w:color="auto" w:fill="auto"/>
          </w:tcPr>
          <w:p w14:paraId="2E683CDA" w14:textId="155D49CF" w:rsidR="00471B99" w:rsidRPr="008D54A5" w:rsidRDefault="00471B99" w:rsidP="00E47419">
            <w:pPr>
              <w:pStyle w:val="TableText-center-10"/>
            </w:pPr>
            <w:r w:rsidRPr="008D54A5">
              <w:t>0.5</w:t>
            </w:r>
          </w:p>
        </w:tc>
        <w:tc>
          <w:tcPr>
            <w:tcW w:w="331" w:type="pct"/>
            <w:tcBorders>
              <w:top w:val="nil"/>
              <w:left w:val="nil"/>
              <w:bottom w:val="single" w:sz="4" w:space="0" w:color="auto"/>
              <w:right w:val="single" w:sz="4" w:space="0" w:color="auto"/>
            </w:tcBorders>
            <w:shd w:val="clear" w:color="auto" w:fill="auto"/>
          </w:tcPr>
          <w:p w14:paraId="787D871D" w14:textId="36E54A1D" w:rsidR="00471B99" w:rsidRPr="008D54A5" w:rsidRDefault="00471B99" w:rsidP="00E47419">
            <w:pPr>
              <w:pStyle w:val="TableText-center-10"/>
            </w:pPr>
            <w:r w:rsidRPr="008D54A5">
              <w:t>0.3</w:t>
            </w:r>
          </w:p>
        </w:tc>
        <w:tc>
          <w:tcPr>
            <w:tcW w:w="315" w:type="pct"/>
            <w:tcBorders>
              <w:top w:val="nil"/>
              <w:left w:val="nil"/>
              <w:bottom w:val="single" w:sz="4" w:space="0" w:color="auto"/>
              <w:right w:val="single" w:sz="4" w:space="0" w:color="auto"/>
            </w:tcBorders>
            <w:shd w:val="clear" w:color="auto" w:fill="auto"/>
            <w:noWrap/>
            <w:hideMark/>
          </w:tcPr>
          <w:p w14:paraId="7FAD0CFF" w14:textId="1559120E" w:rsidR="00471B99" w:rsidRPr="008D54A5" w:rsidRDefault="00471B99" w:rsidP="00E47419">
            <w:pPr>
              <w:pStyle w:val="TableText-center-10"/>
            </w:pPr>
            <w:r w:rsidRPr="008D54A5">
              <w:t>0.4</w:t>
            </w:r>
          </w:p>
        </w:tc>
        <w:tc>
          <w:tcPr>
            <w:tcW w:w="331" w:type="pct"/>
            <w:tcBorders>
              <w:top w:val="nil"/>
              <w:left w:val="nil"/>
              <w:bottom w:val="single" w:sz="4" w:space="0" w:color="auto"/>
              <w:right w:val="single" w:sz="4" w:space="0" w:color="auto"/>
            </w:tcBorders>
            <w:shd w:val="clear" w:color="auto" w:fill="auto"/>
          </w:tcPr>
          <w:p w14:paraId="4E36CCA9" w14:textId="15165C8F" w:rsidR="00471B99" w:rsidRPr="008D54A5" w:rsidRDefault="00471B99" w:rsidP="00E47419">
            <w:pPr>
              <w:pStyle w:val="TableText-center-10"/>
            </w:pPr>
            <w:r w:rsidRPr="008D54A5">
              <w:t>99.3</w:t>
            </w:r>
          </w:p>
        </w:tc>
        <w:tc>
          <w:tcPr>
            <w:tcW w:w="331" w:type="pct"/>
            <w:tcBorders>
              <w:top w:val="nil"/>
              <w:left w:val="nil"/>
              <w:bottom w:val="single" w:sz="4" w:space="0" w:color="auto"/>
              <w:right w:val="single" w:sz="4" w:space="0" w:color="auto"/>
            </w:tcBorders>
            <w:shd w:val="clear" w:color="auto" w:fill="auto"/>
          </w:tcPr>
          <w:p w14:paraId="02B30110" w14:textId="15E999A4" w:rsidR="00471B99" w:rsidRPr="008D54A5" w:rsidRDefault="00471B99" w:rsidP="00E47419">
            <w:pPr>
              <w:pStyle w:val="TableText-center-10"/>
            </w:pPr>
            <w:r w:rsidRPr="008D54A5">
              <w:t>99.5</w:t>
            </w:r>
          </w:p>
        </w:tc>
        <w:tc>
          <w:tcPr>
            <w:tcW w:w="311" w:type="pct"/>
            <w:tcBorders>
              <w:top w:val="nil"/>
              <w:left w:val="nil"/>
              <w:bottom w:val="single" w:sz="4" w:space="0" w:color="auto"/>
              <w:right w:val="single" w:sz="4" w:space="0" w:color="auto"/>
            </w:tcBorders>
            <w:shd w:val="clear" w:color="auto" w:fill="auto"/>
            <w:noWrap/>
            <w:hideMark/>
          </w:tcPr>
          <w:p w14:paraId="0E414656" w14:textId="3DB7EB31" w:rsidR="00471B99" w:rsidRPr="008D54A5" w:rsidRDefault="00471B99" w:rsidP="00E47419">
            <w:pPr>
              <w:pStyle w:val="TableText-center-10"/>
            </w:pPr>
            <w:r w:rsidRPr="008D54A5">
              <w:t>99.4</w:t>
            </w:r>
          </w:p>
        </w:tc>
        <w:tc>
          <w:tcPr>
            <w:tcW w:w="331" w:type="pct"/>
            <w:tcBorders>
              <w:top w:val="nil"/>
              <w:left w:val="nil"/>
              <w:bottom w:val="single" w:sz="4" w:space="0" w:color="auto"/>
              <w:right w:val="single" w:sz="4" w:space="0" w:color="auto"/>
            </w:tcBorders>
            <w:shd w:val="clear" w:color="auto" w:fill="auto"/>
          </w:tcPr>
          <w:p w14:paraId="71D5676B" w14:textId="53C67CA2" w:rsidR="00471B99" w:rsidRPr="008D54A5" w:rsidRDefault="00471B99" w:rsidP="00E47419">
            <w:pPr>
              <w:pStyle w:val="TableText-center-10"/>
            </w:pPr>
            <w:r w:rsidRPr="008D54A5">
              <w:t>0.2</w:t>
            </w:r>
          </w:p>
        </w:tc>
        <w:tc>
          <w:tcPr>
            <w:tcW w:w="331" w:type="pct"/>
            <w:tcBorders>
              <w:top w:val="nil"/>
              <w:left w:val="nil"/>
              <w:bottom w:val="single" w:sz="4" w:space="0" w:color="auto"/>
              <w:right w:val="single" w:sz="4" w:space="0" w:color="auto"/>
            </w:tcBorders>
            <w:shd w:val="clear" w:color="auto" w:fill="auto"/>
          </w:tcPr>
          <w:p w14:paraId="08C92147" w14:textId="00A837C9" w:rsidR="00471B99" w:rsidRPr="008D54A5" w:rsidRDefault="00471B99" w:rsidP="00E47419">
            <w:pPr>
              <w:pStyle w:val="TableText-center-10"/>
            </w:pPr>
            <w:r w:rsidRPr="008D54A5">
              <w:t>0.2</w:t>
            </w:r>
          </w:p>
        </w:tc>
        <w:tc>
          <w:tcPr>
            <w:tcW w:w="311" w:type="pct"/>
            <w:tcBorders>
              <w:top w:val="nil"/>
              <w:left w:val="nil"/>
              <w:bottom w:val="single" w:sz="4" w:space="0" w:color="auto"/>
              <w:right w:val="single" w:sz="4" w:space="0" w:color="auto"/>
            </w:tcBorders>
            <w:shd w:val="clear" w:color="auto" w:fill="auto"/>
            <w:noWrap/>
            <w:hideMark/>
          </w:tcPr>
          <w:p w14:paraId="6A412761" w14:textId="5070C0D5" w:rsidR="00471B99" w:rsidRPr="008D54A5" w:rsidRDefault="00471B99" w:rsidP="00E47419">
            <w:pPr>
              <w:pStyle w:val="TableText-center-10"/>
            </w:pPr>
            <w:r w:rsidRPr="008D54A5">
              <w:t>0.2</w:t>
            </w:r>
          </w:p>
        </w:tc>
        <w:tc>
          <w:tcPr>
            <w:tcW w:w="331" w:type="pct"/>
            <w:tcBorders>
              <w:top w:val="nil"/>
              <w:left w:val="nil"/>
              <w:bottom w:val="single" w:sz="4" w:space="0" w:color="auto"/>
              <w:right w:val="single" w:sz="4" w:space="0" w:color="auto"/>
            </w:tcBorders>
            <w:shd w:val="clear" w:color="auto" w:fill="auto"/>
          </w:tcPr>
          <w:p w14:paraId="25840686" w14:textId="10A288AB" w:rsidR="00471B99" w:rsidRPr="008D54A5" w:rsidRDefault="00471B99" w:rsidP="00E47419">
            <w:pPr>
              <w:pStyle w:val="TableText-center-10"/>
            </w:pPr>
            <w:r w:rsidRPr="008D54A5">
              <w:t>$279</w:t>
            </w:r>
          </w:p>
        </w:tc>
        <w:tc>
          <w:tcPr>
            <w:tcW w:w="331" w:type="pct"/>
            <w:tcBorders>
              <w:top w:val="nil"/>
              <w:left w:val="nil"/>
              <w:bottom w:val="single" w:sz="4" w:space="0" w:color="auto"/>
              <w:right w:val="single" w:sz="4" w:space="0" w:color="auto"/>
            </w:tcBorders>
            <w:shd w:val="clear" w:color="auto" w:fill="auto"/>
          </w:tcPr>
          <w:p w14:paraId="05E3AB0C" w14:textId="4661CC88" w:rsidR="00471B99" w:rsidRPr="008D54A5" w:rsidRDefault="00471B99" w:rsidP="00E47419">
            <w:pPr>
              <w:pStyle w:val="TableText-center-10"/>
            </w:pPr>
            <w:r w:rsidRPr="008D54A5">
              <w:t>$402</w:t>
            </w:r>
          </w:p>
        </w:tc>
        <w:tc>
          <w:tcPr>
            <w:tcW w:w="303" w:type="pct"/>
            <w:tcBorders>
              <w:top w:val="nil"/>
              <w:left w:val="nil"/>
              <w:bottom w:val="single" w:sz="4" w:space="0" w:color="auto"/>
              <w:right w:val="single" w:sz="4" w:space="0" w:color="auto"/>
            </w:tcBorders>
            <w:shd w:val="clear" w:color="auto" w:fill="auto"/>
            <w:noWrap/>
            <w:hideMark/>
          </w:tcPr>
          <w:p w14:paraId="76459E8F" w14:textId="30F05107" w:rsidR="00471B99" w:rsidRPr="008D54A5" w:rsidRDefault="00471B99" w:rsidP="00E47419">
            <w:pPr>
              <w:pStyle w:val="TableText-center-10"/>
            </w:pPr>
            <w:r w:rsidRPr="008D54A5">
              <w:t>$322</w:t>
            </w:r>
          </w:p>
        </w:tc>
      </w:tr>
      <w:tr w:rsidR="00652EC4" w:rsidRPr="008D54A5" w14:paraId="0F2D37DD" w14:textId="77777777" w:rsidTr="00471B99">
        <w:trPr>
          <w:trHeight w:val="20"/>
        </w:trPr>
        <w:tc>
          <w:tcPr>
            <w:tcW w:w="1112" w:type="pct"/>
            <w:noWrap/>
            <w:hideMark/>
          </w:tcPr>
          <w:p w14:paraId="2D80DA96" w14:textId="77777777" w:rsidR="00471B99" w:rsidRPr="008D54A5" w:rsidRDefault="00471B99" w:rsidP="00E47419">
            <w:pPr>
              <w:pStyle w:val="TableText-10"/>
            </w:pPr>
            <w:r w:rsidRPr="008D54A5">
              <w:t>Total Payment</w:t>
            </w:r>
          </w:p>
        </w:tc>
        <w:tc>
          <w:tcPr>
            <w:tcW w:w="331" w:type="pct"/>
            <w:tcBorders>
              <w:top w:val="nil"/>
              <w:left w:val="single" w:sz="4" w:space="0" w:color="auto"/>
              <w:bottom w:val="single" w:sz="4" w:space="0" w:color="auto"/>
              <w:right w:val="single" w:sz="4" w:space="0" w:color="auto"/>
            </w:tcBorders>
            <w:shd w:val="clear" w:color="auto" w:fill="auto"/>
          </w:tcPr>
          <w:p w14:paraId="622E3252" w14:textId="0E61484C" w:rsidR="00471B99" w:rsidRPr="008D54A5" w:rsidRDefault="00471B99" w:rsidP="00E47419">
            <w:pPr>
              <w:pStyle w:val="TableText-center-10"/>
            </w:pPr>
            <w:r w:rsidRPr="008D54A5">
              <w:t>95.4</w:t>
            </w:r>
          </w:p>
        </w:tc>
        <w:tc>
          <w:tcPr>
            <w:tcW w:w="331" w:type="pct"/>
            <w:tcBorders>
              <w:top w:val="nil"/>
              <w:left w:val="nil"/>
              <w:bottom w:val="single" w:sz="4" w:space="0" w:color="auto"/>
              <w:right w:val="single" w:sz="4" w:space="0" w:color="auto"/>
            </w:tcBorders>
            <w:shd w:val="clear" w:color="auto" w:fill="auto"/>
          </w:tcPr>
          <w:p w14:paraId="0313A32C" w14:textId="451F3B6A" w:rsidR="00471B99" w:rsidRPr="008D54A5" w:rsidRDefault="00471B99" w:rsidP="00E47419">
            <w:pPr>
              <w:pStyle w:val="TableText-center-10"/>
            </w:pPr>
            <w:r w:rsidRPr="008D54A5">
              <w:t>94.8</w:t>
            </w:r>
          </w:p>
        </w:tc>
        <w:tc>
          <w:tcPr>
            <w:tcW w:w="315" w:type="pct"/>
            <w:tcBorders>
              <w:top w:val="nil"/>
              <w:left w:val="nil"/>
              <w:bottom w:val="single" w:sz="4" w:space="0" w:color="auto"/>
              <w:right w:val="single" w:sz="4" w:space="0" w:color="auto"/>
            </w:tcBorders>
            <w:shd w:val="clear" w:color="auto" w:fill="auto"/>
            <w:noWrap/>
            <w:hideMark/>
          </w:tcPr>
          <w:p w14:paraId="434E7805" w14:textId="5A372700" w:rsidR="00471B99" w:rsidRPr="008D54A5" w:rsidRDefault="00471B99" w:rsidP="00E47419">
            <w:pPr>
              <w:pStyle w:val="TableText-center-10"/>
            </w:pPr>
            <w:r w:rsidRPr="008D54A5">
              <w:t>95.5</w:t>
            </w:r>
          </w:p>
        </w:tc>
        <w:tc>
          <w:tcPr>
            <w:tcW w:w="331" w:type="pct"/>
            <w:tcBorders>
              <w:top w:val="nil"/>
              <w:left w:val="nil"/>
              <w:bottom w:val="single" w:sz="4" w:space="0" w:color="auto"/>
              <w:right w:val="single" w:sz="4" w:space="0" w:color="auto"/>
            </w:tcBorders>
            <w:shd w:val="clear" w:color="auto" w:fill="auto"/>
          </w:tcPr>
          <w:p w14:paraId="35134B29" w14:textId="10E00E82" w:rsidR="00471B99" w:rsidRPr="008D54A5" w:rsidRDefault="00471B99" w:rsidP="00E47419">
            <w:pPr>
              <w:pStyle w:val="TableText-center-10"/>
            </w:pPr>
            <w:r w:rsidRPr="008D54A5">
              <w:t>4.2</w:t>
            </w:r>
          </w:p>
        </w:tc>
        <w:tc>
          <w:tcPr>
            <w:tcW w:w="331" w:type="pct"/>
            <w:tcBorders>
              <w:top w:val="nil"/>
              <w:left w:val="nil"/>
              <w:bottom w:val="single" w:sz="4" w:space="0" w:color="auto"/>
              <w:right w:val="single" w:sz="4" w:space="0" w:color="auto"/>
            </w:tcBorders>
            <w:shd w:val="clear" w:color="auto" w:fill="auto"/>
          </w:tcPr>
          <w:p w14:paraId="32002D27" w14:textId="7E994D17" w:rsidR="00471B99" w:rsidRPr="008D54A5" w:rsidRDefault="00471B99" w:rsidP="00E47419">
            <w:pPr>
              <w:pStyle w:val="TableText-center-10"/>
            </w:pPr>
            <w:r w:rsidRPr="008D54A5">
              <w:t>4.9</w:t>
            </w:r>
          </w:p>
        </w:tc>
        <w:tc>
          <w:tcPr>
            <w:tcW w:w="311" w:type="pct"/>
            <w:tcBorders>
              <w:top w:val="nil"/>
              <w:left w:val="nil"/>
              <w:bottom w:val="single" w:sz="4" w:space="0" w:color="auto"/>
              <w:right w:val="single" w:sz="4" w:space="0" w:color="auto"/>
            </w:tcBorders>
            <w:shd w:val="clear" w:color="auto" w:fill="auto"/>
            <w:noWrap/>
            <w:hideMark/>
          </w:tcPr>
          <w:p w14:paraId="3DC76C88" w14:textId="5A2F7094" w:rsidR="00471B99" w:rsidRPr="008D54A5" w:rsidRDefault="00471B99" w:rsidP="00E47419">
            <w:pPr>
              <w:pStyle w:val="TableText-center-10"/>
            </w:pPr>
            <w:r w:rsidRPr="008D54A5">
              <w:t>4.2</w:t>
            </w:r>
          </w:p>
        </w:tc>
        <w:tc>
          <w:tcPr>
            <w:tcW w:w="331" w:type="pct"/>
            <w:tcBorders>
              <w:top w:val="nil"/>
              <w:left w:val="nil"/>
              <w:bottom w:val="single" w:sz="4" w:space="0" w:color="auto"/>
              <w:right w:val="single" w:sz="4" w:space="0" w:color="auto"/>
            </w:tcBorders>
            <w:shd w:val="clear" w:color="auto" w:fill="auto"/>
          </w:tcPr>
          <w:p w14:paraId="09010072" w14:textId="68FEB61B" w:rsidR="00471B99" w:rsidRPr="008D54A5" w:rsidRDefault="00471B99" w:rsidP="00E47419">
            <w:pPr>
              <w:pStyle w:val="TableText-center-10"/>
            </w:pPr>
            <w:r w:rsidRPr="008D54A5">
              <w:t>0.3</w:t>
            </w:r>
          </w:p>
        </w:tc>
        <w:tc>
          <w:tcPr>
            <w:tcW w:w="331" w:type="pct"/>
            <w:tcBorders>
              <w:top w:val="nil"/>
              <w:left w:val="nil"/>
              <w:bottom w:val="single" w:sz="4" w:space="0" w:color="auto"/>
              <w:right w:val="single" w:sz="4" w:space="0" w:color="auto"/>
            </w:tcBorders>
            <w:shd w:val="clear" w:color="auto" w:fill="auto"/>
          </w:tcPr>
          <w:p w14:paraId="6AC6B81E" w14:textId="0E9D0992" w:rsidR="00471B99" w:rsidRPr="008D54A5" w:rsidRDefault="00471B99" w:rsidP="00E47419">
            <w:pPr>
              <w:pStyle w:val="TableText-center-10"/>
            </w:pPr>
            <w:r w:rsidRPr="008D54A5">
              <w:t>0.3</w:t>
            </w:r>
          </w:p>
        </w:tc>
        <w:tc>
          <w:tcPr>
            <w:tcW w:w="311" w:type="pct"/>
            <w:tcBorders>
              <w:top w:val="nil"/>
              <w:left w:val="nil"/>
              <w:bottom w:val="single" w:sz="4" w:space="0" w:color="auto"/>
              <w:right w:val="single" w:sz="4" w:space="0" w:color="auto"/>
            </w:tcBorders>
            <w:shd w:val="clear" w:color="auto" w:fill="auto"/>
            <w:noWrap/>
            <w:hideMark/>
          </w:tcPr>
          <w:p w14:paraId="3D50D90C" w14:textId="3984DEC3" w:rsidR="00471B99" w:rsidRPr="008D54A5" w:rsidRDefault="00471B99" w:rsidP="00E47419">
            <w:pPr>
              <w:pStyle w:val="TableText-center-10"/>
            </w:pPr>
            <w:r w:rsidRPr="008D54A5">
              <w:t>0.3</w:t>
            </w:r>
          </w:p>
        </w:tc>
        <w:tc>
          <w:tcPr>
            <w:tcW w:w="331" w:type="pct"/>
            <w:tcBorders>
              <w:top w:val="nil"/>
              <w:left w:val="nil"/>
              <w:bottom w:val="single" w:sz="4" w:space="0" w:color="auto"/>
              <w:right w:val="single" w:sz="4" w:space="0" w:color="auto"/>
            </w:tcBorders>
            <w:shd w:val="clear" w:color="auto" w:fill="auto"/>
          </w:tcPr>
          <w:p w14:paraId="3C9998FF" w14:textId="3962A593" w:rsidR="00471B99" w:rsidRPr="008D54A5" w:rsidRDefault="00471B99" w:rsidP="00E47419">
            <w:pPr>
              <w:pStyle w:val="TableText-center-10"/>
            </w:pPr>
            <w:r w:rsidRPr="008D54A5">
              <w:t>$233</w:t>
            </w:r>
          </w:p>
        </w:tc>
        <w:tc>
          <w:tcPr>
            <w:tcW w:w="331" w:type="pct"/>
            <w:tcBorders>
              <w:top w:val="nil"/>
              <w:left w:val="nil"/>
              <w:bottom w:val="single" w:sz="4" w:space="0" w:color="auto"/>
              <w:right w:val="single" w:sz="4" w:space="0" w:color="auto"/>
            </w:tcBorders>
            <w:shd w:val="clear" w:color="auto" w:fill="auto"/>
          </w:tcPr>
          <w:p w14:paraId="5E7C7E3C" w14:textId="1876BDDD" w:rsidR="00471B99" w:rsidRPr="008D54A5" w:rsidRDefault="00471B99" w:rsidP="00E47419">
            <w:pPr>
              <w:pStyle w:val="TableText-center-10"/>
            </w:pPr>
            <w:r w:rsidRPr="008D54A5">
              <w:t>$235</w:t>
            </w:r>
          </w:p>
        </w:tc>
        <w:tc>
          <w:tcPr>
            <w:tcW w:w="303" w:type="pct"/>
            <w:tcBorders>
              <w:top w:val="nil"/>
              <w:left w:val="nil"/>
              <w:bottom w:val="single" w:sz="4" w:space="0" w:color="auto"/>
              <w:right w:val="single" w:sz="4" w:space="0" w:color="auto"/>
            </w:tcBorders>
            <w:shd w:val="clear" w:color="auto" w:fill="auto"/>
            <w:noWrap/>
            <w:hideMark/>
          </w:tcPr>
          <w:p w14:paraId="5CA1D560" w14:textId="1E5E8960" w:rsidR="00471B99" w:rsidRPr="008D54A5" w:rsidRDefault="00471B99" w:rsidP="00E47419">
            <w:pPr>
              <w:pStyle w:val="TableText-center-10"/>
            </w:pPr>
            <w:r w:rsidRPr="008D54A5">
              <w:t>$248</w:t>
            </w:r>
          </w:p>
        </w:tc>
      </w:tr>
      <w:tr w:rsidR="00652EC4" w:rsidRPr="008D54A5" w14:paraId="7D1F49CA" w14:textId="77777777" w:rsidTr="00471B99">
        <w:trPr>
          <w:trHeight w:val="20"/>
        </w:trPr>
        <w:tc>
          <w:tcPr>
            <w:tcW w:w="1112" w:type="pct"/>
            <w:noWrap/>
            <w:hideMark/>
          </w:tcPr>
          <w:p w14:paraId="54C4DAD9" w14:textId="77777777" w:rsidR="00471B99" w:rsidRPr="008D54A5" w:rsidRDefault="00471B99" w:rsidP="00E47419">
            <w:pPr>
              <w:pStyle w:val="TableText-10"/>
            </w:pPr>
            <w:r w:rsidRPr="008D54A5">
              <w:t>Total Charges</w:t>
            </w:r>
          </w:p>
        </w:tc>
        <w:tc>
          <w:tcPr>
            <w:tcW w:w="331" w:type="pct"/>
            <w:tcBorders>
              <w:top w:val="nil"/>
              <w:left w:val="single" w:sz="4" w:space="0" w:color="auto"/>
              <w:bottom w:val="single" w:sz="4" w:space="0" w:color="auto"/>
              <w:right w:val="single" w:sz="4" w:space="0" w:color="auto"/>
            </w:tcBorders>
            <w:shd w:val="clear" w:color="auto" w:fill="auto"/>
          </w:tcPr>
          <w:p w14:paraId="32DDAF27" w14:textId="2BC8E34B" w:rsidR="00471B99" w:rsidRPr="008D54A5" w:rsidRDefault="00471B99" w:rsidP="00E47419">
            <w:pPr>
              <w:pStyle w:val="TableText-center-10"/>
            </w:pPr>
            <w:r w:rsidRPr="008D54A5">
              <w:t>99.7</w:t>
            </w:r>
          </w:p>
        </w:tc>
        <w:tc>
          <w:tcPr>
            <w:tcW w:w="331" w:type="pct"/>
            <w:tcBorders>
              <w:top w:val="nil"/>
              <w:left w:val="nil"/>
              <w:bottom w:val="single" w:sz="4" w:space="0" w:color="auto"/>
              <w:right w:val="single" w:sz="4" w:space="0" w:color="auto"/>
            </w:tcBorders>
            <w:shd w:val="clear" w:color="auto" w:fill="auto"/>
          </w:tcPr>
          <w:p w14:paraId="52CE8B04" w14:textId="54C48FA8" w:rsidR="00471B99" w:rsidRPr="008D54A5" w:rsidRDefault="00471B99" w:rsidP="00E47419">
            <w:pPr>
              <w:pStyle w:val="TableText-center-10"/>
            </w:pPr>
            <w:r w:rsidRPr="008D54A5">
              <w:t>99.8</w:t>
            </w:r>
          </w:p>
        </w:tc>
        <w:tc>
          <w:tcPr>
            <w:tcW w:w="315" w:type="pct"/>
            <w:tcBorders>
              <w:top w:val="nil"/>
              <w:left w:val="nil"/>
              <w:bottom w:val="single" w:sz="4" w:space="0" w:color="auto"/>
              <w:right w:val="single" w:sz="4" w:space="0" w:color="auto"/>
            </w:tcBorders>
            <w:shd w:val="clear" w:color="auto" w:fill="auto"/>
            <w:noWrap/>
            <w:hideMark/>
          </w:tcPr>
          <w:p w14:paraId="1F0C8E33" w14:textId="13C810F4" w:rsidR="00471B99" w:rsidRPr="008D54A5" w:rsidRDefault="00471B99" w:rsidP="00E47419">
            <w:pPr>
              <w:pStyle w:val="TableText-center-10"/>
            </w:pPr>
            <w:r w:rsidRPr="008D54A5">
              <w:t>99.9</w:t>
            </w:r>
          </w:p>
        </w:tc>
        <w:tc>
          <w:tcPr>
            <w:tcW w:w="331" w:type="pct"/>
            <w:tcBorders>
              <w:top w:val="nil"/>
              <w:left w:val="nil"/>
              <w:bottom w:val="single" w:sz="4" w:space="0" w:color="auto"/>
              <w:right w:val="single" w:sz="4" w:space="0" w:color="auto"/>
            </w:tcBorders>
            <w:shd w:val="clear" w:color="auto" w:fill="auto"/>
          </w:tcPr>
          <w:p w14:paraId="1DFE1860" w14:textId="7D3F09D9" w:rsidR="00471B99" w:rsidRPr="008D54A5" w:rsidRDefault="00471B99" w:rsidP="00E47419">
            <w:pPr>
              <w:pStyle w:val="TableText-center-10"/>
            </w:pPr>
            <w:r w:rsidRPr="008D54A5">
              <w:t>0.0</w:t>
            </w:r>
          </w:p>
        </w:tc>
        <w:tc>
          <w:tcPr>
            <w:tcW w:w="331" w:type="pct"/>
            <w:tcBorders>
              <w:top w:val="nil"/>
              <w:left w:val="nil"/>
              <w:bottom w:val="single" w:sz="4" w:space="0" w:color="auto"/>
              <w:right w:val="single" w:sz="4" w:space="0" w:color="auto"/>
            </w:tcBorders>
            <w:shd w:val="clear" w:color="auto" w:fill="auto"/>
          </w:tcPr>
          <w:p w14:paraId="2E01D901" w14:textId="7669C649" w:rsidR="00471B99" w:rsidRPr="008D54A5" w:rsidRDefault="00471B99" w:rsidP="00E47419">
            <w:pPr>
              <w:pStyle w:val="TableText-center-10"/>
            </w:pPr>
            <w:r w:rsidRPr="008D54A5">
              <w:t>0.1</w:t>
            </w:r>
          </w:p>
        </w:tc>
        <w:tc>
          <w:tcPr>
            <w:tcW w:w="311" w:type="pct"/>
            <w:tcBorders>
              <w:top w:val="nil"/>
              <w:left w:val="nil"/>
              <w:bottom w:val="single" w:sz="4" w:space="0" w:color="auto"/>
              <w:right w:val="single" w:sz="4" w:space="0" w:color="auto"/>
            </w:tcBorders>
            <w:shd w:val="clear" w:color="auto" w:fill="auto"/>
            <w:noWrap/>
            <w:hideMark/>
          </w:tcPr>
          <w:p w14:paraId="23601845" w14:textId="52E8D37B" w:rsidR="00471B99" w:rsidRPr="008D54A5" w:rsidRDefault="00471B99" w:rsidP="00E47419">
            <w:pPr>
              <w:pStyle w:val="TableText-center-10"/>
            </w:pPr>
            <w:r w:rsidRPr="008D54A5">
              <w:t>0.0</w:t>
            </w:r>
          </w:p>
        </w:tc>
        <w:tc>
          <w:tcPr>
            <w:tcW w:w="331" w:type="pct"/>
            <w:tcBorders>
              <w:top w:val="nil"/>
              <w:left w:val="nil"/>
              <w:bottom w:val="single" w:sz="4" w:space="0" w:color="auto"/>
              <w:right w:val="single" w:sz="4" w:space="0" w:color="auto"/>
            </w:tcBorders>
            <w:shd w:val="clear" w:color="auto" w:fill="auto"/>
          </w:tcPr>
          <w:p w14:paraId="2FDE3FFA" w14:textId="4906045A" w:rsidR="00471B99" w:rsidRPr="008D54A5" w:rsidRDefault="00471B99" w:rsidP="00E47419">
            <w:pPr>
              <w:pStyle w:val="TableText-center-10"/>
            </w:pPr>
            <w:r w:rsidRPr="008D54A5">
              <w:t>0.3</w:t>
            </w:r>
          </w:p>
        </w:tc>
        <w:tc>
          <w:tcPr>
            <w:tcW w:w="331" w:type="pct"/>
            <w:tcBorders>
              <w:top w:val="nil"/>
              <w:left w:val="nil"/>
              <w:bottom w:val="single" w:sz="4" w:space="0" w:color="auto"/>
              <w:right w:val="single" w:sz="4" w:space="0" w:color="auto"/>
            </w:tcBorders>
            <w:shd w:val="clear" w:color="auto" w:fill="auto"/>
          </w:tcPr>
          <w:p w14:paraId="59EE372E" w14:textId="06E1D567" w:rsidR="00471B99" w:rsidRPr="008D54A5" w:rsidRDefault="00471B99" w:rsidP="00E47419">
            <w:pPr>
              <w:pStyle w:val="TableText-center-10"/>
            </w:pPr>
            <w:r w:rsidRPr="008D54A5">
              <w:t>0.1</w:t>
            </w:r>
          </w:p>
        </w:tc>
        <w:tc>
          <w:tcPr>
            <w:tcW w:w="311" w:type="pct"/>
            <w:tcBorders>
              <w:top w:val="nil"/>
              <w:left w:val="nil"/>
              <w:bottom w:val="single" w:sz="4" w:space="0" w:color="auto"/>
              <w:right w:val="single" w:sz="4" w:space="0" w:color="auto"/>
            </w:tcBorders>
            <w:shd w:val="clear" w:color="auto" w:fill="auto"/>
            <w:noWrap/>
            <w:hideMark/>
          </w:tcPr>
          <w:p w14:paraId="454823F2" w14:textId="20C488B1" w:rsidR="00471B99" w:rsidRPr="008D54A5" w:rsidRDefault="00471B99" w:rsidP="00E47419">
            <w:pPr>
              <w:pStyle w:val="TableText-center-10"/>
            </w:pPr>
            <w:r w:rsidRPr="008D54A5">
              <w:t>0.1</w:t>
            </w:r>
          </w:p>
        </w:tc>
        <w:tc>
          <w:tcPr>
            <w:tcW w:w="331" w:type="pct"/>
            <w:tcBorders>
              <w:top w:val="nil"/>
              <w:left w:val="nil"/>
              <w:bottom w:val="single" w:sz="4" w:space="0" w:color="auto"/>
              <w:right w:val="single" w:sz="4" w:space="0" w:color="auto"/>
            </w:tcBorders>
            <w:shd w:val="clear" w:color="auto" w:fill="auto"/>
          </w:tcPr>
          <w:p w14:paraId="6F3EABA2" w14:textId="2EBCB196" w:rsidR="00471B99" w:rsidRPr="008D54A5" w:rsidRDefault="00471B99" w:rsidP="00E47419">
            <w:pPr>
              <w:pStyle w:val="TableText-center-10"/>
            </w:pPr>
            <w:r w:rsidRPr="008D54A5">
              <w:t>$517</w:t>
            </w:r>
          </w:p>
        </w:tc>
        <w:tc>
          <w:tcPr>
            <w:tcW w:w="331" w:type="pct"/>
            <w:tcBorders>
              <w:top w:val="nil"/>
              <w:left w:val="nil"/>
              <w:bottom w:val="single" w:sz="4" w:space="0" w:color="auto"/>
              <w:right w:val="single" w:sz="4" w:space="0" w:color="auto"/>
            </w:tcBorders>
            <w:shd w:val="clear" w:color="auto" w:fill="auto"/>
          </w:tcPr>
          <w:p w14:paraId="4C641522" w14:textId="17F5A5AE" w:rsidR="00471B99" w:rsidRPr="008D54A5" w:rsidRDefault="00471B99" w:rsidP="00E47419">
            <w:pPr>
              <w:pStyle w:val="TableText-center-10"/>
            </w:pPr>
            <w:r w:rsidRPr="008D54A5">
              <w:t>$555</w:t>
            </w:r>
          </w:p>
        </w:tc>
        <w:tc>
          <w:tcPr>
            <w:tcW w:w="303" w:type="pct"/>
            <w:tcBorders>
              <w:top w:val="nil"/>
              <w:left w:val="nil"/>
              <w:bottom w:val="single" w:sz="4" w:space="0" w:color="auto"/>
              <w:right w:val="single" w:sz="4" w:space="0" w:color="auto"/>
            </w:tcBorders>
            <w:shd w:val="clear" w:color="auto" w:fill="auto"/>
            <w:noWrap/>
            <w:hideMark/>
          </w:tcPr>
          <w:p w14:paraId="35A83558" w14:textId="45E1C40D" w:rsidR="00471B99" w:rsidRPr="008D54A5" w:rsidRDefault="00471B99" w:rsidP="00E47419">
            <w:pPr>
              <w:pStyle w:val="TableText-center-10"/>
            </w:pPr>
            <w:r w:rsidRPr="008D54A5">
              <w:t>$588</w:t>
            </w:r>
          </w:p>
        </w:tc>
      </w:tr>
    </w:tbl>
    <w:p w14:paraId="72AA1FCE" w14:textId="42E8E8D7" w:rsidR="002D4D78" w:rsidRPr="008D54A5" w:rsidRDefault="0013055A" w:rsidP="002D4D78">
      <w:pPr>
        <w:pStyle w:val="Source-9-1"/>
      </w:pPr>
      <w:r w:rsidRPr="008D54A5">
        <w:rPr>
          <w:szCs w:val="18"/>
        </w:rPr>
        <w:lastRenderedPageBreak/>
        <w:t xml:space="preserve">CHAMPVA = </w:t>
      </w:r>
      <w:r w:rsidRPr="008D54A5">
        <w:rPr>
          <w:color w:val="2E2E2E"/>
          <w:szCs w:val="18"/>
          <w:shd w:val="clear" w:color="auto" w:fill="FFFFFF"/>
        </w:rPr>
        <w:t>Civilian Health and Medical Program of the Department of Veterans Affairs</w:t>
      </w:r>
      <w:r w:rsidRPr="008D54A5">
        <w:rPr>
          <w:szCs w:val="18"/>
        </w:rPr>
        <w:t>;</w:t>
      </w:r>
      <w:r w:rsidRPr="008D54A5">
        <w:t xml:space="preserve"> MPC = </w:t>
      </w:r>
      <w:r w:rsidR="00BB6089" w:rsidRPr="008D54A5">
        <w:t>Medical Provider Component</w:t>
      </w:r>
      <w:r w:rsidRPr="008D54A5">
        <w:t>;</w:t>
      </w:r>
      <w:r w:rsidR="00A7755A" w:rsidRPr="008D54A5">
        <w:t xml:space="preserve"> MV = </w:t>
      </w:r>
      <w:r w:rsidR="004263BF" w:rsidRPr="008D54A5">
        <w:t xml:space="preserve">medical </w:t>
      </w:r>
      <w:r w:rsidR="00A7755A" w:rsidRPr="008D54A5">
        <w:t>visit;</w:t>
      </w:r>
      <w:r w:rsidRPr="008D54A5">
        <w:t xml:space="preserve"> </w:t>
      </w:r>
      <w:r w:rsidR="002D4D78" w:rsidRPr="008D54A5">
        <w:t>OBD = office-based doctor; SBD = separately bill</w:t>
      </w:r>
      <w:r w:rsidR="0004314B" w:rsidRPr="008D54A5">
        <w:t>ing</w:t>
      </w:r>
      <w:r w:rsidR="002D4D78" w:rsidRPr="008D54A5">
        <w:t xml:space="preserve"> doctor</w:t>
      </w:r>
      <w:r w:rsidRPr="008D54A5">
        <w:t>; VA = Veterans</w:t>
      </w:r>
      <w:r w:rsidR="0048025E" w:rsidRPr="008D54A5">
        <w:t xml:space="preserve"> </w:t>
      </w:r>
      <w:r w:rsidR="00846428" w:rsidRPr="008D54A5">
        <w:t>Affairs</w:t>
      </w:r>
      <w:r w:rsidR="002D4D78" w:rsidRPr="008D54A5">
        <w:t>.</w:t>
      </w:r>
    </w:p>
    <w:p w14:paraId="345EB35C" w14:textId="3E92D237" w:rsidR="00A322E7" w:rsidRPr="008D54A5" w:rsidRDefault="00A322E7" w:rsidP="00950102">
      <w:pPr>
        <w:pStyle w:val="Source-9-1"/>
      </w:pPr>
      <w:r w:rsidRPr="008D54A5">
        <w:t xml:space="preserve">Note: The denominator of the percentages </w:t>
      </w:r>
      <w:r w:rsidR="00C97792" w:rsidRPr="008D54A5">
        <w:t>is</w:t>
      </w:r>
      <w:r w:rsidRPr="008D54A5">
        <w:t xml:space="preserve"> all </w:t>
      </w:r>
      <w:r w:rsidR="00C54B11" w:rsidRPr="008D54A5">
        <w:t xml:space="preserve">fee-for-service </w:t>
      </w:r>
      <w:r w:rsidRPr="008D54A5">
        <w:t>OBD events. The statistics are based on unique (nonreplicated) MPC events.</w:t>
      </w:r>
    </w:p>
    <w:p w14:paraId="0E9B6B35" w14:textId="5157037F" w:rsidR="0079498D" w:rsidRPr="008D54A5" w:rsidRDefault="00A322E7" w:rsidP="00950102">
      <w:pPr>
        <w:pStyle w:val="Source-9-1"/>
      </w:pPr>
      <w:r w:rsidRPr="008D54A5">
        <w:t xml:space="preserve">Source: </w:t>
      </w:r>
      <w:r w:rsidR="00471B99" w:rsidRPr="008D54A5">
        <w:t>2020</w:t>
      </w:r>
      <w:r w:rsidR="006A1542" w:rsidRPr="008D54A5">
        <w:t>–</w:t>
      </w:r>
      <w:r w:rsidR="00700BF1" w:rsidRPr="008D54A5">
        <w:t>202</w:t>
      </w:r>
      <w:r w:rsidR="00471B99" w:rsidRPr="008D54A5">
        <w:t>2</w:t>
      </w:r>
      <w:r w:rsidR="00700BF1" w:rsidRPr="008D54A5">
        <w:t xml:space="preserve"> </w:t>
      </w:r>
      <w:r w:rsidRPr="008D54A5">
        <w:t xml:space="preserve">Medical Expenditure Panel Survey </w:t>
      </w:r>
      <w:r w:rsidR="006A1542" w:rsidRPr="008D54A5">
        <w:t xml:space="preserve">– </w:t>
      </w:r>
      <w:r w:rsidRPr="008D54A5">
        <w:t>Medical Provider Component.</w:t>
      </w:r>
    </w:p>
    <w:p w14:paraId="4C37C70D" w14:textId="77777777" w:rsidR="00695955" w:rsidRPr="008D54A5" w:rsidRDefault="00695955">
      <w:pPr>
        <w:rPr>
          <w:rFonts w:ascii="Arial" w:hAnsi="Arial"/>
          <w:b/>
          <w:bCs/>
        </w:rPr>
      </w:pPr>
      <w:r w:rsidRPr="008D54A5">
        <w:br w:type="page"/>
      </w:r>
    </w:p>
    <w:p w14:paraId="4940C30B" w14:textId="07792EB9" w:rsidR="00A322E7" w:rsidRPr="008D54A5" w:rsidRDefault="00A322E7" w:rsidP="00243B4A">
      <w:pPr>
        <w:pStyle w:val="ExhibitTitle"/>
      </w:pPr>
      <w:bookmarkStart w:id="177" w:name="_Toc128574188"/>
      <w:bookmarkStart w:id="178" w:name="_Toc188622345"/>
      <w:r w:rsidRPr="00404E1F">
        <w:lastRenderedPageBreak/>
        <w:t>Exhibit </w:t>
      </w:r>
      <w:r w:rsidR="00AB3CB9" w:rsidRPr="008D54A5">
        <w:rPr>
          <w:noProof/>
        </w:rPr>
        <w:fldChar w:fldCharType="begin"/>
      </w:r>
      <w:r w:rsidR="00AB3CB9" w:rsidRPr="008D54A5">
        <w:rPr>
          <w:noProof/>
        </w:rPr>
        <w:instrText xml:space="preserve"> STYLEREF 1 \s </w:instrText>
      </w:r>
      <w:r w:rsidR="00AB3CB9" w:rsidRPr="008D54A5">
        <w:rPr>
          <w:noProof/>
        </w:rPr>
        <w:fldChar w:fldCharType="separate"/>
      </w:r>
      <w:r w:rsidR="00EC2444" w:rsidRPr="008D54A5">
        <w:rPr>
          <w:noProof/>
        </w:rPr>
        <w:t>5</w:t>
      </w:r>
      <w:r w:rsidR="00AB3CB9" w:rsidRPr="008D54A5">
        <w:rPr>
          <w:noProof/>
        </w:rPr>
        <w:fldChar w:fldCharType="end"/>
      </w:r>
      <w:r w:rsidR="00AB3CB9" w:rsidRPr="008D54A5">
        <w:t>.</w:t>
      </w:r>
      <w:r w:rsidR="00AB3CB9" w:rsidRPr="008D54A5">
        <w:rPr>
          <w:noProof/>
        </w:rPr>
        <w:fldChar w:fldCharType="begin"/>
      </w:r>
      <w:r w:rsidR="00AB3CB9" w:rsidRPr="008D54A5">
        <w:rPr>
          <w:noProof/>
        </w:rPr>
        <w:instrText xml:space="preserve"> SEQ Exhibit \* ARABIC \s 1 </w:instrText>
      </w:r>
      <w:r w:rsidR="00AB3CB9" w:rsidRPr="008D54A5">
        <w:rPr>
          <w:noProof/>
        </w:rPr>
        <w:fldChar w:fldCharType="separate"/>
      </w:r>
      <w:r w:rsidR="00EC2444" w:rsidRPr="008D54A5">
        <w:rPr>
          <w:noProof/>
        </w:rPr>
        <w:t>2</w:t>
      </w:r>
      <w:r w:rsidR="00AB3CB9" w:rsidRPr="008D54A5">
        <w:rPr>
          <w:noProof/>
        </w:rPr>
        <w:fldChar w:fldCharType="end"/>
      </w:r>
      <w:r w:rsidRPr="008D54A5">
        <w:tab/>
        <w:t xml:space="preserve">Comparing Payments and Charge Variables </w:t>
      </w:r>
      <w:r w:rsidR="00734B66" w:rsidRPr="008D54A5">
        <w:t xml:space="preserve">Among </w:t>
      </w:r>
      <w:r w:rsidRPr="008D54A5">
        <w:t xml:space="preserve">Fee-for-Service Hospital Events, </w:t>
      </w:r>
      <w:r w:rsidR="00364D3A" w:rsidRPr="008D54A5">
        <w:t>2020</w:t>
      </w:r>
      <w:r w:rsidR="006A1542" w:rsidRPr="008D54A5">
        <w:t>–</w:t>
      </w:r>
      <w:r w:rsidR="002B2330" w:rsidRPr="008D54A5">
        <w:t>202</w:t>
      </w:r>
      <w:r w:rsidR="00364D3A" w:rsidRPr="008D54A5">
        <w:t>2</w:t>
      </w:r>
      <w:r w:rsidRPr="008D54A5">
        <w:t xml:space="preserve"> MPC—Hospital All Events</w:t>
      </w:r>
      <w:bookmarkEnd w:id="177"/>
      <w:bookmarkEnd w:id="178"/>
    </w:p>
    <w:tbl>
      <w:tblPr>
        <w:tblStyle w:val="TableGrid"/>
        <w:tblW w:w="5000" w:type="pct"/>
        <w:tblLook w:val="04A0" w:firstRow="1" w:lastRow="0" w:firstColumn="1" w:lastColumn="0" w:noHBand="0" w:noVBand="1"/>
      </w:tblPr>
      <w:tblGrid>
        <w:gridCol w:w="2703"/>
        <w:gridCol w:w="491"/>
        <w:gridCol w:w="491"/>
        <w:gridCol w:w="493"/>
        <w:gridCol w:w="491"/>
        <w:gridCol w:w="491"/>
        <w:gridCol w:w="494"/>
        <w:gridCol w:w="561"/>
        <w:gridCol w:w="560"/>
        <w:gridCol w:w="562"/>
        <w:gridCol w:w="671"/>
        <w:gridCol w:w="671"/>
        <w:gridCol w:w="671"/>
      </w:tblGrid>
      <w:tr w:rsidR="0067323E" w:rsidRPr="008D54A5" w14:paraId="450BA9B2" w14:textId="77777777" w:rsidTr="004121D3">
        <w:trPr>
          <w:cnfStyle w:val="100000000000" w:firstRow="1" w:lastRow="0" w:firstColumn="0" w:lastColumn="0" w:oddVBand="0" w:evenVBand="0" w:oddHBand="0" w:evenHBand="0" w:firstRowFirstColumn="0" w:firstRowLastColumn="0" w:lastRowFirstColumn="0" w:lastRowLastColumn="0"/>
          <w:trHeight w:val="20"/>
        </w:trPr>
        <w:tc>
          <w:tcPr>
            <w:tcW w:w="1083" w:type="pct"/>
            <w:vMerge w:val="restart"/>
            <w:noWrap/>
            <w:hideMark/>
          </w:tcPr>
          <w:p w14:paraId="54875B2E" w14:textId="77777777" w:rsidR="0067323E" w:rsidRPr="008D54A5" w:rsidRDefault="0067323E" w:rsidP="00A322E7">
            <w:pPr>
              <w:pStyle w:val="TableHeading-10"/>
              <w:rPr>
                <w:sz w:val="18"/>
                <w:szCs w:val="18"/>
              </w:rPr>
            </w:pPr>
            <w:r w:rsidRPr="008D54A5">
              <w:rPr>
                <w:sz w:val="18"/>
                <w:szCs w:val="18"/>
              </w:rPr>
              <w:t>Payment/Charge</w:t>
            </w:r>
          </w:p>
        </w:tc>
        <w:tc>
          <w:tcPr>
            <w:tcW w:w="901" w:type="pct"/>
            <w:gridSpan w:val="3"/>
            <w:noWrap/>
            <w:hideMark/>
          </w:tcPr>
          <w:p w14:paraId="67C1D9E9" w14:textId="77777777" w:rsidR="0067323E" w:rsidRPr="008D54A5" w:rsidRDefault="0067323E" w:rsidP="00A322E7">
            <w:pPr>
              <w:pStyle w:val="TableHeading-10"/>
              <w:rPr>
                <w:sz w:val="18"/>
                <w:szCs w:val="18"/>
              </w:rPr>
            </w:pPr>
            <w:r w:rsidRPr="008D54A5">
              <w:rPr>
                <w:sz w:val="18"/>
                <w:szCs w:val="18"/>
              </w:rPr>
              <w:t>Percent &gt; 0</w:t>
            </w:r>
          </w:p>
        </w:tc>
        <w:tc>
          <w:tcPr>
            <w:tcW w:w="901" w:type="pct"/>
            <w:gridSpan w:val="3"/>
            <w:noWrap/>
            <w:hideMark/>
          </w:tcPr>
          <w:p w14:paraId="12D1B68F" w14:textId="77777777" w:rsidR="0067323E" w:rsidRPr="008D54A5" w:rsidRDefault="0067323E" w:rsidP="00A322E7">
            <w:pPr>
              <w:pStyle w:val="TableHeading-10"/>
              <w:rPr>
                <w:sz w:val="18"/>
                <w:szCs w:val="18"/>
              </w:rPr>
            </w:pPr>
            <w:r w:rsidRPr="008D54A5">
              <w:rPr>
                <w:sz w:val="18"/>
                <w:szCs w:val="18"/>
              </w:rPr>
              <w:t>Percent = 0</w:t>
            </w:r>
          </w:p>
        </w:tc>
        <w:tc>
          <w:tcPr>
            <w:tcW w:w="901" w:type="pct"/>
            <w:gridSpan w:val="3"/>
            <w:noWrap/>
            <w:hideMark/>
          </w:tcPr>
          <w:p w14:paraId="1255498B" w14:textId="77777777" w:rsidR="0067323E" w:rsidRPr="008D54A5" w:rsidRDefault="0067323E" w:rsidP="00A322E7">
            <w:pPr>
              <w:pStyle w:val="TableHeading-10"/>
              <w:rPr>
                <w:sz w:val="18"/>
                <w:szCs w:val="18"/>
              </w:rPr>
            </w:pPr>
            <w:r w:rsidRPr="008D54A5">
              <w:rPr>
                <w:sz w:val="18"/>
                <w:szCs w:val="18"/>
              </w:rPr>
              <w:t xml:space="preserve">Percent = </w:t>
            </w:r>
            <w:r w:rsidRPr="008D54A5">
              <w:rPr>
                <w:sz w:val="18"/>
                <w:szCs w:val="18"/>
              </w:rPr>
              <w:br/>
              <w:t>Missing, Refusal, etc.</w:t>
            </w:r>
          </w:p>
        </w:tc>
        <w:tc>
          <w:tcPr>
            <w:tcW w:w="1214" w:type="pct"/>
            <w:gridSpan w:val="3"/>
            <w:noWrap/>
            <w:hideMark/>
          </w:tcPr>
          <w:p w14:paraId="6CF318CF" w14:textId="77777777" w:rsidR="0067323E" w:rsidRPr="008D54A5" w:rsidRDefault="0067323E" w:rsidP="00A322E7">
            <w:pPr>
              <w:pStyle w:val="TableHeading-10"/>
              <w:rPr>
                <w:sz w:val="18"/>
                <w:szCs w:val="18"/>
              </w:rPr>
            </w:pPr>
            <w:r w:rsidRPr="008D54A5">
              <w:rPr>
                <w:sz w:val="18"/>
                <w:szCs w:val="18"/>
              </w:rPr>
              <w:t>Mean Among Values &gt; 0</w:t>
            </w:r>
          </w:p>
        </w:tc>
      </w:tr>
      <w:tr w:rsidR="00B73659" w:rsidRPr="008D54A5" w14:paraId="54020C93" w14:textId="77777777" w:rsidTr="00364D3A">
        <w:trPr>
          <w:trHeight w:val="20"/>
        </w:trPr>
        <w:tc>
          <w:tcPr>
            <w:tcW w:w="1083" w:type="pct"/>
            <w:vMerge/>
            <w:shd w:val="clear" w:color="auto" w:fill="BFBFBF"/>
            <w:hideMark/>
          </w:tcPr>
          <w:p w14:paraId="6B79EC1A" w14:textId="77777777" w:rsidR="00364D3A" w:rsidRPr="008D54A5" w:rsidRDefault="00364D3A" w:rsidP="00364D3A">
            <w:pPr>
              <w:pStyle w:val="TableHeading-10"/>
              <w:rPr>
                <w:sz w:val="18"/>
                <w:szCs w:val="18"/>
              </w:rPr>
            </w:pPr>
          </w:p>
        </w:tc>
        <w:tc>
          <w:tcPr>
            <w:tcW w:w="300" w:type="pct"/>
            <w:tcBorders>
              <w:top w:val="single" w:sz="4" w:space="0" w:color="auto"/>
              <w:left w:val="single" w:sz="4" w:space="0" w:color="auto"/>
              <w:bottom w:val="single" w:sz="4" w:space="0" w:color="auto"/>
              <w:right w:val="single" w:sz="4" w:space="0" w:color="auto"/>
            </w:tcBorders>
            <w:shd w:val="clear" w:color="000000" w:fill="BFBFBF"/>
          </w:tcPr>
          <w:p w14:paraId="3212ACDA" w14:textId="63496E11" w:rsidR="00364D3A" w:rsidRPr="008D54A5" w:rsidRDefault="00364D3A" w:rsidP="00364D3A">
            <w:pPr>
              <w:pStyle w:val="TableHeading-10"/>
              <w:rPr>
                <w:sz w:val="18"/>
                <w:szCs w:val="18"/>
              </w:rPr>
            </w:pPr>
            <w:r w:rsidRPr="008D54A5">
              <w:t>2020</w:t>
            </w:r>
          </w:p>
        </w:tc>
        <w:tc>
          <w:tcPr>
            <w:tcW w:w="300" w:type="pct"/>
            <w:tcBorders>
              <w:top w:val="single" w:sz="4" w:space="0" w:color="auto"/>
              <w:left w:val="nil"/>
              <w:bottom w:val="single" w:sz="4" w:space="0" w:color="auto"/>
              <w:right w:val="single" w:sz="4" w:space="0" w:color="auto"/>
            </w:tcBorders>
            <w:shd w:val="clear" w:color="000000" w:fill="BFBFBF"/>
          </w:tcPr>
          <w:p w14:paraId="7C47EDE9" w14:textId="13106A1B" w:rsidR="00364D3A" w:rsidRPr="008D54A5" w:rsidRDefault="00364D3A" w:rsidP="00364D3A">
            <w:pPr>
              <w:pStyle w:val="TableHeading-10"/>
              <w:rPr>
                <w:sz w:val="18"/>
                <w:szCs w:val="18"/>
              </w:rPr>
            </w:pPr>
            <w:r w:rsidRPr="008D54A5">
              <w:t>2021</w:t>
            </w:r>
          </w:p>
        </w:tc>
        <w:tc>
          <w:tcPr>
            <w:tcW w:w="301" w:type="pct"/>
            <w:tcBorders>
              <w:top w:val="single" w:sz="4" w:space="0" w:color="auto"/>
              <w:left w:val="nil"/>
              <w:bottom w:val="single" w:sz="4" w:space="0" w:color="auto"/>
              <w:right w:val="single" w:sz="4" w:space="0" w:color="auto"/>
            </w:tcBorders>
            <w:shd w:val="clear" w:color="000000" w:fill="BFBFBF"/>
            <w:noWrap/>
            <w:hideMark/>
          </w:tcPr>
          <w:p w14:paraId="3F638480" w14:textId="77C33ECF" w:rsidR="00364D3A" w:rsidRPr="008D54A5" w:rsidRDefault="00364D3A" w:rsidP="00364D3A">
            <w:pPr>
              <w:pStyle w:val="TableHeading-10"/>
              <w:rPr>
                <w:sz w:val="18"/>
                <w:szCs w:val="18"/>
              </w:rPr>
            </w:pPr>
            <w:r w:rsidRPr="008D54A5">
              <w:t>2022</w:t>
            </w:r>
          </w:p>
        </w:tc>
        <w:tc>
          <w:tcPr>
            <w:tcW w:w="300" w:type="pct"/>
            <w:tcBorders>
              <w:top w:val="single" w:sz="4" w:space="0" w:color="auto"/>
              <w:left w:val="nil"/>
              <w:bottom w:val="single" w:sz="4" w:space="0" w:color="auto"/>
              <w:right w:val="single" w:sz="4" w:space="0" w:color="auto"/>
            </w:tcBorders>
            <w:shd w:val="clear" w:color="000000" w:fill="BFBFBF"/>
          </w:tcPr>
          <w:p w14:paraId="65D4858A" w14:textId="184D8376" w:rsidR="00364D3A" w:rsidRPr="008D54A5" w:rsidRDefault="00364D3A" w:rsidP="00364D3A">
            <w:pPr>
              <w:pStyle w:val="TableHeading-10"/>
              <w:rPr>
                <w:sz w:val="18"/>
                <w:szCs w:val="18"/>
              </w:rPr>
            </w:pPr>
            <w:r w:rsidRPr="008D54A5">
              <w:t>2020</w:t>
            </w:r>
          </w:p>
        </w:tc>
        <w:tc>
          <w:tcPr>
            <w:tcW w:w="300" w:type="pct"/>
            <w:tcBorders>
              <w:top w:val="single" w:sz="4" w:space="0" w:color="auto"/>
              <w:left w:val="nil"/>
              <w:bottom w:val="single" w:sz="4" w:space="0" w:color="auto"/>
              <w:right w:val="single" w:sz="4" w:space="0" w:color="auto"/>
            </w:tcBorders>
            <w:shd w:val="clear" w:color="000000" w:fill="BFBFBF"/>
          </w:tcPr>
          <w:p w14:paraId="2B5870D8" w14:textId="70B90DDF" w:rsidR="00364D3A" w:rsidRPr="008D54A5" w:rsidRDefault="00364D3A" w:rsidP="00364D3A">
            <w:pPr>
              <w:pStyle w:val="TableHeading-10"/>
              <w:rPr>
                <w:sz w:val="18"/>
                <w:szCs w:val="18"/>
              </w:rPr>
            </w:pPr>
            <w:r w:rsidRPr="008D54A5">
              <w:t>2021</w:t>
            </w:r>
          </w:p>
        </w:tc>
        <w:tc>
          <w:tcPr>
            <w:tcW w:w="301" w:type="pct"/>
            <w:tcBorders>
              <w:top w:val="single" w:sz="4" w:space="0" w:color="auto"/>
              <w:left w:val="nil"/>
              <w:bottom w:val="single" w:sz="4" w:space="0" w:color="auto"/>
              <w:right w:val="single" w:sz="4" w:space="0" w:color="auto"/>
            </w:tcBorders>
            <w:shd w:val="clear" w:color="000000" w:fill="BFBFBF"/>
            <w:noWrap/>
            <w:hideMark/>
          </w:tcPr>
          <w:p w14:paraId="46D208BF" w14:textId="06561336" w:rsidR="00364D3A" w:rsidRPr="008D54A5" w:rsidRDefault="00364D3A" w:rsidP="00364D3A">
            <w:pPr>
              <w:pStyle w:val="TableHeading-10"/>
              <w:rPr>
                <w:sz w:val="18"/>
                <w:szCs w:val="18"/>
              </w:rPr>
            </w:pPr>
            <w:r w:rsidRPr="008D54A5">
              <w:t>2022</w:t>
            </w:r>
          </w:p>
        </w:tc>
        <w:tc>
          <w:tcPr>
            <w:tcW w:w="300" w:type="pct"/>
            <w:tcBorders>
              <w:top w:val="single" w:sz="4" w:space="0" w:color="auto"/>
              <w:left w:val="nil"/>
              <w:bottom w:val="single" w:sz="4" w:space="0" w:color="auto"/>
              <w:right w:val="single" w:sz="4" w:space="0" w:color="auto"/>
            </w:tcBorders>
            <w:shd w:val="clear" w:color="000000" w:fill="BFBFBF"/>
          </w:tcPr>
          <w:p w14:paraId="7D1EFAEB" w14:textId="2F2BA103" w:rsidR="00364D3A" w:rsidRPr="008D54A5" w:rsidRDefault="00364D3A" w:rsidP="00364D3A">
            <w:pPr>
              <w:pStyle w:val="TableHeading-10"/>
              <w:rPr>
                <w:sz w:val="18"/>
                <w:szCs w:val="18"/>
              </w:rPr>
            </w:pPr>
            <w:r w:rsidRPr="008D54A5">
              <w:t>2020</w:t>
            </w:r>
          </w:p>
        </w:tc>
        <w:tc>
          <w:tcPr>
            <w:tcW w:w="300" w:type="pct"/>
            <w:tcBorders>
              <w:top w:val="single" w:sz="4" w:space="0" w:color="auto"/>
              <w:left w:val="nil"/>
              <w:bottom w:val="single" w:sz="4" w:space="0" w:color="auto"/>
              <w:right w:val="single" w:sz="4" w:space="0" w:color="auto"/>
            </w:tcBorders>
            <w:shd w:val="clear" w:color="000000" w:fill="BFBFBF"/>
          </w:tcPr>
          <w:p w14:paraId="4E1D2FE9" w14:textId="37CCB1E1" w:rsidR="00364D3A" w:rsidRPr="008D54A5" w:rsidRDefault="00364D3A" w:rsidP="00364D3A">
            <w:pPr>
              <w:pStyle w:val="TableHeading-10"/>
              <w:rPr>
                <w:sz w:val="18"/>
                <w:szCs w:val="18"/>
              </w:rPr>
            </w:pPr>
            <w:r w:rsidRPr="008D54A5">
              <w:t>2021</w:t>
            </w:r>
          </w:p>
        </w:tc>
        <w:tc>
          <w:tcPr>
            <w:tcW w:w="301" w:type="pct"/>
            <w:tcBorders>
              <w:top w:val="single" w:sz="4" w:space="0" w:color="auto"/>
              <w:left w:val="nil"/>
              <w:bottom w:val="single" w:sz="4" w:space="0" w:color="auto"/>
              <w:right w:val="single" w:sz="4" w:space="0" w:color="auto"/>
            </w:tcBorders>
            <w:shd w:val="clear" w:color="000000" w:fill="BFBFBF"/>
            <w:noWrap/>
            <w:hideMark/>
          </w:tcPr>
          <w:p w14:paraId="0BADA515" w14:textId="42D0CAA6" w:rsidR="00364D3A" w:rsidRPr="008D54A5" w:rsidRDefault="00364D3A" w:rsidP="00364D3A">
            <w:pPr>
              <w:pStyle w:val="TableHeading-10"/>
              <w:rPr>
                <w:sz w:val="18"/>
                <w:szCs w:val="18"/>
              </w:rPr>
            </w:pPr>
            <w:r w:rsidRPr="008D54A5">
              <w:t>2022</w:t>
            </w:r>
          </w:p>
        </w:tc>
        <w:tc>
          <w:tcPr>
            <w:tcW w:w="405" w:type="pct"/>
            <w:tcBorders>
              <w:top w:val="single" w:sz="4" w:space="0" w:color="auto"/>
              <w:left w:val="nil"/>
              <w:bottom w:val="single" w:sz="4" w:space="0" w:color="auto"/>
              <w:right w:val="single" w:sz="4" w:space="0" w:color="auto"/>
            </w:tcBorders>
            <w:shd w:val="clear" w:color="000000" w:fill="BFBFBF"/>
          </w:tcPr>
          <w:p w14:paraId="656E6EA1" w14:textId="5EFB07D6" w:rsidR="00364D3A" w:rsidRPr="008D54A5" w:rsidRDefault="00364D3A" w:rsidP="00364D3A">
            <w:pPr>
              <w:pStyle w:val="TableHeading-10"/>
              <w:rPr>
                <w:sz w:val="18"/>
                <w:szCs w:val="18"/>
              </w:rPr>
            </w:pPr>
            <w:r w:rsidRPr="008D54A5">
              <w:t>2020</w:t>
            </w:r>
          </w:p>
        </w:tc>
        <w:tc>
          <w:tcPr>
            <w:tcW w:w="405" w:type="pct"/>
            <w:tcBorders>
              <w:top w:val="single" w:sz="4" w:space="0" w:color="auto"/>
              <w:left w:val="nil"/>
              <w:bottom w:val="single" w:sz="4" w:space="0" w:color="auto"/>
              <w:right w:val="single" w:sz="4" w:space="0" w:color="auto"/>
            </w:tcBorders>
            <w:shd w:val="clear" w:color="000000" w:fill="BFBFBF"/>
          </w:tcPr>
          <w:p w14:paraId="401C4808" w14:textId="5F688C29" w:rsidR="00364D3A" w:rsidRPr="008D54A5" w:rsidRDefault="00364D3A" w:rsidP="00364D3A">
            <w:pPr>
              <w:pStyle w:val="TableHeading-10"/>
              <w:rPr>
                <w:sz w:val="18"/>
                <w:szCs w:val="18"/>
              </w:rPr>
            </w:pPr>
            <w:r w:rsidRPr="008D54A5">
              <w:t>2021</w:t>
            </w:r>
          </w:p>
        </w:tc>
        <w:tc>
          <w:tcPr>
            <w:tcW w:w="404" w:type="pct"/>
            <w:tcBorders>
              <w:top w:val="single" w:sz="4" w:space="0" w:color="auto"/>
              <w:left w:val="nil"/>
              <w:bottom w:val="single" w:sz="4" w:space="0" w:color="auto"/>
              <w:right w:val="single" w:sz="4" w:space="0" w:color="auto"/>
            </w:tcBorders>
            <w:shd w:val="clear" w:color="000000" w:fill="BFBFBF"/>
            <w:noWrap/>
            <w:hideMark/>
          </w:tcPr>
          <w:p w14:paraId="28F428BC" w14:textId="48D5DE8E" w:rsidR="00364D3A" w:rsidRPr="008D54A5" w:rsidRDefault="00364D3A" w:rsidP="00364D3A">
            <w:pPr>
              <w:pStyle w:val="TableHeading-10"/>
              <w:rPr>
                <w:sz w:val="18"/>
                <w:szCs w:val="18"/>
              </w:rPr>
            </w:pPr>
            <w:r w:rsidRPr="008D54A5">
              <w:t>2022</w:t>
            </w:r>
          </w:p>
        </w:tc>
      </w:tr>
      <w:tr w:rsidR="00652EC4" w:rsidRPr="008D54A5" w14:paraId="34160362" w14:textId="77777777" w:rsidTr="00364D3A">
        <w:trPr>
          <w:trHeight w:val="20"/>
        </w:trPr>
        <w:tc>
          <w:tcPr>
            <w:tcW w:w="1083" w:type="pct"/>
            <w:noWrap/>
            <w:hideMark/>
          </w:tcPr>
          <w:p w14:paraId="6DA93DD7" w14:textId="77777777" w:rsidR="00364D3A" w:rsidRPr="008D54A5" w:rsidRDefault="00364D3A" w:rsidP="00E47419">
            <w:pPr>
              <w:pStyle w:val="TableText-10"/>
            </w:pPr>
            <w:r w:rsidRPr="008D54A5">
              <w:t>Payment from Patient</w:t>
            </w:r>
          </w:p>
        </w:tc>
        <w:tc>
          <w:tcPr>
            <w:tcW w:w="300" w:type="pct"/>
            <w:tcBorders>
              <w:top w:val="single" w:sz="4" w:space="0" w:color="auto"/>
              <w:left w:val="single" w:sz="4" w:space="0" w:color="auto"/>
              <w:bottom w:val="single" w:sz="4" w:space="0" w:color="auto"/>
              <w:right w:val="single" w:sz="4" w:space="0" w:color="auto"/>
            </w:tcBorders>
            <w:shd w:val="clear" w:color="auto" w:fill="auto"/>
          </w:tcPr>
          <w:p w14:paraId="27B02253" w14:textId="4FC7C95F" w:rsidR="00364D3A" w:rsidRPr="008D54A5" w:rsidRDefault="00364D3A" w:rsidP="00E47419">
            <w:pPr>
              <w:pStyle w:val="TableText-center-10"/>
            </w:pPr>
            <w:r w:rsidRPr="008D54A5">
              <w:t>21.1</w:t>
            </w:r>
          </w:p>
        </w:tc>
        <w:tc>
          <w:tcPr>
            <w:tcW w:w="300" w:type="pct"/>
            <w:tcBorders>
              <w:top w:val="single" w:sz="4" w:space="0" w:color="auto"/>
              <w:left w:val="nil"/>
              <w:bottom w:val="single" w:sz="4" w:space="0" w:color="auto"/>
              <w:right w:val="single" w:sz="4" w:space="0" w:color="auto"/>
            </w:tcBorders>
            <w:shd w:val="clear" w:color="auto" w:fill="auto"/>
          </w:tcPr>
          <w:p w14:paraId="178A4730" w14:textId="3E852EE8" w:rsidR="00364D3A" w:rsidRPr="008D54A5" w:rsidRDefault="00364D3A" w:rsidP="00E47419">
            <w:pPr>
              <w:pStyle w:val="TableText-center-10"/>
            </w:pPr>
            <w:r w:rsidRPr="008D54A5">
              <w:t>21.7</w:t>
            </w:r>
          </w:p>
        </w:tc>
        <w:tc>
          <w:tcPr>
            <w:tcW w:w="301" w:type="pct"/>
            <w:tcBorders>
              <w:top w:val="single" w:sz="4" w:space="0" w:color="auto"/>
              <w:left w:val="nil"/>
              <w:bottom w:val="single" w:sz="4" w:space="0" w:color="auto"/>
              <w:right w:val="single" w:sz="4" w:space="0" w:color="auto"/>
            </w:tcBorders>
            <w:shd w:val="clear" w:color="auto" w:fill="auto"/>
            <w:noWrap/>
            <w:hideMark/>
          </w:tcPr>
          <w:p w14:paraId="10B6442A" w14:textId="16655B9E" w:rsidR="00364D3A" w:rsidRPr="008D54A5" w:rsidRDefault="00364D3A" w:rsidP="00E47419">
            <w:pPr>
              <w:pStyle w:val="TableText-center-10"/>
            </w:pPr>
            <w:r w:rsidRPr="008D54A5">
              <w:t>23.6</w:t>
            </w:r>
          </w:p>
        </w:tc>
        <w:tc>
          <w:tcPr>
            <w:tcW w:w="300" w:type="pct"/>
            <w:tcBorders>
              <w:top w:val="single" w:sz="4" w:space="0" w:color="auto"/>
              <w:left w:val="nil"/>
              <w:bottom w:val="single" w:sz="4" w:space="0" w:color="auto"/>
              <w:right w:val="single" w:sz="4" w:space="0" w:color="auto"/>
            </w:tcBorders>
            <w:shd w:val="clear" w:color="auto" w:fill="auto"/>
          </w:tcPr>
          <w:p w14:paraId="07FE5D09" w14:textId="49786E00" w:rsidR="00364D3A" w:rsidRPr="008D54A5" w:rsidRDefault="00364D3A" w:rsidP="00E47419">
            <w:pPr>
              <w:pStyle w:val="TableText-center-10"/>
            </w:pPr>
            <w:r w:rsidRPr="008D54A5">
              <w:t>78.7</w:t>
            </w:r>
          </w:p>
        </w:tc>
        <w:tc>
          <w:tcPr>
            <w:tcW w:w="300" w:type="pct"/>
            <w:tcBorders>
              <w:top w:val="single" w:sz="4" w:space="0" w:color="auto"/>
              <w:left w:val="nil"/>
              <w:bottom w:val="single" w:sz="4" w:space="0" w:color="auto"/>
              <w:right w:val="single" w:sz="4" w:space="0" w:color="auto"/>
            </w:tcBorders>
            <w:shd w:val="clear" w:color="auto" w:fill="auto"/>
          </w:tcPr>
          <w:p w14:paraId="0F80C3B7" w14:textId="2C20D948" w:rsidR="00364D3A" w:rsidRPr="008D54A5" w:rsidRDefault="00364D3A" w:rsidP="00E47419">
            <w:pPr>
              <w:pStyle w:val="TableText-center-10"/>
            </w:pPr>
            <w:r w:rsidRPr="008D54A5">
              <w:t>78.1</w:t>
            </w:r>
          </w:p>
        </w:tc>
        <w:tc>
          <w:tcPr>
            <w:tcW w:w="301" w:type="pct"/>
            <w:tcBorders>
              <w:top w:val="single" w:sz="4" w:space="0" w:color="auto"/>
              <w:left w:val="nil"/>
              <w:bottom w:val="single" w:sz="4" w:space="0" w:color="auto"/>
              <w:right w:val="single" w:sz="4" w:space="0" w:color="auto"/>
            </w:tcBorders>
            <w:shd w:val="clear" w:color="auto" w:fill="auto"/>
            <w:noWrap/>
            <w:hideMark/>
          </w:tcPr>
          <w:p w14:paraId="6776CF0C" w14:textId="033C6C7C" w:rsidR="00364D3A" w:rsidRPr="008D54A5" w:rsidRDefault="00364D3A" w:rsidP="00E47419">
            <w:pPr>
              <w:pStyle w:val="TableText-center-10"/>
            </w:pPr>
            <w:r w:rsidRPr="008D54A5">
              <w:t>75.8</w:t>
            </w:r>
          </w:p>
        </w:tc>
        <w:tc>
          <w:tcPr>
            <w:tcW w:w="300" w:type="pct"/>
            <w:tcBorders>
              <w:top w:val="single" w:sz="4" w:space="0" w:color="auto"/>
              <w:left w:val="nil"/>
              <w:bottom w:val="single" w:sz="4" w:space="0" w:color="auto"/>
              <w:right w:val="single" w:sz="4" w:space="0" w:color="auto"/>
            </w:tcBorders>
            <w:shd w:val="clear" w:color="auto" w:fill="auto"/>
          </w:tcPr>
          <w:p w14:paraId="4727ED64" w14:textId="401A95E8" w:rsidR="00364D3A" w:rsidRPr="008D54A5" w:rsidRDefault="00364D3A" w:rsidP="00E47419">
            <w:pPr>
              <w:pStyle w:val="TableText-center-10"/>
            </w:pPr>
            <w:r w:rsidRPr="008D54A5">
              <w:t>0.2</w:t>
            </w:r>
          </w:p>
        </w:tc>
        <w:tc>
          <w:tcPr>
            <w:tcW w:w="300" w:type="pct"/>
            <w:tcBorders>
              <w:top w:val="single" w:sz="4" w:space="0" w:color="auto"/>
              <w:left w:val="nil"/>
              <w:bottom w:val="single" w:sz="4" w:space="0" w:color="auto"/>
              <w:right w:val="single" w:sz="4" w:space="0" w:color="auto"/>
            </w:tcBorders>
            <w:shd w:val="clear" w:color="auto" w:fill="auto"/>
          </w:tcPr>
          <w:p w14:paraId="045C7FA7" w14:textId="56F5BC59" w:rsidR="00364D3A" w:rsidRPr="008D54A5" w:rsidRDefault="00364D3A" w:rsidP="00E47419">
            <w:pPr>
              <w:pStyle w:val="TableText-center-10"/>
            </w:pPr>
            <w:r w:rsidRPr="008D54A5">
              <w:t>0.2</w:t>
            </w:r>
          </w:p>
        </w:tc>
        <w:tc>
          <w:tcPr>
            <w:tcW w:w="301" w:type="pct"/>
            <w:tcBorders>
              <w:top w:val="single" w:sz="4" w:space="0" w:color="auto"/>
              <w:left w:val="nil"/>
              <w:bottom w:val="single" w:sz="4" w:space="0" w:color="auto"/>
              <w:right w:val="single" w:sz="4" w:space="0" w:color="auto"/>
            </w:tcBorders>
            <w:shd w:val="clear" w:color="auto" w:fill="auto"/>
            <w:noWrap/>
            <w:hideMark/>
          </w:tcPr>
          <w:p w14:paraId="090242B1" w14:textId="2C4795B9" w:rsidR="00364D3A" w:rsidRPr="008D54A5" w:rsidRDefault="00364D3A" w:rsidP="00E47419">
            <w:pPr>
              <w:pStyle w:val="TableText-center-10"/>
            </w:pPr>
            <w:r w:rsidRPr="008D54A5">
              <w:t>0.7</w:t>
            </w:r>
          </w:p>
        </w:tc>
        <w:tc>
          <w:tcPr>
            <w:tcW w:w="405" w:type="pct"/>
            <w:tcBorders>
              <w:top w:val="single" w:sz="4" w:space="0" w:color="auto"/>
              <w:left w:val="nil"/>
              <w:bottom w:val="single" w:sz="4" w:space="0" w:color="auto"/>
              <w:right w:val="single" w:sz="4" w:space="0" w:color="auto"/>
            </w:tcBorders>
            <w:shd w:val="clear" w:color="auto" w:fill="auto"/>
          </w:tcPr>
          <w:p w14:paraId="33775935" w14:textId="5147A98E" w:rsidR="00364D3A" w:rsidRPr="008D54A5" w:rsidRDefault="00364D3A" w:rsidP="00E47419">
            <w:pPr>
              <w:pStyle w:val="TableText-center-10"/>
            </w:pPr>
            <w:r w:rsidRPr="008D54A5">
              <w:t>$219</w:t>
            </w:r>
          </w:p>
        </w:tc>
        <w:tc>
          <w:tcPr>
            <w:tcW w:w="405" w:type="pct"/>
            <w:tcBorders>
              <w:top w:val="single" w:sz="4" w:space="0" w:color="auto"/>
              <w:left w:val="nil"/>
              <w:bottom w:val="single" w:sz="4" w:space="0" w:color="auto"/>
              <w:right w:val="single" w:sz="4" w:space="0" w:color="auto"/>
            </w:tcBorders>
            <w:shd w:val="clear" w:color="auto" w:fill="auto"/>
          </w:tcPr>
          <w:p w14:paraId="71E47206" w14:textId="45409423" w:rsidR="00364D3A" w:rsidRPr="008D54A5" w:rsidRDefault="00364D3A" w:rsidP="00E47419">
            <w:pPr>
              <w:pStyle w:val="TableText-center-10"/>
            </w:pPr>
            <w:r w:rsidRPr="008D54A5">
              <w:t>$200</w:t>
            </w:r>
          </w:p>
        </w:tc>
        <w:tc>
          <w:tcPr>
            <w:tcW w:w="404" w:type="pct"/>
            <w:tcBorders>
              <w:top w:val="single" w:sz="4" w:space="0" w:color="auto"/>
              <w:left w:val="nil"/>
              <w:bottom w:val="single" w:sz="4" w:space="0" w:color="auto"/>
              <w:right w:val="single" w:sz="4" w:space="0" w:color="auto"/>
            </w:tcBorders>
            <w:shd w:val="clear" w:color="auto" w:fill="auto"/>
            <w:noWrap/>
            <w:hideMark/>
          </w:tcPr>
          <w:p w14:paraId="18C5F333" w14:textId="597FDD9A" w:rsidR="00364D3A" w:rsidRPr="008D54A5" w:rsidRDefault="00364D3A" w:rsidP="00E47419">
            <w:pPr>
              <w:pStyle w:val="TableText-center-10"/>
            </w:pPr>
            <w:r w:rsidRPr="008D54A5">
              <w:t>$219</w:t>
            </w:r>
          </w:p>
        </w:tc>
      </w:tr>
      <w:tr w:rsidR="00652EC4" w:rsidRPr="008D54A5" w14:paraId="3514124C" w14:textId="77777777" w:rsidTr="00364D3A">
        <w:trPr>
          <w:trHeight w:val="20"/>
        </w:trPr>
        <w:tc>
          <w:tcPr>
            <w:tcW w:w="1083" w:type="pct"/>
            <w:noWrap/>
            <w:hideMark/>
          </w:tcPr>
          <w:p w14:paraId="4B8C91AE" w14:textId="77777777" w:rsidR="00364D3A" w:rsidRPr="008D54A5" w:rsidRDefault="00364D3A" w:rsidP="00E47419">
            <w:pPr>
              <w:pStyle w:val="TableText-10"/>
            </w:pPr>
            <w:r w:rsidRPr="008D54A5">
              <w:t>Payment from Medicare</w:t>
            </w:r>
          </w:p>
        </w:tc>
        <w:tc>
          <w:tcPr>
            <w:tcW w:w="300" w:type="pct"/>
            <w:tcBorders>
              <w:top w:val="nil"/>
              <w:left w:val="single" w:sz="4" w:space="0" w:color="auto"/>
              <w:bottom w:val="single" w:sz="4" w:space="0" w:color="auto"/>
              <w:right w:val="single" w:sz="4" w:space="0" w:color="auto"/>
            </w:tcBorders>
            <w:shd w:val="clear" w:color="auto" w:fill="auto"/>
          </w:tcPr>
          <w:p w14:paraId="440D5F69" w14:textId="19654373" w:rsidR="00364D3A" w:rsidRPr="008D54A5" w:rsidRDefault="00364D3A" w:rsidP="00E47419">
            <w:pPr>
              <w:pStyle w:val="TableText-center-10"/>
            </w:pPr>
            <w:r w:rsidRPr="008D54A5">
              <w:t>44.8</w:t>
            </w:r>
          </w:p>
        </w:tc>
        <w:tc>
          <w:tcPr>
            <w:tcW w:w="300" w:type="pct"/>
            <w:tcBorders>
              <w:top w:val="nil"/>
              <w:left w:val="nil"/>
              <w:bottom w:val="single" w:sz="4" w:space="0" w:color="auto"/>
              <w:right w:val="single" w:sz="4" w:space="0" w:color="auto"/>
            </w:tcBorders>
            <w:shd w:val="clear" w:color="auto" w:fill="auto"/>
          </w:tcPr>
          <w:p w14:paraId="72C81873" w14:textId="5CD958D5" w:rsidR="00364D3A" w:rsidRPr="008D54A5" w:rsidRDefault="00364D3A" w:rsidP="00E47419">
            <w:pPr>
              <w:pStyle w:val="TableText-center-10"/>
            </w:pPr>
            <w:r w:rsidRPr="008D54A5">
              <w:t>45.7</w:t>
            </w:r>
          </w:p>
        </w:tc>
        <w:tc>
          <w:tcPr>
            <w:tcW w:w="301" w:type="pct"/>
            <w:tcBorders>
              <w:top w:val="nil"/>
              <w:left w:val="nil"/>
              <w:bottom w:val="single" w:sz="4" w:space="0" w:color="auto"/>
              <w:right w:val="single" w:sz="4" w:space="0" w:color="auto"/>
            </w:tcBorders>
            <w:shd w:val="clear" w:color="auto" w:fill="auto"/>
            <w:noWrap/>
            <w:hideMark/>
          </w:tcPr>
          <w:p w14:paraId="6ABD9A33" w14:textId="1931DD37" w:rsidR="00364D3A" w:rsidRPr="008D54A5" w:rsidRDefault="00364D3A" w:rsidP="00E47419">
            <w:pPr>
              <w:pStyle w:val="TableText-center-10"/>
            </w:pPr>
            <w:r w:rsidRPr="008D54A5">
              <w:t>43.7</w:t>
            </w:r>
          </w:p>
        </w:tc>
        <w:tc>
          <w:tcPr>
            <w:tcW w:w="300" w:type="pct"/>
            <w:tcBorders>
              <w:top w:val="nil"/>
              <w:left w:val="nil"/>
              <w:bottom w:val="single" w:sz="4" w:space="0" w:color="auto"/>
              <w:right w:val="single" w:sz="4" w:space="0" w:color="auto"/>
            </w:tcBorders>
            <w:shd w:val="clear" w:color="auto" w:fill="auto"/>
          </w:tcPr>
          <w:p w14:paraId="78607E15" w14:textId="290047CC" w:rsidR="00364D3A" w:rsidRPr="008D54A5" w:rsidRDefault="00364D3A" w:rsidP="00E47419">
            <w:pPr>
              <w:pStyle w:val="TableText-center-10"/>
            </w:pPr>
            <w:r w:rsidRPr="008D54A5">
              <w:t>54.7</w:t>
            </w:r>
          </w:p>
        </w:tc>
        <w:tc>
          <w:tcPr>
            <w:tcW w:w="300" w:type="pct"/>
            <w:tcBorders>
              <w:top w:val="nil"/>
              <w:left w:val="nil"/>
              <w:bottom w:val="single" w:sz="4" w:space="0" w:color="auto"/>
              <w:right w:val="single" w:sz="4" w:space="0" w:color="auto"/>
            </w:tcBorders>
            <w:shd w:val="clear" w:color="auto" w:fill="auto"/>
          </w:tcPr>
          <w:p w14:paraId="2A17FC84" w14:textId="0ACF1529" w:rsidR="00364D3A" w:rsidRPr="008D54A5" w:rsidRDefault="00364D3A" w:rsidP="00E47419">
            <w:pPr>
              <w:pStyle w:val="TableText-center-10"/>
            </w:pPr>
            <w:r w:rsidRPr="008D54A5">
              <w:t>53.9</w:t>
            </w:r>
          </w:p>
        </w:tc>
        <w:tc>
          <w:tcPr>
            <w:tcW w:w="301" w:type="pct"/>
            <w:tcBorders>
              <w:top w:val="nil"/>
              <w:left w:val="nil"/>
              <w:bottom w:val="single" w:sz="4" w:space="0" w:color="auto"/>
              <w:right w:val="single" w:sz="4" w:space="0" w:color="auto"/>
            </w:tcBorders>
            <w:shd w:val="clear" w:color="auto" w:fill="auto"/>
            <w:noWrap/>
            <w:hideMark/>
          </w:tcPr>
          <w:p w14:paraId="278B0643" w14:textId="456B7446" w:rsidR="00364D3A" w:rsidRPr="008D54A5" w:rsidRDefault="00364D3A" w:rsidP="00E47419">
            <w:pPr>
              <w:pStyle w:val="TableText-center-10"/>
            </w:pPr>
            <w:r w:rsidRPr="008D54A5">
              <w:t>55.3</w:t>
            </w:r>
          </w:p>
        </w:tc>
        <w:tc>
          <w:tcPr>
            <w:tcW w:w="300" w:type="pct"/>
            <w:tcBorders>
              <w:top w:val="nil"/>
              <w:left w:val="nil"/>
              <w:bottom w:val="single" w:sz="4" w:space="0" w:color="auto"/>
              <w:right w:val="single" w:sz="4" w:space="0" w:color="auto"/>
            </w:tcBorders>
            <w:shd w:val="clear" w:color="auto" w:fill="auto"/>
          </w:tcPr>
          <w:p w14:paraId="4206ADA1" w14:textId="46588BFA" w:rsidR="00364D3A" w:rsidRPr="008D54A5" w:rsidRDefault="00364D3A" w:rsidP="00E47419">
            <w:pPr>
              <w:pStyle w:val="TableText-center-10"/>
            </w:pPr>
            <w:r w:rsidRPr="008D54A5">
              <w:t>0.5</w:t>
            </w:r>
          </w:p>
        </w:tc>
        <w:tc>
          <w:tcPr>
            <w:tcW w:w="300" w:type="pct"/>
            <w:tcBorders>
              <w:top w:val="nil"/>
              <w:left w:val="nil"/>
              <w:bottom w:val="single" w:sz="4" w:space="0" w:color="auto"/>
              <w:right w:val="single" w:sz="4" w:space="0" w:color="auto"/>
            </w:tcBorders>
            <w:shd w:val="clear" w:color="auto" w:fill="auto"/>
          </w:tcPr>
          <w:p w14:paraId="0A525445" w14:textId="4DFEDAE6" w:rsidR="00364D3A" w:rsidRPr="008D54A5" w:rsidRDefault="00364D3A" w:rsidP="00E47419">
            <w:pPr>
              <w:pStyle w:val="TableText-center-10"/>
            </w:pPr>
            <w:r w:rsidRPr="008D54A5">
              <w:t>0.5</w:t>
            </w:r>
          </w:p>
        </w:tc>
        <w:tc>
          <w:tcPr>
            <w:tcW w:w="301" w:type="pct"/>
            <w:tcBorders>
              <w:top w:val="nil"/>
              <w:left w:val="nil"/>
              <w:bottom w:val="single" w:sz="4" w:space="0" w:color="auto"/>
              <w:right w:val="single" w:sz="4" w:space="0" w:color="auto"/>
            </w:tcBorders>
            <w:shd w:val="clear" w:color="auto" w:fill="auto"/>
            <w:noWrap/>
            <w:hideMark/>
          </w:tcPr>
          <w:p w14:paraId="006C23D4" w14:textId="452084AB" w:rsidR="00364D3A" w:rsidRPr="008D54A5" w:rsidRDefault="00364D3A" w:rsidP="00E47419">
            <w:pPr>
              <w:pStyle w:val="TableText-center-10"/>
            </w:pPr>
            <w:r w:rsidRPr="008D54A5">
              <w:t>1.0</w:t>
            </w:r>
          </w:p>
        </w:tc>
        <w:tc>
          <w:tcPr>
            <w:tcW w:w="405" w:type="pct"/>
            <w:tcBorders>
              <w:top w:val="nil"/>
              <w:left w:val="nil"/>
              <w:bottom w:val="single" w:sz="4" w:space="0" w:color="auto"/>
              <w:right w:val="single" w:sz="4" w:space="0" w:color="auto"/>
            </w:tcBorders>
            <w:shd w:val="clear" w:color="auto" w:fill="auto"/>
          </w:tcPr>
          <w:p w14:paraId="713BCC24" w14:textId="0B8E692B" w:rsidR="00364D3A" w:rsidRPr="008D54A5" w:rsidRDefault="00364D3A" w:rsidP="00E47419">
            <w:pPr>
              <w:pStyle w:val="TableText-center-10"/>
            </w:pPr>
            <w:r w:rsidRPr="008D54A5">
              <w:t>$1,161</w:t>
            </w:r>
          </w:p>
        </w:tc>
        <w:tc>
          <w:tcPr>
            <w:tcW w:w="405" w:type="pct"/>
            <w:tcBorders>
              <w:top w:val="nil"/>
              <w:left w:val="nil"/>
              <w:bottom w:val="single" w:sz="4" w:space="0" w:color="auto"/>
              <w:right w:val="single" w:sz="4" w:space="0" w:color="auto"/>
            </w:tcBorders>
            <w:shd w:val="clear" w:color="auto" w:fill="auto"/>
          </w:tcPr>
          <w:p w14:paraId="221E4DFD" w14:textId="71655050" w:rsidR="00364D3A" w:rsidRPr="008D54A5" w:rsidRDefault="00364D3A" w:rsidP="00E47419">
            <w:pPr>
              <w:pStyle w:val="TableText-center-10"/>
            </w:pPr>
            <w:r w:rsidRPr="008D54A5">
              <w:t>$1,014</w:t>
            </w:r>
          </w:p>
        </w:tc>
        <w:tc>
          <w:tcPr>
            <w:tcW w:w="404" w:type="pct"/>
            <w:tcBorders>
              <w:top w:val="nil"/>
              <w:left w:val="nil"/>
              <w:bottom w:val="single" w:sz="4" w:space="0" w:color="auto"/>
              <w:right w:val="single" w:sz="4" w:space="0" w:color="auto"/>
            </w:tcBorders>
            <w:shd w:val="clear" w:color="auto" w:fill="auto"/>
            <w:noWrap/>
            <w:hideMark/>
          </w:tcPr>
          <w:p w14:paraId="23775355" w14:textId="56C70805" w:rsidR="00364D3A" w:rsidRPr="008D54A5" w:rsidRDefault="00364D3A" w:rsidP="00E47419">
            <w:pPr>
              <w:pStyle w:val="TableText-center-10"/>
            </w:pPr>
            <w:r w:rsidRPr="008D54A5">
              <w:t>$1,012</w:t>
            </w:r>
          </w:p>
        </w:tc>
      </w:tr>
      <w:tr w:rsidR="00652EC4" w:rsidRPr="008D54A5" w14:paraId="6EBCE814" w14:textId="77777777" w:rsidTr="00364D3A">
        <w:trPr>
          <w:trHeight w:val="20"/>
        </w:trPr>
        <w:tc>
          <w:tcPr>
            <w:tcW w:w="1083" w:type="pct"/>
            <w:noWrap/>
            <w:hideMark/>
          </w:tcPr>
          <w:p w14:paraId="5E0EBEAE" w14:textId="77777777" w:rsidR="00364D3A" w:rsidRPr="008D54A5" w:rsidRDefault="00364D3A" w:rsidP="00E47419">
            <w:pPr>
              <w:pStyle w:val="TableText-10"/>
            </w:pPr>
            <w:r w:rsidRPr="008D54A5">
              <w:t>Payment from Medicaid</w:t>
            </w:r>
          </w:p>
        </w:tc>
        <w:tc>
          <w:tcPr>
            <w:tcW w:w="300" w:type="pct"/>
            <w:tcBorders>
              <w:top w:val="nil"/>
              <w:left w:val="single" w:sz="4" w:space="0" w:color="auto"/>
              <w:bottom w:val="single" w:sz="4" w:space="0" w:color="auto"/>
              <w:right w:val="single" w:sz="4" w:space="0" w:color="auto"/>
            </w:tcBorders>
            <w:shd w:val="clear" w:color="auto" w:fill="auto"/>
          </w:tcPr>
          <w:p w14:paraId="6366356C" w14:textId="2C8B8481" w:rsidR="00364D3A" w:rsidRPr="008D54A5" w:rsidRDefault="00364D3A" w:rsidP="00E47419">
            <w:pPr>
              <w:pStyle w:val="TableText-center-10"/>
            </w:pPr>
            <w:r w:rsidRPr="008D54A5">
              <w:t>16.2</w:t>
            </w:r>
          </w:p>
        </w:tc>
        <w:tc>
          <w:tcPr>
            <w:tcW w:w="300" w:type="pct"/>
            <w:tcBorders>
              <w:top w:val="nil"/>
              <w:left w:val="nil"/>
              <w:bottom w:val="single" w:sz="4" w:space="0" w:color="auto"/>
              <w:right w:val="single" w:sz="4" w:space="0" w:color="auto"/>
            </w:tcBorders>
            <w:shd w:val="clear" w:color="auto" w:fill="auto"/>
          </w:tcPr>
          <w:p w14:paraId="31194912" w14:textId="7F6716C9" w:rsidR="00364D3A" w:rsidRPr="008D54A5" w:rsidRDefault="00364D3A" w:rsidP="00E47419">
            <w:pPr>
              <w:pStyle w:val="TableText-center-10"/>
            </w:pPr>
            <w:r w:rsidRPr="008D54A5">
              <w:t>17.4</w:t>
            </w:r>
          </w:p>
        </w:tc>
        <w:tc>
          <w:tcPr>
            <w:tcW w:w="301" w:type="pct"/>
            <w:tcBorders>
              <w:top w:val="nil"/>
              <w:left w:val="nil"/>
              <w:bottom w:val="single" w:sz="4" w:space="0" w:color="auto"/>
              <w:right w:val="single" w:sz="4" w:space="0" w:color="auto"/>
            </w:tcBorders>
            <w:shd w:val="clear" w:color="auto" w:fill="auto"/>
            <w:noWrap/>
            <w:hideMark/>
          </w:tcPr>
          <w:p w14:paraId="76B60794" w14:textId="30E219A0" w:rsidR="00364D3A" w:rsidRPr="008D54A5" w:rsidRDefault="00364D3A" w:rsidP="00E47419">
            <w:pPr>
              <w:pStyle w:val="TableText-center-10"/>
            </w:pPr>
            <w:r w:rsidRPr="008D54A5">
              <w:t>15.9</w:t>
            </w:r>
          </w:p>
        </w:tc>
        <w:tc>
          <w:tcPr>
            <w:tcW w:w="300" w:type="pct"/>
            <w:tcBorders>
              <w:top w:val="nil"/>
              <w:left w:val="nil"/>
              <w:bottom w:val="single" w:sz="4" w:space="0" w:color="auto"/>
              <w:right w:val="single" w:sz="4" w:space="0" w:color="auto"/>
            </w:tcBorders>
            <w:shd w:val="clear" w:color="auto" w:fill="auto"/>
          </w:tcPr>
          <w:p w14:paraId="18317D7A" w14:textId="6CFDEBA9" w:rsidR="00364D3A" w:rsidRPr="008D54A5" w:rsidRDefault="00364D3A" w:rsidP="00E47419">
            <w:pPr>
              <w:pStyle w:val="TableText-center-10"/>
            </w:pPr>
            <w:r w:rsidRPr="008D54A5">
              <w:t>83.4</w:t>
            </w:r>
          </w:p>
        </w:tc>
        <w:tc>
          <w:tcPr>
            <w:tcW w:w="300" w:type="pct"/>
            <w:tcBorders>
              <w:top w:val="nil"/>
              <w:left w:val="nil"/>
              <w:bottom w:val="single" w:sz="4" w:space="0" w:color="auto"/>
              <w:right w:val="single" w:sz="4" w:space="0" w:color="auto"/>
            </w:tcBorders>
            <w:shd w:val="clear" w:color="auto" w:fill="auto"/>
          </w:tcPr>
          <w:p w14:paraId="139E987D" w14:textId="644698BF" w:rsidR="00364D3A" w:rsidRPr="008D54A5" w:rsidRDefault="00364D3A" w:rsidP="00E47419">
            <w:pPr>
              <w:pStyle w:val="TableText-center-10"/>
            </w:pPr>
            <w:r w:rsidRPr="008D54A5">
              <w:t>82.3</w:t>
            </w:r>
          </w:p>
        </w:tc>
        <w:tc>
          <w:tcPr>
            <w:tcW w:w="301" w:type="pct"/>
            <w:tcBorders>
              <w:top w:val="nil"/>
              <w:left w:val="nil"/>
              <w:bottom w:val="single" w:sz="4" w:space="0" w:color="auto"/>
              <w:right w:val="single" w:sz="4" w:space="0" w:color="auto"/>
            </w:tcBorders>
            <w:shd w:val="clear" w:color="auto" w:fill="auto"/>
            <w:noWrap/>
            <w:hideMark/>
          </w:tcPr>
          <w:p w14:paraId="4501FA69" w14:textId="035EB606" w:rsidR="00364D3A" w:rsidRPr="008D54A5" w:rsidRDefault="00364D3A" w:rsidP="00E47419">
            <w:pPr>
              <w:pStyle w:val="TableText-center-10"/>
            </w:pPr>
            <w:r w:rsidRPr="008D54A5">
              <w:t>83.3</w:t>
            </w:r>
          </w:p>
        </w:tc>
        <w:tc>
          <w:tcPr>
            <w:tcW w:w="300" w:type="pct"/>
            <w:tcBorders>
              <w:top w:val="nil"/>
              <w:left w:val="nil"/>
              <w:bottom w:val="single" w:sz="4" w:space="0" w:color="auto"/>
              <w:right w:val="single" w:sz="4" w:space="0" w:color="auto"/>
            </w:tcBorders>
            <w:shd w:val="clear" w:color="auto" w:fill="auto"/>
          </w:tcPr>
          <w:p w14:paraId="4B677D06" w14:textId="6379C777" w:rsidR="00364D3A" w:rsidRPr="008D54A5" w:rsidRDefault="00364D3A" w:rsidP="00E47419">
            <w:pPr>
              <w:pStyle w:val="TableText-center-10"/>
            </w:pPr>
            <w:r w:rsidRPr="008D54A5">
              <w:t>0.4</w:t>
            </w:r>
          </w:p>
        </w:tc>
        <w:tc>
          <w:tcPr>
            <w:tcW w:w="300" w:type="pct"/>
            <w:tcBorders>
              <w:top w:val="nil"/>
              <w:left w:val="nil"/>
              <w:bottom w:val="single" w:sz="4" w:space="0" w:color="auto"/>
              <w:right w:val="single" w:sz="4" w:space="0" w:color="auto"/>
            </w:tcBorders>
            <w:shd w:val="clear" w:color="auto" w:fill="auto"/>
          </w:tcPr>
          <w:p w14:paraId="6D95B14D" w14:textId="51E5FE6A" w:rsidR="00364D3A" w:rsidRPr="008D54A5" w:rsidRDefault="00364D3A" w:rsidP="00E47419">
            <w:pPr>
              <w:pStyle w:val="TableText-center-10"/>
            </w:pPr>
            <w:r w:rsidRPr="008D54A5">
              <w:t>0.3</w:t>
            </w:r>
          </w:p>
        </w:tc>
        <w:tc>
          <w:tcPr>
            <w:tcW w:w="301" w:type="pct"/>
            <w:tcBorders>
              <w:top w:val="nil"/>
              <w:left w:val="nil"/>
              <w:bottom w:val="single" w:sz="4" w:space="0" w:color="auto"/>
              <w:right w:val="single" w:sz="4" w:space="0" w:color="auto"/>
            </w:tcBorders>
            <w:shd w:val="clear" w:color="auto" w:fill="auto"/>
            <w:noWrap/>
            <w:hideMark/>
          </w:tcPr>
          <w:p w14:paraId="5395D2C4" w14:textId="7F5E0EB5" w:rsidR="00364D3A" w:rsidRPr="008D54A5" w:rsidRDefault="00364D3A" w:rsidP="00E47419">
            <w:pPr>
              <w:pStyle w:val="TableText-center-10"/>
            </w:pPr>
            <w:r w:rsidRPr="008D54A5">
              <w:t>0.7</w:t>
            </w:r>
          </w:p>
        </w:tc>
        <w:tc>
          <w:tcPr>
            <w:tcW w:w="405" w:type="pct"/>
            <w:tcBorders>
              <w:top w:val="nil"/>
              <w:left w:val="nil"/>
              <w:bottom w:val="single" w:sz="4" w:space="0" w:color="auto"/>
              <w:right w:val="single" w:sz="4" w:space="0" w:color="auto"/>
            </w:tcBorders>
            <w:shd w:val="clear" w:color="auto" w:fill="auto"/>
          </w:tcPr>
          <w:p w14:paraId="6D78D725" w14:textId="56672CAA" w:rsidR="00364D3A" w:rsidRPr="008D54A5" w:rsidRDefault="00364D3A" w:rsidP="00E47419">
            <w:pPr>
              <w:pStyle w:val="TableText-center-10"/>
            </w:pPr>
            <w:r w:rsidRPr="008D54A5">
              <w:t>$672</w:t>
            </w:r>
          </w:p>
        </w:tc>
        <w:tc>
          <w:tcPr>
            <w:tcW w:w="405" w:type="pct"/>
            <w:tcBorders>
              <w:top w:val="nil"/>
              <w:left w:val="nil"/>
              <w:bottom w:val="single" w:sz="4" w:space="0" w:color="auto"/>
              <w:right w:val="single" w:sz="4" w:space="0" w:color="auto"/>
            </w:tcBorders>
            <w:shd w:val="clear" w:color="auto" w:fill="auto"/>
          </w:tcPr>
          <w:p w14:paraId="1D9AECAE" w14:textId="4F2959C9" w:rsidR="00364D3A" w:rsidRPr="008D54A5" w:rsidRDefault="00364D3A" w:rsidP="00E47419">
            <w:pPr>
              <w:pStyle w:val="TableText-center-10"/>
            </w:pPr>
            <w:r w:rsidRPr="008D54A5">
              <w:t>$614</w:t>
            </w:r>
          </w:p>
        </w:tc>
        <w:tc>
          <w:tcPr>
            <w:tcW w:w="404" w:type="pct"/>
            <w:tcBorders>
              <w:top w:val="nil"/>
              <w:left w:val="nil"/>
              <w:bottom w:val="single" w:sz="4" w:space="0" w:color="auto"/>
              <w:right w:val="single" w:sz="4" w:space="0" w:color="auto"/>
            </w:tcBorders>
            <w:shd w:val="clear" w:color="auto" w:fill="auto"/>
            <w:noWrap/>
            <w:hideMark/>
          </w:tcPr>
          <w:p w14:paraId="463ABA81" w14:textId="006660AB" w:rsidR="00364D3A" w:rsidRPr="008D54A5" w:rsidRDefault="00364D3A" w:rsidP="00E47419">
            <w:pPr>
              <w:pStyle w:val="TableText-center-10"/>
            </w:pPr>
            <w:r w:rsidRPr="008D54A5">
              <w:t>$657</w:t>
            </w:r>
          </w:p>
        </w:tc>
      </w:tr>
      <w:tr w:rsidR="00652EC4" w:rsidRPr="008D54A5" w14:paraId="29CBABAA" w14:textId="77777777" w:rsidTr="00364D3A">
        <w:trPr>
          <w:trHeight w:val="58"/>
        </w:trPr>
        <w:tc>
          <w:tcPr>
            <w:tcW w:w="1083" w:type="pct"/>
            <w:noWrap/>
            <w:hideMark/>
          </w:tcPr>
          <w:p w14:paraId="60202A79" w14:textId="77777777" w:rsidR="00364D3A" w:rsidRPr="008D54A5" w:rsidRDefault="00364D3A" w:rsidP="00E47419">
            <w:pPr>
              <w:pStyle w:val="TableText-10"/>
            </w:pPr>
            <w:r w:rsidRPr="008D54A5">
              <w:t>Payment from Private Insurance</w:t>
            </w:r>
          </w:p>
        </w:tc>
        <w:tc>
          <w:tcPr>
            <w:tcW w:w="300" w:type="pct"/>
            <w:tcBorders>
              <w:top w:val="nil"/>
              <w:left w:val="single" w:sz="4" w:space="0" w:color="auto"/>
              <w:bottom w:val="single" w:sz="4" w:space="0" w:color="auto"/>
              <w:right w:val="single" w:sz="4" w:space="0" w:color="auto"/>
            </w:tcBorders>
            <w:shd w:val="clear" w:color="auto" w:fill="auto"/>
          </w:tcPr>
          <w:p w14:paraId="509A3DD5" w14:textId="72974221" w:rsidR="00364D3A" w:rsidRPr="008D54A5" w:rsidRDefault="00364D3A" w:rsidP="00E47419">
            <w:pPr>
              <w:pStyle w:val="TableText-center-10"/>
            </w:pPr>
            <w:r w:rsidRPr="008D54A5">
              <w:t>35.0</w:t>
            </w:r>
          </w:p>
        </w:tc>
        <w:tc>
          <w:tcPr>
            <w:tcW w:w="300" w:type="pct"/>
            <w:tcBorders>
              <w:top w:val="nil"/>
              <w:left w:val="nil"/>
              <w:bottom w:val="single" w:sz="4" w:space="0" w:color="auto"/>
              <w:right w:val="single" w:sz="4" w:space="0" w:color="auto"/>
            </w:tcBorders>
            <w:shd w:val="clear" w:color="auto" w:fill="auto"/>
          </w:tcPr>
          <w:p w14:paraId="6DAD2EE2" w14:textId="2FD0ED2B" w:rsidR="00364D3A" w:rsidRPr="008D54A5" w:rsidRDefault="00364D3A" w:rsidP="00E47419">
            <w:pPr>
              <w:pStyle w:val="TableText-center-10"/>
            </w:pPr>
            <w:r w:rsidRPr="008D54A5">
              <w:t>31.1</w:t>
            </w:r>
          </w:p>
        </w:tc>
        <w:tc>
          <w:tcPr>
            <w:tcW w:w="301" w:type="pct"/>
            <w:tcBorders>
              <w:top w:val="nil"/>
              <w:left w:val="nil"/>
              <w:bottom w:val="single" w:sz="4" w:space="0" w:color="auto"/>
              <w:right w:val="single" w:sz="4" w:space="0" w:color="auto"/>
            </w:tcBorders>
            <w:shd w:val="clear" w:color="auto" w:fill="auto"/>
            <w:noWrap/>
            <w:hideMark/>
          </w:tcPr>
          <w:p w14:paraId="4D0A4164" w14:textId="7D27522D" w:rsidR="00364D3A" w:rsidRPr="008D54A5" w:rsidRDefault="00364D3A" w:rsidP="00E47419">
            <w:pPr>
              <w:pStyle w:val="TableText-center-10"/>
            </w:pPr>
            <w:r w:rsidRPr="008D54A5">
              <w:t>35.5</w:t>
            </w:r>
          </w:p>
        </w:tc>
        <w:tc>
          <w:tcPr>
            <w:tcW w:w="300" w:type="pct"/>
            <w:tcBorders>
              <w:top w:val="nil"/>
              <w:left w:val="nil"/>
              <w:bottom w:val="single" w:sz="4" w:space="0" w:color="auto"/>
              <w:right w:val="single" w:sz="4" w:space="0" w:color="auto"/>
            </w:tcBorders>
            <w:shd w:val="clear" w:color="auto" w:fill="auto"/>
          </w:tcPr>
          <w:p w14:paraId="5ACCCC87" w14:textId="68887418" w:rsidR="00364D3A" w:rsidRPr="008D54A5" w:rsidRDefault="00364D3A" w:rsidP="00E47419">
            <w:pPr>
              <w:pStyle w:val="TableText-center-10"/>
            </w:pPr>
            <w:r w:rsidRPr="008D54A5">
              <w:t>64.8</w:t>
            </w:r>
          </w:p>
        </w:tc>
        <w:tc>
          <w:tcPr>
            <w:tcW w:w="300" w:type="pct"/>
            <w:tcBorders>
              <w:top w:val="nil"/>
              <w:left w:val="nil"/>
              <w:bottom w:val="single" w:sz="4" w:space="0" w:color="auto"/>
              <w:right w:val="single" w:sz="4" w:space="0" w:color="auto"/>
            </w:tcBorders>
            <w:shd w:val="clear" w:color="auto" w:fill="auto"/>
          </w:tcPr>
          <w:p w14:paraId="09C17511" w14:textId="55DA9E59" w:rsidR="00364D3A" w:rsidRPr="008D54A5" w:rsidRDefault="00364D3A" w:rsidP="00E47419">
            <w:pPr>
              <w:pStyle w:val="TableText-center-10"/>
            </w:pPr>
            <w:r w:rsidRPr="008D54A5">
              <w:t>68.7</w:t>
            </w:r>
          </w:p>
        </w:tc>
        <w:tc>
          <w:tcPr>
            <w:tcW w:w="301" w:type="pct"/>
            <w:tcBorders>
              <w:top w:val="nil"/>
              <w:left w:val="nil"/>
              <w:bottom w:val="single" w:sz="4" w:space="0" w:color="auto"/>
              <w:right w:val="single" w:sz="4" w:space="0" w:color="auto"/>
            </w:tcBorders>
            <w:shd w:val="clear" w:color="auto" w:fill="auto"/>
            <w:noWrap/>
            <w:hideMark/>
          </w:tcPr>
          <w:p w14:paraId="751ADA50" w14:textId="3EF9B02C" w:rsidR="00364D3A" w:rsidRPr="008D54A5" w:rsidRDefault="00364D3A" w:rsidP="00E47419">
            <w:pPr>
              <w:pStyle w:val="TableText-center-10"/>
            </w:pPr>
            <w:r w:rsidRPr="008D54A5">
              <w:t>63.6</w:t>
            </w:r>
          </w:p>
        </w:tc>
        <w:tc>
          <w:tcPr>
            <w:tcW w:w="300" w:type="pct"/>
            <w:tcBorders>
              <w:top w:val="nil"/>
              <w:left w:val="nil"/>
              <w:bottom w:val="single" w:sz="4" w:space="0" w:color="auto"/>
              <w:right w:val="single" w:sz="4" w:space="0" w:color="auto"/>
            </w:tcBorders>
            <w:shd w:val="clear" w:color="auto" w:fill="auto"/>
          </w:tcPr>
          <w:p w14:paraId="5ADC768B" w14:textId="0BE85AC9" w:rsidR="00364D3A" w:rsidRPr="008D54A5" w:rsidRDefault="00364D3A" w:rsidP="00E47419">
            <w:pPr>
              <w:pStyle w:val="TableText-center-10"/>
            </w:pPr>
            <w:r w:rsidRPr="008D54A5">
              <w:t>0.2</w:t>
            </w:r>
          </w:p>
        </w:tc>
        <w:tc>
          <w:tcPr>
            <w:tcW w:w="300" w:type="pct"/>
            <w:tcBorders>
              <w:top w:val="nil"/>
              <w:left w:val="nil"/>
              <w:bottom w:val="single" w:sz="4" w:space="0" w:color="auto"/>
              <w:right w:val="single" w:sz="4" w:space="0" w:color="auto"/>
            </w:tcBorders>
            <w:shd w:val="clear" w:color="auto" w:fill="auto"/>
          </w:tcPr>
          <w:p w14:paraId="347AED6C" w14:textId="6BEF797A" w:rsidR="00364D3A" w:rsidRPr="008D54A5" w:rsidRDefault="00364D3A" w:rsidP="00E47419">
            <w:pPr>
              <w:pStyle w:val="TableText-center-10"/>
            </w:pPr>
            <w:r w:rsidRPr="008D54A5">
              <w:t>0.3</w:t>
            </w:r>
          </w:p>
        </w:tc>
        <w:tc>
          <w:tcPr>
            <w:tcW w:w="301" w:type="pct"/>
            <w:tcBorders>
              <w:top w:val="nil"/>
              <w:left w:val="nil"/>
              <w:bottom w:val="single" w:sz="4" w:space="0" w:color="auto"/>
              <w:right w:val="single" w:sz="4" w:space="0" w:color="auto"/>
            </w:tcBorders>
            <w:shd w:val="clear" w:color="auto" w:fill="auto"/>
            <w:noWrap/>
            <w:hideMark/>
          </w:tcPr>
          <w:p w14:paraId="42EBB874" w14:textId="5D1440D1" w:rsidR="00364D3A" w:rsidRPr="008D54A5" w:rsidRDefault="00364D3A" w:rsidP="00E47419">
            <w:pPr>
              <w:pStyle w:val="TableText-center-10"/>
            </w:pPr>
            <w:r w:rsidRPr="008D54A5">
              <w:t>0.9</w:t>
            </w:r>
          </w:p>
        </w:tc>
        <w:tc>
          <w:tcPr>
            <w:tcW w:w="405" w:type="pct"/>
            <w:tcBorders>
              <w:top w:val="nil"/>
              <w:left w:val="nil"/>
              <w:bottom w:val="single" w:sz="4" w:space="0" w:color="auto"/>
              <w:right w:val="single" w:sz="4" w:space="0" w:color="auto"/>
            </w:tcBorders>
            <w:shd w:val="clear" w:color="auto" w:fill="auto"/>
          </w:tcPr>
          <w:p w14:paraId="42C714CB" w14:textId="6D0789BC" w:rsidR="00364D3A" w:rsidRPr="008D54A5" w:rsidRDefault="00364D3A" w:rsidP="00E47419">
            <w:pPr>
              <w:pStyle w:val="TableText-center-10"/>
            </w:pPr>
            <w:r w:rsidRPr="008D54A5">
              <w:t>$1,316</w:t>
            </w:r>
          </w:p>
        </w:tc>
        <w:tc>
          <w:tcPr>
            <w:tcW w:w="405" w:type="pct"/>
            <w:tcBorders>
              <w:top w:val="nil"/>
              <w:left w:val="nil"/>
              <w:bottom w:val="single" w:sz="4" w:space="0" w:color="auto"/>
              <w:right w:val="single" w:sz="4" w:space="0" w:color="auto"/>
            </w:tcBorders>
            <w:shd w:val="clear" w:color="auto" w:fill="auto"/>
          </w:tcPr>
          <w:p w14:paraId="6DFBDA89" w14:textId="553BDC25" w:rsidR="00364D3A" w:rsidRPr="008D54A5" w:rsidRDefault="00364D3A" w:rsidP="00E47419">
            <w:pPr>
              <w:pStyle w:val="TableText-center-10"/>
            </w:pPr>
            <w:r w:rsidRPr="008D54A5">
              <w:t>$1,176</w:t>
            </w:r>
          </w:p>
        </w:tc>
        <w:tc>
          <w:tcPr>
            <w:tcW w:w="404" w:type="pct"/>
            <w:tcBorders>
              <w:top w:val="nil"/>
              <w:left w:val="nil"/>
              <w:bottom w:val="single" w:sz="4" w:space="0" w:color="auto"/>
              <w:right w:val="single" w:sz="4" w:space="0" w:color="auto"/>
            </w:tcBorders>
            <w:shd w:val="clear" w:color="auto" w:fill="auto"/>
            <w:noWrap/>
            <w:hideMark/>
          </w:tcPr>
          <w:p w14:paraId="0D6ACF7A" w14:textId="7479522D" w:rsidR="00364D3A" w:rsidRPr="008D54A5" w:rsidRDefault="00364D3A" w:rsidP="00E47419">
            <w:pPr>
              <w:pStyle w:val="TableText-center-10"/>
            </w:pPr>
            <w:r w:rsidRPr="008D54A5">
              <w:t>$1,295</w:t>
            </w:r>
          </w:p>
        </w:tc>
      </w:tr>
      <w:tr w:rsidR="00652EC4" w:rsidRPr="008D54A5" w14:paraId="71574A6B" w14:textId="77777777" w:rsidTr="00364D3A">
        <w:trPr>
          <w:trHeight w:val="20"/>
        </w:trPr>
        <w:tc>
          <w:tcPr>
            <w:tcW w:w="1083" w:type="pct"/>
            <w:noWrap/>
            <w:hideMark/>
          </w:tcPr>
          <w:p w14:paraId="058555D4" w14:textId="77777777" w:rsidR="00364D3A" w:rsidRPr="008D54A5" w:rsidRDefault="00364D3A" w:rsidP="00E47419">
            <w:pPr>
              <w:pStyle w:val="TableText-10"/>
            </w:pPr>
            <w:r w:rsidRPr="008D54A5">
              <w:t>Payment from VA/CHAMPVA</w:t>
            </w:r>
          </w:p>
        </w:tc>
        <w:tc>
          <w:tcPr>
            <w:tcW w:w="300" w:type="pct"/>
            <w:tcBorders>
              <w:top w:val="nil"/>
              <w:left w:val="single" w:sz="4" w:space="0" w:color="auto"/>
              <w:bottom w:val="single" w:sz="4" w:space="0" w:color="auto"/>
              <w:right w:val="single" w:sz="4" w:space="0" w:color="auto"/>
            </w:tcBorders>
            <w:shd w:val="clear" w:color="auto" w:fill="auto"/>
          </w:tcPr>
          <w:p w14:paraId="493E3D16" w14:textId="6D528746" w:rsidR="00364D3A" w:rsidRPr="008D54A5" w:rsidRDefault="00364D3A" w:rsidP="00E47419">
            <w:pPr>
              <w:pStyle w:val="TableText-center-10"/>
            </w:pPr>
            <w:r w:rsidRPr="008D54A5">
              <w:t>1.0</w:t>
            </w:r>
          </w:p>
        </w:tc>
        <w:tc>
          <w:tcPr>
            <w:tcW w:w="300" w:type="pct"/>
            <w:tcBorders>
              <w:top w:val="nil"/>
              <w:left w:val="nil"/>
              <w:bottom w:val="single" w:sz="4" w:space="0" w:color="auto"/>
              <w:right w:val="single" w:sz="4" w:space="0" w:color="auto"/>
            </w:tcBorders>
            <w:shd w:val="clear" w:color="auto" w:fill="auto"/>
          </w:tcPr>
          <w:p w14:paraId="37C4CFD9" w14:textId="121C7D3F" w:rsidR="00364D3A" w:rsidRPr="008D54A5" w:rsidRDefault="00364D3A" w:rsidP="00E47419">
            <w:pPr>
              <w:pStyle w:val="TableText-center-10"/>
            </w:pPr>
            <w:r w:rsidRPr="008D54A5">
              <w:t>0.9</w:t>
            </w:r>
          </w:p>
        </w:tc>
        <w:tc>
          <w:tcPr>
            <w:tcW w:w="301" w:type="pct"/>
            <w:tcBorders>
              <w:top w:val="nil"/>
              <w:left w:val="nil"/>
              <w:bottom w:val="single" w:sz="4" w:space="0" w:color="auto"/>
              <w:right w:val="single" w:sz="4" w:space="0" w:color="auto"/>
            </w:tcBorders>
            <w:shd w:val="clear" w:color="auto" w:fill="auto"/>
            <w:noWrap/>
            <w:hideMark/>
          </w:tcPr>
          <w:p w14:paraId="673A5AEA" w14:textId="69FD9441" w:rsidR="00364D3A" w:rsidRPr="008D54A5" w:rsidRDefault="00364D3A" w:rsidP="00E47419">
            <w:pPr>
              <w:pStyle w:val="TableText-center-10"/>
            </w:pPr>
            <w:r w:rsidRPr="008D54A5">
              <w:t>0.8</w:t>
            </w:r>
          </w:p>
        </w:tc>
        <w:tc>
          <w:tcPr>
            <w:tcW w:w="300" w:type="pct"/>
            <w:tcBorders>
              <w:top w:val="nil"/>
              <w:left w:val="nil"/>
              <w:bottom w:val="single" w:sz="4" w:space="0" w:color="auto"/>
              <w:right w:val="single" w:sz="4" w:space="0" w:color="auto"/>
            </w:tcBorders>
            <w:shd w:val="clear" w:color="auto" w:fill="auto"/>
          </w:tcPr>
          <w:p w14:paraId="1444D53A" w14:textId="402D6E8F" w:rsidR="00364D3A" w:rsidRPr="008D54A5" w:rsidRDefault="00364D3A" w:rsidP="00E47419">
            <w:pPr>
              <w:pStyle w:val="TableText-center-10"/>
            </w:pPr>
            <w:r w:rsidRPr="008D54A5">
              <w:t>98.8</w:t>
            </w:r>
          </w:p>
        </w:tc>
        <w:tc>
          <w:tcPr>
            <w:tcW w:w="300" w:type="pct"/>
            <w:tcBorders>
              <w:top w:val="nil"/>
              <w:left w:val="nil"/>
              <w:bottom w:val="single" w:sz="4" w:space="0" w:color="auto"/>
              <w:right w:val="single" w:sz="4" w:space="0" w:color="auto"/>
            </w:tcBorders>
            <w:shd w:val="clear" w:color="auto" w:fill="auto"/>
          </w:tcPr>
          <w:p w14:paraId="79A8DFD6" w14:textId="29F741D6" w:rsidR="00364D3A" w:rsidRPr="008D54A5" w:rsidRDefault="00364D3A" w:rsidP="00E47419">
            <w:pPr>
              <w:pStyle w:val="TableText-center-10"/>
            </w:pPr>
            <w:r w:rsidRPr="008D54A5">
              <w:t>98.9</w:t>
            </w:r>
          </w:p>
        </w:tc>
        <w:tc>
          <w:tcPr>
            <w:tcW w:w="301" w:type="pct"/>
            <w:tcBorders>
              <w:top w:val="nil"/>
              <w:left w:val="nil"/>
              <w:bottom w:val="single" w:sz="4" w:space="0" w:color="auto"/>
              <w:right w:val="single" w:sz="4" w:space="0" w:color="auto"/>
            </w:tcBorders>
            <w:shd w:val="clear" w:color="auto" w:fill="auto"/>
            <w:noWrap/>
            <w:hideMark/>
          </w:tcPr>
          <w:p w14:paraId="59BF5EEA" w14:textId="0DA57913" w:rsidR="00364D3A" w:rsidRPr="008D54A5" w:rsidRDefault="00364D3A" w:rsidP="00E47419">
            <w:pPr>
              <w:pStyle w:val="TableText-center-10"/>
            </w:pPr>
            <w:r w:rsidRPr="008D54A5">
              <w:t>98.6</w:t>
            </w:r>
          </w:p>
        </w:tc>
        <w:tc>
          <w:tcPr>
            <w:tcW w:w="300" w:type="pct"/>
            <w:tcBorders>
              <w:top w:val="nil"/>
              <w:left w:val="nil"/>
              <w:bottom w:val="single" w:sz="4" w:space="0" w:color="auto"/>
              <w:right w:val="single" w:sz="4" w:space="0" w:color="auto"/>
            </w:tcBorders>
            <w:shd w:val="clear" w:color="auto" w:fill="auto"/>
          </w:tcPr>
          <w:p w14:paraId="1CFE52C9" w14:textId="20228893" w:rsidR="00364D3A" w:rsidRPr="008D54A5" w:rsidRDefault="00364D3A" w:rsidP="00E47419">
            <w:pPr>
              <w:pStyle w:val="TableText-center-10"/>
            </w:pPr>
            <w:r w:rsidRPr="008D54A5">
              <w:t>0.2</w:t>
            </w:r>
          </w:p>
        </w:tc>
        <w:tc>
          <w:tcPr>
            <w:tcW w:w="300" w:type="pct"/>
            <w:tcBorders>
              <w:top w:val="nil"/>
              <w:left w:val="nil"/>
              <w:bottom w:val="single" w:sz="4" w:space="0" w:color="auto"/>
              <w:right w:val="single" w:sz="4" w:space="0" w:color="auto"/>
            </w:tcBorders>
            <w:shd w:val="clear" w:color="auto" w:fill="auto"/>
          </w:tcPr>
          <w:p w14:paraId="0D075DB9" w14:textId="67DE2B7E" w:rsidR="00364D3A" w:rsidRPr="008D54A5" w:rsidRDefault="00364D3A" w:rsidP="00E47419">
            <w:pPr>
              <w:pStyle w:val="TableText-center-10"/>
            </w:pPr>
            <w:r w:rsidRPr="008D54A5">
              <w:t>0.2</w:t>
            </w:r>
          </w:p>
        </w:tc>
        <w:tc>
          <w:tcPr>
            <w:tcW w:w="301" w:type="pct"/>
            <w:tcBorders>
              <w:top w:val="nil"/>
              <w:left w:val="nil"/>
              <w:bottom w:val="single" w:sz="4" w:space="0" w:color="auto"/>
              <w:right w:val="single" w:sz="4" w:space="0" w:color="auto"/>
            </w:tcBorders>
            <w:shd w:val="clear" w:color="auto" w:fill="auto"/>
            <w:noWrap/>
            <w:hideMark/>
          </w:tcPr>
          <w:p w14:paraId="323C687C" w14:textId="51377489" w:rsidR="00364D3A" w:rsidRPr="008D54A5" w:rsidRDefault="00364D3A" w:rsidP="00E47419">
            <w:pPr>
              <w:pStyle w:val="TableText-center-10"/>
            </w:pPr>
            <w:r w:rsidRPr="008D54A5">
              <w:t>0.6</w:t>
            </w:r>
          </w:p>
        </w:tc>
        <w:tc>
          <w:tcPr>
            <w:tcW w:w="405" w:type="pct"/>
            <w:tcBorders>
              <w:top w:val="nil"/>
              <w:left w:val="nil"/>
              <w:bottom w:val="single" w:sz="4" w:space="0" w:color="auto"/>
              <w:right w:val="single" w:sz="4" w:space="0" w:color="auto"/>
            </w:tcBorders>
            <w:shd w:val="clear" w:color="auto" w:fill="auto"/>
          </w:tcPr>
          <w:p w14:paraId="3909BE3A" w14:textId="577E9DF6" w:rsidR="00364D3A" w:rsidRPr="008D54A5" w:rsidRDefault="00364D3A" w:rsidP="00E47419">
            <w:pPr>
              <w:pStyle w:val="TableText-center-10"/>
            </w:pPr>
            <w:r w:rsidRPr="008D54A5">
              <w:t>$1,293</w:t>
            </w:r>
          </w:p>
        </w:tc>
        <w:tc>
          <w:tcPr>
            <w:tcW w:w="405" w:type="pct"/>
            <w:tcBorders>
              <w:top w:val="nil"/>
              <w:left w:val="nil"/>
              <w:bottom w:val="single" w:sz="4" w:space="0" w:color="auto"/>
              <w:right w:val="single" w:sz="4" w:space="0" w:color="auto"/>
            </w:tcBorders>
            <w:shd w:val="clear" w:color="auto" w:fill="auto"/>
          </w:tcPr>
          <w:p w14:paraId="6000A3E0" w14:textId="2F7EB950" w:rsidR="00364D3A" w:rsidRPr="008D54A5" w:rsidRDefault="00364D3A" w:rsidP="00E47419">
            <w:pPr>
              <w:pStyle w:val="TableText-center-10"/>
            </w:pPr>
            <w:r w:rsidRPr="008D54A5">
              <w:t>$1,456</w:t>
            </w:r>
          </w:p>
        </w:tc>
        <w:tc>
          <w:tcPr>
            <w:tcW w:w="404" w:type="pct"/>
            <w:tcBorders>
              <w:top w:val="nil"/>
              <w:left w:val="nil"/>
              <w:bottom w:val="single" w:sz="4" w:space="0" w:color="auto"/>
              <w:right w:val="single" w:sz="4" w:space="0" w:color="auto"/>
            </w:tcBorders>
            <w:shd w:val="clear" w:color="auto" w:fill="auto"/>
            <w:noWrap/>
            <w:hideMark/>
          </w:tcPr>
          <w:p w14:paraId="68F9043B" w14:textId="2B980ED3" w:rsidR="00364D3A" w:rsidRPr="008D54A5" w:rsidRDefault="00364D3A" w:rsidP="00E47419">
            <w:pPr>
              <w:pStyle w:val="TableText-center-10"/>
            </w:pPr>
            <w:r w:rsidRPr="008D54A5">
              <w:t>$1,533</w:t>
            </w:r>
          </w:p>
        </w:tc>
      </w:tr>
      <w:tr w:rsidR="00652EC4" w:rsidRPr="008D54A5" w14:paraId="16F1DFC3" w14:textId="77777777" w:rsidTr="00364D3A">
        <w:trPr>
          <w:trHeight w:val="20"/>
        </w:trPr>
        <w:tc>
          <w:tcPr>
            <w:tcW w:w="1083" w:type="pct"/>
            <w:noWrap/>
            <w:hideMark/>
          </w:tcPr>
          <w:p w14:paraId="3CCEDFAF" w14:textId="77777777" w:rsidR="00364D3A" w:rsidRPr="008D54A5" w:rsidRDefault="00364D3A" w:rsidP="00E47419">
            <w:pPr>
              <w:pStyle w:val="TableText-10"/>
            </w:pPr>
            <w:r w:rsidRPr="008D54A5">
              <w:t>Payment from TRICARE</w:t>
            </w:r>
          </w:p>
        </w:tc>
        <w:tc>
          <w:tcPr>
            <w:tcW w:w="300" w:type="pct"/>
            <w:tcBorders>
              <w:top w:val="nil"/>
              <w:left w:val="single" w:sz="4" w:space="0" w:color="auto"/>
              <w:bottom w:val="single" w:sz="4" w:space="0" w:color="auto"/>
              <w:right w:val="single" w:sz="4" w:space="0" w:color="auto"/>
            </w:tcBorders>
            <w:shd w:val="clear" w:color="auto" w:fill="auto"/>
          </w:tcPr>
          <w:p w14:paraId="4E6647EE" w14:textId="037D898D" w:rsidR="00364D3A" w:rsidRPr="008D54A5" w:rsidRDefault="00364D3A" w:rsidP="00E47419">
            <w:pPr>
              <w:pStyle w:val="TableText-center-10"/>
            </w:pPr>
            <w:r w:rsidRPr="008D54A5">
              <w:t>2.5</w:t>
            </w:r>
          </w:p>
        </w:tc>
        <w:tc>
          <w:tcPr>
            <w:tcW w:w="300" w:type="pct"/>
            <w:tcBorders>
              <w:top w:val="nil"/>
              <w:left w:val="nil"/>
              <w:bottom w:val="single" w:sz="4" w:space="0" w:color="auto"/>
              <w:right w:val="single" w:sz="4" w:space="0" w:color="auto"/>
            </w:tcBorders>
            <w:shd w:val="clear" w:color="auto" w:fill="auto"/>
          </w:tcPr>
          <w:p w14:paraId="3B1DC59E" w14:textId="021291FC" w:rsidR="00364D3A" w:rsidRPr="008D54A5" w:rsidRDefault="00364D3A" w:rsidP="00E47419">
            <w:pPr>
              <w:pStyle w:val="TableText-center-10"/>
            </w:pPr>
            <w:r w:rsidRPr="008D54A5">
              <w:t>1.9</w:t>
            </w:r>
          </w:p>
        </w:tc>
        <w:tc>
          <w:tcPr>
            <w:tcW w:w="301" w:type="pct"/>
            <w:tcBorders>
              <w:top w:val="nil"/>
              <w:left w:val="nil"/>
              <w:bottom w:val="single" w:sz="4" w:space="0" w:color="auto"/>
              <w:right w:val="single" w:sz="4" w:space="0" w:color="auto"/>
            </w:tcBorders>
            <w:shd w:val="clear" w:color="auto" w:fill="auto"/>
            <w:noWrap/>
            <w:hideMark/>
          </w:tcPr>
          <w:p w14:paraId="67681D4E" w14:textId="1D772706" w:rsidR="00364D3A" w:rsidRPr="008D54A5" w:rsidRDefault="00364D3A" w:rsidP="00E47419">
            <w:pPr>
              <w:pStyle w:val="TableText-center-10"/>
            </w:pPr>
            <w:r w:rsidRPr="008D54A5">
              <w:t>1.8</w:t>
            </w:r>
          </w:p>
        </w:tc>
        <w:tc>
          <w:tcPr>
            <w:tcW w:w="300" w:type="pct"/>
            <w:tcBorders>
              <w:top w:val="nil"/>
              <w:left w:val="nil"/>
              <w:bottom w:val="single" w:sz="4" w:space="0" w:color="auto"/>
              <w:right w:val="single" w:sz="4" w:space="0" w:color="auto"/>
            </w:tcBorders>
            <w:shd w:val="clear" w:color="auto" w:fill="auto"/>
          </w:tcPr>
          <w:p w14:paraId="48C5B298" w14:textId="7F20C6AD" w:rsidR="00364D3A" w:rsidRPr="008D54A5" w:rsidRDefault="00364D3A" w:rsidP="00E47419">
            <w:pPr>
              <w:pStyle w:val="TableText-center-10"/>
            </w:pPr>
            <w:r w:rsidRPr="008D54A5">
              <w:t>97.3</w:t>
            </w:r>
          </w:p>
        </w:tc>
        <w:tc>
          <w:tcPr>
            <w:tcW w:w="300" w:type="pct"/>
            <w:tcBorders>
              <w:top w:val="nil"/>
              <w:left w:val="nil"/>
              <w:bottom w:val="single" w:sz="4" w:space="0" w:color="auto"/>
              <w:right w:val="single" w:sz="4" w:space="0" w:color="auto"/>
            </w:tcBorders>
            <w:shd w:val="clear" w:color="auto" w:fill="auto"/>
          </w:tcPr>
          <w:p w14:paraId="3F924B2D" w14:textId="2772E637" w:rsidR="00364D3A" w:rsidRPr="008D54A5" w:rsidRDefault="00364D3A" w:rsidP="00E47419">
            <w:pPr>
              <w:pStyle w:val="TableText-center-10"/>
            </w:pPr>
            <w:r w:rsidRPr="008D54A5">
              <w:t>97.8</w:t>
            </w:r>
          </w:p>
        </w:tc>
        <w:tc>
          <w:tcPr>
            <w:tcW w:w="301" w:type="pct"/>
            <w:tcBorders>
              <w:top w:val="nil"/>
              <w:left w:val="nil"/>
              <w:bottom w:val="single" w:sz="4" w:space="0" w:color="auto"/>
              <w:right w:val="single" w:sz="4" w:space="0" w:color="auto"/>
            </w:tcBorders>
            <w:shd w:val="clear" w:color="auto" w:fill="auto"/>
            <w:noWrap/>
            <w:hideMark/>
          </w:tcPr>
          <w:p w14:paraId="4D834E53" w14:textId="7DF6A01F" w:rsidR="00364D3A" w:rsidRPr="008D54A5" w:rsidRDefault="00364D3A" w:rsidP="00E47419">
            <w:pPr>
              <w:pStyle w:val="TableText-center-10"/>
            </w:pPr>
            <w:r w:rsidRPr="008D54A5">
              <w:t>97.6</w:t>
            </w:r>
          </w:p>
        </w:tc>
        <w:tc>
          <w:tcPr>
            <w:tcW w:w="300" w:type="pct"/>
            <w:tcBorders>
              <w:top w:val="nil"/>
              <w:left w:val="nil"/>
              <w:bottom w:val="single" w:sz="4" w:space="0" w:color="auto"/>
              <w:right w:val="single" w:sz="4" w:space="0" w:color="auto"/>
            </w:tcBorders>
            <w:shd w:val="clear" w:color="auto" w:fill="auto"/>
          </w:tcPr>
          <w:p w14:paraId="08D62887" w14:textId="7969C4C9" w:rsidR="00364D3A" w:rsidRPr="008D54A5" w:rsidRDefault="00364D3A" w:rsidP="00E47419">
            <w:pPr>
              <w:pStyle w:val="TableText-center-10"/>
            </w:pPr>
            <w:r w:rsidRPr="008D54A5">
              <w:t>0.2</w:t>
            </w:r>
          </w:p>
        </w:tc>
        <w:tc>
          <w:tcPr>
            <w:tcW w:w="300" w:type="pct"/>
            <w:tcBorders>
              <w:top w:val="nil"/>
              <w:left w:val="nil"/>
              <w:bottom w:val="single" w:sz="4" w:space="0" w:color="auto"/>
              <w:right w:val="single" w:sz="4" w:space="0" w:color="auto"/>
            </w:tcBorders>
            <w:shd w:val="clear" w:color="auto" w:fill="auto"/>
          </w:tcPr>
          <w:p w14:paraId="08043898" w14:textId="69AF5937" w:rsidR="00364D3A" w:rsidRPr="008D54A5" w:rsidRDefault="00364D3A" w:rsidP="00E47419">
            <w:pPr>
              <w:pStyle w:val="TableText-center-10"/>
            </w:pPr>
            <w:r w:rsidRPr="008D54A5">
              <w:t>0.3</w:t>
            </w:r>
          </w:p>
        </w:tc>
        <w:tc>
          <w:tcPr>
            <w:tcW w:w="301" w:type="pct"/>
            <w:tcBorders>
              <w:top w:val="nil"/>
              <w:left w:val="nil"/>
              <w:bottom w:val="single" w:sz="4" w:space="0" w:color="auto"/>
              <w:right w:val="single" w:sz="4" w:space="0" w:color="auto"/>
            </w:tcBorders>
            <w:shd w:val="clear" w:color="auto" w:fill="auto"/>
            <w:noWrap/>
            <w:hideMark/>
          </w:tcPr>
          <w:p w14:paraId="2FBA66CF" w14:textId="06FE791D" w:rsidR="00364D3A" w:rsidRPr="008D54A5" w:rsidRDefault="00364D3A" w:rsidP="00E47419">
            <w:pPr>
              <w:pStyle w:val="TableText-center-10"/>
            </w:pPr>
            <w:r w:rsidRPr="008D54A5">
              <w:t>0.6</w:t>
            </w:r>
          </w:p>
        </w:tc>
        <w:tc>
          <w:tcPr>
            <w:tcW w:w="405" w:type="pct"/>
            <w:tcBorders>
              <w:top w:val="nil"/>
              <w:left w:val="nil"/>
              <w:bottom w:val="single" w:sz="4" w:space="0" w:color="auto"/>
              <w:right w:val="single" w:sz="4" w:space="0" w:color="auto"/>
            </w:tcBorders>
            <w:shd w:val="clear" w:color="auto" w:fill="auto"/>
          </w:tcPr>
          <w:p w14:paraId="5F7C770C" w14:textId="6B78F0C0" w:rsidR="00364D3A" w:rsidRPr="008D54A5" w:rsidRDefault="00364D3A" w:rsidP="00E47419">
            <w:pPr>
              <w:pStyle w:val="TableText-center-10"/>
            </w:pPr>
            <w:r w:rsidRPr="008D54A5">
              <w:t>$354</w:t>
            </w:r>
          </w:p>
        </w:tc>
        <w:tc>
          <w:tcPr>
            <w:tcW w:w="405" w:type="pct"/>
            <w:tcBorders>
              <w:top w:val="nil"/>
              <w:left w:val="nil"/>
              <w:bottom w:val="single" w:sz="4" w:space="0" w:color="auto"/>
              <w:right w:val="single" w:sz="4" w:space="0" w:color="auto"/>
            </w:tcBorders>
            <w:shd w:val="clear" w:color="auto" w:fill="auto"/>
          </w:tcPr>
          <w:p w14:paraId="58AFFB5A" w14:textId="19B8DDD4" w:rsidR="00364D3A" w:rsidRPr="008D54A5" w:rsidRDefault="00364D3A" w:rsidP="00E47419">
            <w:pPr>
              <w:pStyle w:val="TableText-center-10"/>
            </w:pPr>
            <w:r w:rsidRPr="008D54A5">
              <w:t>$358</w:t>
            </w:r>
          </w:p>
        </w:tc>
        <w:tc>
          <w:tcPr>
            <w:tcW w:w="404" w:type="pct"/>
            <w:tcBorders>
              <w:top w:val="nil"/>
              <w:left w:val="nil"/>
              <w:bottom w:val="single" w:sz="4" w:space="0" w:color="auto"/>
              <w:right w:val="single" w:sz="4" w:space="0" w:color="auto"/>
            </w:tcBorders>
            <w:shd w:val="clear" w:color="auto" w:fill="auto"/>
            <w:noWrap/>
            <w:hideMark/>
          </w:tcPr>
          <w:p w14:paraId="3C4BB22C" w14:textId="6422CD07" w:rsidR="00364D3A" w:rsidRPr="008D54A5" w:rsidRDefault="00364D3A" w:rsidP="00E47419">
            <w:pPr>
              <w:pStyle w:val="TableText-center-10"/>
            </w:pPr>
            <w:r w:rsidRPr="008D54A5">
              <w:t>$437</w:t>
            </w:r>
          </w:p>
        </w:tc>
      </w:tr>
      <w:tr w:rsidR="00652EC4" w:rsidRPr="008D54A5" w14:paraId="232C35AC" w14:textId="77777777" w:rsidTr="00364D3A">
        <w:trPr>
          <w:trHeight w:val="20"/>
        </w:trPr>
        <w:tc>
          <w:tcPr>
            <w:tcW w:w="1083" w:type="pct"/>
            <w:noWrap/>
            <w:hideMark/>
          </w:tcPr>
          <w:p w14:paraId="5821F156" w14:textId="77777777" w:rsidR="00364D3A" w:rsidRPr="008D54A5" w:rsidRDefault="00364D3A" w:rsidP="00E47419">
            <w:pPr>
              <w:pStyle w:val="TableText-10"/>
            </w:pPr>
            <w:r w:rsidRPr="008D54A5">
              <w:t>Payment from Workers Comp</w:t>
            </w:r>
          </w:p>
        </w:tc>
        <w:tc>
          <w:tcPr>
            <w:tcW w:w="300" w:type="pct"/>
            <w:tcBorders>
              <w:top w:val="nil"/>
              <w:left w:val="single" w:sz="4" w:space="0" w:color="auto"/>
              <w:bottom w:val="single" w:sz="4" w:space="0" w:color="auto"/>
              <w:right w:val="single" w:sz="4" w:space="0" w:color="auto"/>
            </w:tcBorders>
            <w:shd w:val="clear" w:color="auto" w:fill="auto"/>
          </w:tcPr>
          <w:p w14:paraId="37991F33" w14:textId="26207C88" w:rsidR="00364D3A" w:rsidRPr="008D54A5" w:rsidRDefault="00364D3A" w:rsidP="00E47419">
            <w:pPr>
              <w:pStyle w:val="TableText-center-10"/>
            </w:pPr>
            <w:r w:rsidRPr="008D54A5">
              <w:t>0.4</w:t>
            </w:r>
          </w:p>
        </w:tc>
        <w:tc>
          <w:tcPr>
            <w:tcW w:w="300" w:type="pct"/>
            <w:tcBorders>
              <w:top w:val="nil"/>
              <w:left w:val="nil"/>
              <w:bottom w:val="single" w:sz="4" w:space="0" w:color="auto"/>
              <w:right w:val="single" w:sz="4" w:space="0" w:color="auto"/>
            </w:tcBorders>
            <w:shd w:val="clear" w:color="auto" w:fill="auto"/>
          </w:tcPr>
          <w:p w14:paraId="42EDD111" w14:textId="475631F7" w:rsidR="00364D3A" w:rsidRPr="008D54A5" w:rsidRDefault="00364D3A" w:rsidP="00E47419">
            <w:pPr>
              <w:pStyle w:val="TableText-center-10"/>
            </w:pPr>
            <w:r w:rsidRPr="008D54A5">
              <w:t>0.4</w:t>
            </w:r>
          </w:p>
        </w:tc>
        <w:tc>
          <w:tcPr>
            <w:tcW w:w="301" w:type="pct"/>
            <w:tcBorders>
              <w:top w:val="nil"/>
              <w:left w:val="nil"/>
              <w:bottom w:val="single" w:sz="4" w:space="0" w:color="auto"/>
              <w:right w:val="single" w:sz="4" w:space="0" w:color="auto"/>
            </w:tcBorders>
            <w:shd w:val="clear" w:color="auto" w:fill="auto"/>
            <w:noWrap/>
            <w:hideMark/>
          </w:tcPr>
          <w:p w14:paraId="2934649C" w14:textId="50C7B249" w:rsidR="00364D3A" w:rsidRPr="008D54A5" w:rsidRDefault="00364D3A" w:rsidP="00E47419">
            <w:pPr>
              <w:pStyle w:val="TableText-center-10"/>
            </w:pPr>
            <w:r w:rsidRPr="008D54A5">
              <w:t>0.5</w:t>
            </w:r>
          </w:p>
        </w:tc>
        <w:tc>
          <w:tcPr>
            <w:tcW w:w="300" w:type="pct"/>
            <w:tcBorders>
              <w:top w:val="nil"/>
              <w:left w:val="nil"/>
              <w:bottom w:val="single" w:sz="4" w:space="0" w:color="auto"/>
              <w:right w:val="single" w:sz="4" w:space="0" w:color="auto"/>
            </w:tcBorders>
            <w:shd w:val="clear" w:color="auto" w:fill="auto"/>
          </w:tcPr>
          <w:p w14:paraId="28667AA8" w14:textId="180F8765" w:rsidR="00364D3A" w:rsidRPr="008D54A5" w:rsidRDefault="00364D3A" w:rsidP="00E47419">
            <w:pPr>
              <w:pStyle w:val="TableText-center-10"/>
            </w:pPr>
            <w:r w:rsidRPr="008D54A5">
              <w:t>99.4</w:t>
            </w:r>
          </w:p>
        </w:tc>
        <w:tc>
          <w:tcPr>
            <w:tcW w:w="300" w:type="pct"/>
            <w:tcBorders>
              <w:top w:val="nil"/>
              <w:left w:val="nil"/>
              <w:bottom w:val="single" w:sz="4" w:space="0" w:color="auto"/>
              <w:right w:val="single" w:sz="4" w:space="0" w:color="auto"/>
            </w:tcBorders>
            <w:shd w:val="clear" w:color="auto" w:fill="auto"/>
          </w:tcPr>
          <w:p w14:paraId="3ACA34EE" w14:textId="26C9DE3F" w:rsidR="00364D3A" w:rsidRPr="008D54A5" w:rsidRDefault="00364D3A" w:rsidP="00E47419">
            <w:pPr>
              <w:pStyle w:val="TableText-center-10"/>
            </w:pPr>
            <w:r w:rsidRPr="008D54A5">
              <w:t>99.5</w:t>
            </w:r>
          </w:p>
        </w:tc>
        <w:tc>
          <w:tcPr>
            <w:tcW w:w="301" w:type="pct"/>
            <w:tcBorders>
              <w:top w:val="nil"/>
              <w:left w:val="nil"/>
              <w:bottom w:val="single" w:sz="4" w:space="0" w:color="auto"/>
              <w:right w:val="single" w:sz="4" w:space="0" w:color="auto"/>
            </w:tcBorders>
            <w:shd w:val="clear" w:color="auto" w:fill="auto"/>
            <w:noWrap/>
            <w:hideMark/>
          </w:tcPr>
          <w:p w14:paraId="18E8FDCB" w14:textId="295FE557" w:rsidR="00364D3A" w:rsidRPr="008D54A5" w:rsidRDefault="00364D3A" w:rsidP="00E47419">
            <w:pPr>
              <w:pStyle w:val="TableText-center-10"/>
            </w:pPr>
            <w:r w:rsidRPr="008D54A5">
              <w:t>98.9</w:t>
            </w:r>
          </w:p>
        </w:tc>
        <w:tc>
          <w:tcPr>
            <w:tcW w:w="300" w:type="pct"/>
            <w:tcBorders>
              <w:top w:val="nil"/>
              <w:left w:val="nil"/>
              <w:bottom w:val="single" w:sz="4" w:space="0" w:color="auto"/>
              <w:right w:val="single" w:sz="4" w:space="0" w:color="auto"/>
            </w:tcBorders>
            <w:shd w:val="clear" w:color="auto" w:fill="auto"/>
          </w:tcPr>
          <w:p w14:paraId="3E7FEDD3" w14:textId="5EEDF4E6" w:rsidR="00364D3A" w:rsidRPr="008D54A5" w:rsidRDefault="00364D3A" w:rsidP="00E47419">
            <w:pPr>
              <w:pStyle w:val="TableText-center-10"/>
            </w:pPr>
            <w:r w:rsidRPr="008D54A5">
              <w:t>0.2</w:t>
            </w:r>
          </w:p>
        </w:tc>
        <w:tc>
          <w:tcPr>
            <w:tcW w:w="300" w:type="pct"/>
            <w:tcBorders>
              <w:top w:val="nil"/>
              <w:left w:val="nil"/>
              <w:bottom w:val="single" w:sz="4" w:space="0" w:color="auto"/>
              <w:right w:val="single" w:sz="4" w:space="0" w:color="auto"/>
            </w:tcBorders>
            <w:shd w:val="clear" w:color="auto" w:fill="auto"/>
          </w:tcPr>
          <w:p w14:paraId="69E05E94" w14:textId="69D90188" w:rsidR="00364D3A" w:rsidRPr="008D54A5" w:rsidRDefault="00364D3A" w:rsidP="00E47419">
            <w:pPr>
              <w:pStyle w:val="TableText-center-10"/>
            </w:pPr>
            <w:r w:rsidRPr="008D54A5">
              <w:t>0.2</w:t>
            </w:r>
          </w:p>
        </w:tc>
        <w:tc>
          <w:tcPr>
            <w:tcW w:w="301" w:type="pct"/>
            <w:tcBorders>
              <w:top w:val="nil"/>
              <w:left w:val="nil"/>
              <w:bottom w:val="single" w:sz="4" w:space="0" w:color="auto"/>
              <w:right w:val="single" w:sz="4" w:space="0" w:color="auto"/>
            </w:tcBorders>
            <w:shd w:val="clear" w:color="auto" w:fill="auto"/>
            <w:noWrap/>
            <w:hideMark/>
          </w:tcPr>
          <w:p w14:paraId="7646DEC1" w14:textId="451CA06A" w:rsidR="00364D3A" w:rsidRPr="008D54A5" w:rsidRDefault="00364D3A" w:rsidP="00E47419">
            <w:pPr>
              <w:pStyle w:val="TableText-center-10"/>
            </w:pPr>
            <w:r w:rsidRPr="008D54A5">
              <w:t>0.6</w:t>
            </w:r>
          </w:p>
        </w:tc>
        <w:tc>
          <w:tcPr>
            <w:tcW w:w="405" w:type="pct"/>
            <w:tcBorders>
              <w:top w:val="nil"/>
              <w:left w:val="nil"/>
              <w:bottom w:val="single" w:sz="4" w:space="0" w:color="auto"/>
              <w:right w:val="single" w:sz="4" w:space="0" w:color="auto"/>
            </w:tcBorders>
            <w:shd w:val="clear" w:color="auto" w:fill="auto"/>
          </w:tcPr>
          <w:p w14:paraId="46D21752" w14:textId="7642CC76" w:rsidR="00364D3A" w:rsidRPr="008D54A5" w:rsidRDefault="00364D3A" w:rsidP="00E47419">
            <w:pPr>
              <w:pStyle w:val="TableText-center-10"/>
              <w:rPr>
                <w:sz w:val="18"/>
                <w:szCs w:val="18"/>
              </w:rPr>
            </w:pPr>
            <w:r w:rsidRPr="008D54A5">
              <w:t>$1,914</w:t>
            </w:r>
          </w:p>
        </w:tc>
        <w:tc>
          <w:tcPr>
            <w:tcW w:w="405" w:type="pct"/>
            <w:tcBorders>
              <w:top w:val="nil"/>
              <w:left w:val="nil"/>
              <w:bottom w:val="single" w:sz="4" w:space="0" w:color="auto"/>
              <w:right w:val="single" w:sz="4" w:space="0" w:color="auto"/>
            </w:tcBorders>
            <w:shd w:val="clear" w:color="auto" w:fill="auto"/>
          </w:tcPr>
          <w:p w14:paraId="32FF8744" w14:textId="7BAAAF6B" w:rsidR="00364D3A" w:rsidRPr="008D54A5" w:rsidRDefault="00364D3A" w:rsidP="00E47419">
            <w:pPr>
              <w:pStyle w:val="TableText-center-10"/>
            </w:pPr>
            <w:r w:rsidRPr="008D54A5">
              <w:t>$1,094</w:t>
            </w:r>
          </w:p>
        </w:tc>
        <w:tc>
          <w:tcPr>
            <w:tcW w:w="404" w:type="pct"/>
            <w:tcBorders>
              <w:top w:val="nil"/>
              <w:left w:val="nil"/>
              <w:bottom w:val="single" w:sz="4" w:space="0" w:color="auto"/>
              <w:right w:val="single" w:sz="4" w:space="0" w:color="auto"/>
            </w:tcBorders>
            <w:shd w:val="clear" w:color="auto" w:fill="auto"/>
            <w:noWrap/>
            <w:hideMark/>
          </w:tcPr>
          <w:p w14:paraId="6B073F09" w14:textId="5E189315" w:rsidR="00364D3A" w:rsidRPr="008D54A5" w:rsidRDefault="00364D3A" w:rsidP="00E47419">
            <w:pPr>
              <w:pStyle w:val="TableText-center-10"/>
            </w:pPr>
            <w:r w:rsidRPr="008D54A5">
              <w:t>$961</w:t>
            </w:r>
          </w:p>
        </w:tc>
      </w:tr>
      <w:tr w:rsidR="00652EC4" w:rsidRPr="008D54A5" w14:paraId="3B0C6541" w14:textId="77777777" w:rsidTr="00364D3A">
        <w:trPr>
          <w:trHeight w:val="20"/>
        </w:trPr>
        <w:tc>
          <w:tcPr>
            <w:tcW w:w="1083" w:type="pct"/>
            <w:noWrap/>
            <w:hideMark/>
          </w:tcPr>
          <w:p w14:paraId="7213CFF0" w14:textId="77777777" w:rsidR="00364D3A" w:rsidRPr="008D54A5" w:rsidRDefault="00364D3A" w:rsidP="00E47419">
            <w:pPr>
              <w:pStyle w:val="TableText-10"/>
            </w:pPr>
            <w:r w:rsidRPr="008D54A5">
              <w:t>Total Payment</w:t>
            </w:r>
          </w:p>
        </w:tc>
        <w:tc>
          <w:tcPr>
            <w:tcW w:w="300" w:type="pct"/>
            <w:tcBorders>
              <w:top w:val="nil"/>
              <w:left w:val="single" w:sz="4" w:space="0" w:color="auto"/>
              <w:bottom w:val="single" w:sz="4" w:space="0" w:color="auto"/>
              <w:right w:val="single" w:sz="4" w:space="0" w:color="auto"/>
            </w:tcBorders>
            <w:shd w:val="clear" w:color="auto" w:fill="auto"/>
          </w:tcPr>
          <w:p w14:paraId="4EDBD626" w14:textId="6FCF662A" w:rsidR="00364D3A" w:rsidRPr="008D54A5" w:rsidRDefault="00364D3A" w:rsidP="00E47419">
            <w:pPr>
              <w:pStyle w:val="TableText-center-10"/>
            </w:pPr>
            <w:r w:rsidRPr="008D54A5">
              <w:t>89.1</w:t>
            </w:r>
          </w:p>
        </w:tc>
        <w:tc>
          <w:tcPr>
            <w:tcW w:w="300" w:type="pct"/>
            <w:tcBorders>
              <w:top w:val="nil"/>
              <w:left w:val="nil"/>
              <w:bottom w:val="single" w:sz="4" w:space="0" w:color="auto"/>
              <w:right w:val="single" w:sz="4" w:space="0" w:color="auto"/>
            </w:tcBorders>
            <w:shd w:val="clear" w:color="auto" w:fill="auto"/>
          </w:tcPr>
          <w:p w14:paraId="45EF961C" w14:textId="028F5BC9" w:rsidR="00364D3A" w:rsidRPr="008D54A5" w:rsidRDefault="00364D3A" w:rsidP="00E47419">
            <w:pPr>
              <w:pStyle w:val="TableText-center-10"/>
            </w:pPr>
            <w:r w:rsidRPr="008D54A5">
              <w:t>90.2</w:t>
            </w:r>
          </w:p>
        </w:tc>
        <w:tc>
          <w:tcPr>
            <w:tcW w:w="301" w:type="pct"/>
            <w:tcBorders>
              <w:top w:val="nil"/>
              <w:left w:val="nil"/>
              <w:bottom w:val="single" w:sz="4" w:space="0" w:color="auto"/>
              <w:right w:val="single" w:sz="4" w:space="0" w:color="auto"/>
            </w:tcBorders>
            <w:shd w:val="clear" w:color="auto" w:fill="auto"/>
            <w:noWrap/>
            <w:hideMark/>
          </w:tcPr>
          <w:p w14:paraId="7D1D1CD3" w14:textId="50C0F1AE" w:rsidR="00364D3A" w:rsidRPr="008D54A5" w:rsidRDefault="00364D3A" w:rsidP="00E47419">
            <w:pPr>
              <w:pStyle w:val="TableText-center-10"/>
            </w:pPr>
            <w:r w:rsidRPr="008D54A5">
              <w:t>89.5</w:t>
            </w:r>
          </w:p>
        </w:tc>
        <w:tc>
          <w:tcPr>
            <w:tcW w:w="300" w:type="pct"/>
            <w:tcBorders>
              <w:top w:val="nil"/>
              <w:left w:val="nil"/>
              <w:bottom w:val="single" w:sz="4" w:space="0" w:color="auto"/>
              <w:right w:val="single" w:sz="4" w:space="0" w:color="auto"/>
            </w:tcBorders>
            <w:shd w:val="clear" w:color="auto" w:fill="auto"/>
          </w:tcPr>
          <w:p w14:paraId="7E906C8D" w14:textId="15047AE1" w:rsidR="00364D3A" w:rsidRPr="008D54A5" w:rsidRDefault="00364D3A" w:rsidP="00E47419">
            <w:pPr>
              <w:pStyle w:val="TableText-center-10"/>
            </w:pPr>
            <w:r w:rsidRPr="008D54A5">
              <w:t>10.2</w:t>
            </w:r>
          </w:p>
        </w:tc>
        <w:tc>
          <w:tcPr>
            <w:tcW w:w="300" w:type="pct"/>
            <w:tcBorders>
              <w:top w:val="nil"/>
              <w:left w:val="nil"/>
              <w:bottom w:val="single" w:sz="4" w:space="0" w:color="auto"/>
              <w:right w:val="single" w:sz="4" w:space="0" w:color="auto"/>
            </w:tcBorders>
            <w:shd w:val="clear" w:color="auto" w:fill="auto"/>
          </w:tcPr>
          <w:p w14:paraId="68CB2DEF" w14:textId="67EACBF9" w:rsidR="00364D3A" w:rsidRPr="008D54A5" w:rsidRDefault="00364D3A" w:rsidP="00E47419">
            <w:pPr>
              <w:pStyle w:val="TableText-center-10"/>
            </w:pPr>
            <w:r w:rsidRPr="008D54A5">
              <w:t>9.1</w:t>
            </w:r>
          </w:p>
        </w:tc>
        <w:tc>
          <w:tcPr>
            <w:tcW w:w="301" w:type="pct"/>
            <w:tcBorders>
              <w:top w:val="nil"/>
              <w:left w:val="nil"/>
              <w:bottom w:val="single" w:sz="4" w:space="0" w:color="auto"/>
              <w:right w:val="single" w:sz="4" w:space="0" w:color="auto"/>
            </w:tcBorders>
            <w:shd w:val="clear" w:color="auto" w:fill="auto"/>
            <w:noWrap/>
            <w:hideMark/>
          </w:tcPr>
          <w:p w14:paraId="38E42E81" w14:textId="359FFF2D" w:rsidR="00364D3A" w:rsidRPr="008D54A5" w:rsidRDefault="00364D3A" w:rsidP="00E47419">
            <w:pPr>
              <w:pStyle w:val="TableText-center-10"/>
            </w:pPr>
            <w:r w:rsidRPr="008D54A5">
              <w:t>9.3</w:t>
            </w:r>
          </w:p>
        </w:tc>
        <w:tc>
          <w:tcPr>
            <w:tcW w:w="300" w:type="pct"/>
            <w:tcBorders>
              <w:top w:val="nil"/>
              <w:left w:val="nil"/>
              <w:bottom w:val="single" w:sz="4" w:space="0" w:color="auto"/>
              <w:right w:val="single" w:sz="4" w:space="0" w:color="auto"/>
            </w:tcBorders>
            <w:shd w:val="clear" w:color="auto" w:fill="auto"/>
          </w:tcPr>
          <w:p w14:paraId="68FA9D8B" w14:textId="560D3484" w:rsidR="00364D3A" w:rsidRPr="008D54A5" w:rsidRDefault="00364D3A" w:rsidP="00E47419">
            <w:pPr>
              <w:pStyle w:val="TableText-center-10"/>
            </w:pPr>
            <w:r w:rsidRPr="008D54A5">
              <w:t>0.7</w:t>
            </w:r>
          </w:p>
        </w:tc>
        <w:tc>
          <w:tcPr>
            <w:tcW w:w="300" w:type="pct"/>
            <w:tcBorders>
              <w:top w:val="nil"/>
              <w:left w:val="nil"/>
              <w:bottom w:val="single" w:sz="4" w:space="0" w:color="auto"/>
              <w:right w:val="single" w:sz="4" w:space="0" w:color="auto"/>
            </w:tcBorders>
            <w:shd w:val="clear" w:color="auto" w:fill="auto"/>
          </w:tcPr>
          <w:p w14:paraId="15238634" w14:textId="53A49D9E" w:rsidR="00364D3A" w:rsidRPr="008D54A5" w:rsidRDefault="00364D3A" w:rsidP="00E47419">
            <w:pPr>
              <w:pStyle w:val="TableText-center-10"/>
            </w:pPr>
            <w:r w:rsidRPr="008D54A5">
              <w:t>0.7</w:t>
            </w:r>
          </w:p>
        </w:tc>
        <w:tc>
          <w:tcPr>
            <w:tcW w:w="301" w:type="pct"/>
            <w:tcBorders>
              <w:top w:val="nil"/>
              <w:left w:val="nil"/>
              <w:bottom w:val="single" w:sz="4" w:space="0" w:color="auto"/>
              <w:right w:val="single" w:sz="4" w:space="0" w:color="auto"/>
            </w:tcBorders>
            <w:shd w:val="clear" w:color="auto" w:fill="auto"/>
            <w:noWrap/>
            <w:hideMark/>
          </w:tcPr>
          <w:p w14:paraId="5DD2ED3C" w14:textId="6D3FA54A" w:rsidR="00364D3A" w:rsidRPr="008D54A5" w:rsidRDefault="00364D3A" w:rsidP="00E47419">
            <w:pPr>
              <w:pStyle w:val="TableText-center-10"/>
            </w:pPr>
            <w:r w:rsidRPr="008D54A5">
              <w:t>1.2</w:t>
            </w:r>
          </w:p>
        </w:tc>
        <w:tc>
          <w:tcPr>
            <w:tcW w:w="405" w:type="pct"/>
            <w:tcBorders>
              <w:top w:val="nil"/>
              <w:left w:val="nil"/>
              <w:bottom w:val="single" w:sz="4" w:space="0" w:color="auto"/>
              <w:right w:val="single" w:sz="4" w:space="0" w:color="auto"/>
            </w:tcBorders>
            <w:shd w:val="clear" w:color="auto" w:fill="auto"/>
          </w:tcPr>
          <w:p w14:paraId="0EDA877B" w14:textId="3DB5017E" w:rsidR="00364D3A" w:rsidRPr="008D54A5" w:rsidRDefault="00364D3A" w:rsidP="00E47419">
            <w:pPr>
              <w:pStyle w:val="TableText-center-10"/>
            </w:pPr>
            <w:r w:rsidRPr="008D54A5">
              <w:t>$1,362</w:t>
            </w:r>
          </w:p>
        </w:tc>
        <w:tc>
          <w:tcPr>
            <w:tcW w:w="405" w:type="pct"/>
            <w:tcBorders>
              <w:top w:val="nil"/>
              <w:left w:val="nil"/>
              <w:bottom w:val="single" w:sz="4" w:space="0" w:color="auto"/>
              <w:right w:val="single" w:sz="4" w:space="0" w:color="auto"/>
            </w:tcBorders>
            <w:shd w:val="clear" w:color="auto" w:fill="auto"/>
          </w:tcPr>
          <w:p w14:paraId="46FAD62B" w14:textId="6407111E" w:rsidR="00364D3A" w:rsidRPr="008D54A5" w:rsidRDefault="00364D3A" w:rsidP="00E47419">
            <w:pPr>
              <w:pStyle w:val="TableText-center-10"/>
            </w:pPr>
            <w:r w:rsidRPr="008D54A5">
              <w:t>$1,178</w:t>
            </w:r>
          </w:p>
        </w:tc>
        <w:tc>
          <w:tcPr>
            <w:tcW w:w="404" w:type="pct"/>
            <w:tcBorders>
              <w:top w:val="nil"/>
              <w:left w:val="nil"/>
              <w:bottom w:val="single" w:sz="4" w:space="0" w:color="auto"/>
              <w:right w:val="single" w:sz="4" w:space="0" w:color="auto"/>
            </w:tcBorders>
            <w:shd w:val="clear" w:color="auto" w:fill="auto"/>
            <w:noWrap/>
            <w:hideMark/>
          </w:tcPr>
          <w:p w14:paraId="19354E0D" w14:textId="7E289DA3" w:rsidR="00364D3A" w:rsidRPr="008D54A5" w:rsidRDefault="00364D3A" w:rsidP="00E47419">
            <w:pPr>
              <w:pStyle w:val="TableText-center-10"/>
            </w:pPr>
            <w:r w:rsidRPr="008D54A5">
              <w:t>$1,272</w:t>
            </w:r>
          </w:p>
        </w:tc>
      </w:tr>
      <w:tr w:rsidR="00652EC4" w:rsidRPr="008D54A5" w14:paraId="21C65F7E" w14:textId="77777777" w:rsidTr="00364D3A">
        <w:trPr>
          <w:trHeight w:val="20"/>
        </w:trPr>
        <w:tc>
          <w:tcPr>
            <w:tcW w:w="1083" w:type="pct"/>
            <w:noWrap/>
            <w:hideMark/>
          </w:tcPr>
          <w:p w14:paraId="65953711" w14:textId="77777777" w:rsidR="00364D3A" w:rsidRPr="008D54A5" w:rsidRDefault="00364D3A" w:rsidP="00E47419">
            <w:pPr>
              <w:pStyle w:val="TableText-10"/>
            </w:pPr>
            <w:r w:rsidRPr="008D54A5">
              <w:t>Total Charges</w:t>
            </w:r>
          </w:p>
        </w:tc>
        <w:tc>
          <w:tcPr>
            <w:tcW w:w="300" w:type="pct"/>
            <w:tcBorders>
              <w:top w:val="nil"/>
              <w:left w:val="single" w:sz="4" w:space="0" w:color="auto"/>
              <w:bottom w:val="single" w:sz="4" w:space="0" w:color="auto"/>
              <w:right w:val="single" w:sz="4" w:space="0" w:color="auto"/>
            </w:tcBorders>
            <w:shd w:val="clear" w:color="auto" w:fill="auto"/>
          </w:tcPr>
          <w:p w14:paraId="15507745" w14:textId="77346C13" w:rsidR="00364D3A" w:rsidRPr="008D54A5" w:rsidRDefault="00364D3A" w:rsidP="00E47419">
            <w:pPr>
              <w:pStyle w:val="TableText-center-10"/>
            </w:pPr>
            <w:r w:rsidRPr="008D54A5">
              <w:t>96.9</w:t>
            </w:r>
          </w:p>
        </w:tc>
        <w:tc>
          <w:tcPr>
            <w:tcW w:w="300" w:type="pct"/>
            <w:tcBorders>
              <w:top w:val="nil"/>
              <w:left w:val="nil"/>
              <w:bottom w:val="single" w:sz="4" w:space="0" w:color="auto"/>
              <w:right w:val="single" w:sz="4" w:space="0" w:color="auto"/>
            </w:tcBorders>
            <w:shd w:val="clear" w:color="auto" w:fill="auto"/>
          </w:tcPr>
          <w:p w14:paraId="2BBF13D3" w14:textId="31230A77" w:rsidR="00364D3A" w:rsidRPr="008D54A5" w:rsidRDefault="00364D3A" w:rsidP="00E47419">
            <w:pPr>
              <w:pStyle w:val="TableText-center-10"/>
            </w:pPr>
            <w:r w:rsidRPr="008D54A5">
              <w:t>96.9</w:t>
            </w:r>
          </w:p>
        </w:tc>
        <w:tc>
          <w:tcPr>
            <w:tcW w:w="301" w:type="pct"/>
            <w:tcBorders>
              <w:top w:val="nil"/>
              <w:left w:val="nil"/>
              <w:bottom w:val="single" w:sz="4" w:space="0" w:color="auto"/>
              <w:right w:val="single" w:sz="4" w:space="0" w:color="auto"/>
            </w:tcBorders>
            <w:shd w:val="clear" w:color="auto" w:fill="auto"/>
            <w:noWrap/>
            <w:hideMark/>
          </w:tcPr>
          <w:p w14:paraId="286E79D1" w14:textId="285550EC" w:rsidR="00364D3A" w:rsidRPr="008D54A5" w:rsidRDefault="00364D3A" w:rsidP="00E47419">
            <w:pPr>
              <w:pStyle w:val="TableText-center-10"/>
            </w:pPr>
            <w:r w:rsidRPr="008D54A5">
              <w:t>97.1</w:t>
            </w:r>
          </w:p>
        </w:tc>
        <w:tc>
          <w:tcPr>
            <w:tcW w:w="300" w:type="pct"/>
            <w:tcBorders>
              <w:top w:val="nil"/>
              <w:left w:val="nil"/>
              <w:bottom w:val="single" w:sz="4" w:space="0" w:color="auto"/>
              <w:right w:val="single" w:sz="4" w:space="0" w:color="auto"/>
            </w:tcBorders>
            <w:shd w:val="clear" w:color="auto" w:fill="auto"/>
          </w:tcPr>
          <w:p w14:paraId="1714982E" w14:textId="6C0E3178" w:rsidR="00364D3A" w:rsidRPr="008D54A5" w:rsidRDefault="00364D3A" w:rsidP="00E47419">
            <w:pPr>
              <w:pStyle w:val="TableText-center-10"/>
            </w:pPr>
            <w:r w:rsidRPr="008D54A5">
              <w:t>2.9</w:t>
            </w:r>
          </w:p>
        </w:tc>
        <w:tc>
          <w:tcPr>
            <w:tcW w:w="300" w:type="pct"/>
            <w:tcBorders>
              <w:top w:val="nil"/>
              <w:left w:val="nil"/>
              <w:bottom w:val="single" w:sz="4" w:space="0" w:color="auto"/>
              <w:right w:val="single" w:sz="4" w:space="0" w:color="auto"/>
            </w:tcBorders>
            <w:shd w:val="clear" w:color="auto" w:fill="auto"/>
          </w:tcPr>
          <w:p w14:paraId="107BDAAC" w14:textId="778CAA39" w:rsidR="00364D3A" w:rsidRPr="008D54A5" w:rsidRDefault="00364D3A" w:rsidP="00E47419">
            <w:pPr>
              <w:pStyle w:val="TableText-center-10"/>
            </w:pPr>
            <w:r w:rsidRPr="008D54A5">
              <w:t>2.8</w:t>
            </w:r>
          </w:p>
        </w:tc>
        <w:tc>
          <w:tcPr>
            <w:tcW w:w="301" w:type="pct"/>
            <w:tcBorders>
              <w:top w:val="nil"/>
              <w:left w:val="nil"/>
              <w:bottom w:val="single" w:sz="4" w:space="0" w:color="auto"/>
              <w:right w:val="single" w:sz="4" w:space="0" w:color="auto"/>
            </w:tcBorders>
            <w:shd w:val="clear" w:color="auto" w:fill="auto"/>
            <w:noWrap/>
            <w:hideMark/>
          </w:tcPr>
          <w:p w14:paraId="4617F3CB" w14:textId="6A6B409E" w:rsidR="00364D3A" w:rsidRPr="008D54A5" w:rsidRDefault="00364D3A" w:rsidP="00E47419">
            <w:pPr>
              <w:pStyle w:val="TableText-center-10"/>
            </w:pPr>
            <w:r w:rsidRPr="008D54A5">
              <w:t>2.4</w:t>
            </w:r>
          </w:p>
        </w:tc>
        <w:tc>
          <w:tcPr>
            <w:tcW w:w="300" w:type="pct"/>
            <w:tcBorders>
              <w:top w:val="nil"/>
              <w:left w:val="nil"/>
              <w:bottom w:val="single" w:sz="4" w:space="0" w:color="auto"/>
              <w:right w:val="single" w:sz="4" w:space="0" w:color="auto"/>
            </w:tcBorders>
            <w:shd w:val="clear" w:color="auto" w:fill="auto"/>
          </w:tcPr>
          <w:p w14:paraId="0CC10571" w14:textId="2F9AED9A" w:rsidR="00364D3A" w:rsidRPr="008D54A5" w:rsidRDefault="00364D3A" w:rsidP="00E47419">
            <w:pPr>
              <w:pStyle w:val="TableText-center-10"/>
            </w:pPr>
            <w:r w:rsidRPr="008D54A5">
              <w:t>0.2</w:t>
            </w:r>
          </w:p>
        </w:tc>
        <w:tc>
          <w:tcPr>
            <w:tcW w:w="300" w:type="pct"/>
            <w:tcBorders>
              <w:top w:val="nil"/>
              <w:left w:val="nil"/>
              <w:bottom w:val="single" w:sz="4" w:space="0" w:color="auto"/>
              <w:right w:val="single" w:sz="4" w:space="0" w:color="auto"/>
            </w:tcBorders>
            <w:shd w:val="clear" w:color="auto" w:fill="auto"/>
          </w:tcPr>
          <w:p w14:paraId="4B7FC7E3" w14:textId="6599FE9D" w:rsidR="00364D3A" w:rsidRPr="008D54A5" w:rsidRDefault="00364D3A" w:rsidP="00E47419">
            <w:pPr>
              <w:pStyle w:val="TableText-center-10"/>
            </w:pPr>
            <w:r w:rsidRPr="008D54A5">
              <w:t>0.3</w:t>
            </w:r>
          </w:p>
        </w:tc>
        <w:tc>
          <w:tcPr>
            <w:tcW w:w="301" w:type="pct"/>
            <w:tcBorders>
              <w:top w:val="nil"/>
              <w:left w:val="nil"/>
              <w:bottom w:val="single" w:sz="4" w:space="0" w:color="auto"/>
              <w:right w:val="single" w:sz="4" w:space="0" w:color="auto"/>
            </w:tcBorders>
            <w:shd w:val="clear" w:color="auto" w:fill="auto"/>
            <w:noWrap/>
            <w:hideMark/>
          </w:tcPr>
          <w:p w14:paraId="085634C4" w14:textId="5FC9CCC9" w:rsidR="00364D3A" w:rsidRPr="008D54A5" w:rsidRDefault="00364D3A" w:rsidP="00E47419">
            <w:pPr>
              <w:pStyle w:val="TableText-center-10"/>
            </w:pPr>
            <w:r w:rsidRPr="008D54A5">
              <w:t>0.5</w:t>
            </w:r>
          </w:p>
        </w:tc>
        <w:tc>
          <w:tcPr>
            <w:tcW w:w="405" w:type="pct"/>
            <w:tcBorders>
              <w:top w:val="nil"/>
              <w:left w:val="nil"/>
              <w:bottom w:val="single" w:sz="4" w:space="0" w:color="auto"/>
              <w:right w:val="single" w:sz="4" w:space="0" w:color="auto"/>
            </w:tcBorders>
            <w:shd w:val="clear" w:color="auto" w:fill="auto"/>
          </w:tcPr>
          <w:p w14:paraId="4D6DE6E7" w14:textId="5BC22F9B" w:rsidR="00364D3A" w:rsidRPr="008D54A5" w:rsidRDefault="00364D3A" w:rsidP="00E47419">
            <w:pPr>
              <w:pStyle w:val="TableText-center-10"/>
            </w:pPr>
            <w:r w:rsidRPr="008D54A5">
              <w:t>$5,036</w:t>
            </w:r>
          </w:p>
        </w:tc>
        <w:tc>
          <w:tcPr>
            <w:tcW w:w="405" w:type="pct"/>
            <w:tcBorders>
              <w:top w:val="nil"/>
              <w:left w:val="nil"/>
              <w:bottom w:val="single" w:sz="4" w:space="0" w:color="auto"/>
              <w:right w:val="single" w:sz="4" w:space="0" w:color="auto"/>
            </w:tcBorders>
            <w:shd w:val="clear" w:color="auto" w:fill="auto"/>
          </w:tcPr>
          <w:p w14:paraId="65C7E7CB" w14:textId="43A93F6D" w:rsidR="00364D3A" w:rsidRPr="008D54A5" w:rsidRDefault="00364D3A" w:rsidP="00E47419">
            <w:pPr>
              <w:pStyle w:val="TableText-center-10"/>
            </w:pPr>
            <w:r w:rsidRPr="008D54A5">
              <w:t>$4,311</w:t>
            </w:r>
          </w:p>
        </w:tc>
        <w:tc>
          <w:tcPr>
            <w:tcW w:w="404" w:type="pct"/>
            <w:tcBorders>
              <w:top w:val="nil"/>
              <w:left w:val="nil"/>
              <w:bottom w:val="single" w:sz="4" w:space="0" w:color="auto"/>
              <w:right w:val="single" w:sz="4" w:space="0" w:color="auto"/>
            </w:tcBorders>
            <w:shd w:val="clear" w:color="auto" w:fill="auto"/>
            <w:noWrap/>
            <w:hideMark/>
          </w:tcPr>
          <w:p w14:paraId="24FB7524" w14:textId="4EF30493" w:rsidR="00364D3A" w:rsidRPr="008D54A5" w:rsidRDefault="00364D3A" w:rsidP="00E47419">
            <w:pPr>
              <w:pStyle w:val="TableText-center-10"/>
            </w:pPr>
            <w:r w:rsidRPr="008D54A5">
              <w:t>$4,341</w:t>
            </w:r>
          </w:p>
        </w:tc>
      </w:tr>
    </w:tbl>
    <w:p w14:paraId="446EED47" w14:textId="5667B9E6" w:rsidR="0048025E" w:rsidRPr="008D54A5" w:rsidRDefault="0048025E" w:rsidP="0048025E">
      <w:pPr>
        <w:pStyle w:val="Source-9-1"/>
      </w:pPr>
      <w:r w:rsidRPr="008D54A5">
        <w:rPr>
          <w:szCs w:val="18"/>
        </w:rPr>
        <w:t xml:space="preserve">CHAMPVA = </w:t>
      </w:r>
      <w:r w:rsidRPr="008D54A5">
        <w:rPr>
          <w:color w:val="2E2E2E"/>
          <w:szCs w:val="18"/>
          <w:shd w:val="clear" w:color="auto" w:fill="FFFFFF"/>
        </w:rPr>
        <w:t>Civilian Health and Medical Program of the Department of Veterans Affairs</w:t>
      </w:r>
      <w:r w:rsidRPr="008D54A5">
        <w:rPr>
          <w:szCs w:val="18"/>
        </w:rPr>
        <w:t>;</w:t>
      </w:r>
      <w:r w:rsidRPr="008D54A5">
        <w:t xml:space="preserve"> MPC = </w:t>
      </w:r>
      <w:r w:rsidR="00BB6089" w:rsidRPr="008D54A5">
        <w:t>Medical Provider Component</w:t>
      </w:r>
      <w:r w:rsidRPr="008D54A5">
        <w:t xml:space="preserve">; VA = Veterans </w:t>
      </w:r>
      <w:r w:rsidR="00846428" w:rsidRPr="008D54A5">
        <w:t>Affairs</w:t>
      </w:r>
      <w:r w:rsidRPr="008D54A5">
        <w:t>.</w:t>
      </w:r>
    </w:p>
    <w:p w14:paraId="524A2908" w14:textId="1A033669" w:rsidR="00A322E7" w:rsidRPr="008D54A5" w:rsidRDefault="00A322E7" w:rsidP="00950102">
      <w:pPr>
        <w:pStyle w:val="Source-9-1"/>
      </w:pPr>
      <w:r w:rsidRPr="008D54A5">
        <w:t xml:space="preserve">Note: The denominator of the percentages </w:t>
      </w:r>
      <w:r w:rsidR="00C97792" w:rsidRPr="008D54A5">
        <w:t xml:space="preserve">is </w:t>
      </w:r>
      <w:r w:rsidRPr="008D54A5">
        <w:t xml:space="preserve">all </w:t>
      </w:r>
      <w:r w:rsidR="00C54B11" w:rsidRPr="008D54A5">
        <w:t xml:space="preserve">fee-for-service office-based doctor </w:t>
      </w:r>
      <w:r w:rsidRPr="008D54A5">
        <w:t>events. These statistics are based on unique (nonreplicated) MPC events.</w:t>
      </w:r>
      <w:r w:rsidR="00DC29A8" w:rsidRPr="008D54A5">
        <w:t xml:space="preserve"> Hospital events provided by the VA are not included.</w:t>
      </w:r>
    </w:p>
    <w:p w14:paraId="08AC4003" w14:textId="07F8310B" w:rsidR="0067323E" w:rsidRPr="008D54A5" w:rsidRDefault="00A322E7" w:rsidP="00950102">
      <w:pPr>
        <w:pStyle w:val="Source-9-1"/>
      </w:pPr>
      <w:r w:rsidRPr="008D54A5">
        <w:t xml:space="preserve">Source: </w:t>
      </w:r>
      <w:r w:rsidR="00364D3A" w:rsidRPr="008D54A5">
        <w:t>2020</w:t>
      </w:r>
      <w:r w:rsidR="006A1542" w:rsidRPr="008D54A5">
        <w:t>–</w:t>
      </w:r>
      <w:r w:rsidR="002B2330" w:rsidRPr="008D54A5">
        <w:t>202</w:t>
      </w:r>
      <w:r w:rsidR="00364D3A" w:rsidRPr="008D54A5">
        <w:t>2</w:t>
      </w:r>
      <w:r w:rsidR="006A1542" w:rsidRPr="008D54A5">
        <w:t xml:space="preserve"> Medical Expenditure Panel Survey – Medical Provider Component</w:t>
      </w:r>
      <w:r w:rsidRPr="008D54A5">
        <w:t xml:space="preserve">. </w:t>
      </w:r>
    </w:p>
    <w:p w14:paraId="21D3F1BA" w14:textId="77777777" w:rsidR="00695955" w:rsidRPr="008D54A5" w:rsidRDefault="00695955">
      <w:pPr>
        <w:rPr>
          <w:rFonts w:ascii="Arial" w:hAnsi="Arial"/>
          <w:b/>
          <w:bCs/>
        </w:rPr>
      </w:pPr>
      <w:bookmarkStart w:id="179" w:name="RANGE!A1:G19"/>
      <w:r w:rsidRPr="008D54A5">
        <w:br w:type="page"/>
      </w:r>
    </w:p>
    <w:p w14:paraId="0D4B3649" w14:textId="1CF5C8E0" w:rsidR="00A322E7" w:rsidRPr="008D54A5" w:rsidRDefault="00A322E7" w:rsidP="00FD4A4F">
      <w:pPr>
        <w:pStyle w:val="ExhibitTitle"/>
      </w:pPr>
      <w:bookmarkStart w:id="180" w:name="_Toc128574189"/>
      <w:bookmarkStart w:id="181" w:name="_Toc188622346"/>
      <w:r w:rsidRPr="00404E1F">
        <w:lastRenderedPageBreak/>
        <w:t>Exhibit </w:t>
      </w:r>
      <w:r w:rsidR="00AB3CB9" w:rsidRPr="008D54A5">
        <w:rPr>
          <w:noProof/>
        </w:rPr>
        <w:fldChar w:fldCharType="begin"/>
      </w:r>
      <w:r w:rsidR="00AB3CB9" w:rsidRPr="008D54A5">
        <w:rPr>
          <w:noProof/>
        </w:rPr>
        <w:instrText xml:space="preserve"> STYLEREF 1 \s </w:instrText>
      </w:r>
      <w:r w:rsidR="00AB3CB9" w:rsidRPr="008D54A5">
        <w:rPr>
          <w:noProof/>
        </w:rPr>
        <w:fldChar w:fldCharType="separate"/>
      </w:r>
      <w:r w:rsidR="00EC2444" w:rsidRPr="008D54A5">
        <w:rPr>
          <w:noProof/>
        </w:rPr>
        <w:t>5</w:t>
      </w:r>
      <w:r w:rsidR="00AB3CB9" w:rsidRPr="008D54A5">
        <w:rPr>
          <w:noProof/>
        </w:rPr>
        <w:fldChar w:fldCharType="end"/>
      </w:r>
      <w:r w:rsidR="00AB3CB9" w:rsidRPr="008D54A5">
        <w:t>.</w:t>
      </w:r>
      <w:r w:rsidR="00AB3CB9" w:rsidRPr="008D54A5">
        <w:rPr>
          <w:noProof/>
        </w:rPr>
        <w:fldChar w:fldCharType="begin"/>
      </w:r>
      <w:r w:rsidR="00AB3CB9" w:rsidRPr="008D54A5">
        <w:rPr>
          <w:noProof/>
        </w:rPr>
        <w:instrText xml:space="preserve"> SEQ Exhibit \* ARABIC \s 1 </w:instrText>
      </w:r>
      <w:r w:rsidR="00AB3CB9" w:rsidRPr="008D54A5">
        <w:rPr>
          <w:noProof/>
        </w:rPr>
        <w:fldChar w:fldCharType="separate"/>
      </w:r>
      <w:r w:rsidR="00EC2444" w:rsidRPr="008D54A5">
        <w:rPr>
          <w:noProof/>
        </w:rPr>
        <w:t>3</w:t>
      </w:r>
      <w:r w:rsidR="00AB3CB9" w:rsidRPr="008D54A5">
        <w:rPr>
          <w:noProof/>
        </w:rPr>
        <w:fldChar w:fldCharType="end"/>
      </w:r>
      <w:r w:rsidRPr="008D54A5">
        <w:tab/>
        <w:t xml:space="preserve">Comparing Reasons for Charge/Payment Discrepancy </w:t>
      </w:r>
      <w:r w:rsidR="00734B66" w:rsidRPr="008D54A5">
        <w:t xml:space="preserve">Among </w:t>
      </w:r>
      <w:r w:rsidRPr="008D54A5">
        <w:t xml:space="preserve">Fee-for-Service OBD Events, </w:t>
      </w:r>
      <w:r w:rsidR="00C1503E" w:rsidRPr="008D54A5">
        <w:t>2020</w:t>
      </w:r>
      <w:r w:rsidR="006A1542" w:rsidRPr="008D54A5">
        <w:t>–</w:t>
      </w:r>
      <w:r w:rsidR="00700BF1" w:rsidRPr="008D54A5">
        <w:t>202</w:t>
      </w:r>
      <w:r w:rsidR="00C1503E" w:rsidRPr="008D54A5">
        <w:t>2</w:t>
      </w:r>
      <w:r w:rsidR="00700BF1" w:rsidRPr="008D54A5">
        <w:t xml:space="preserve"> </w:t>
      </w:r>
      <w:r w:rsidRPr="008D54A5">
        <w:t>MPC</w:t>
      </w:r>
      <w:bookmarkEnd w:id="179"/>
      <w:r w:rsidRPr="008D54A5">
        <w:sym w:font="Symbol" w:char="F0BE"/>
      </w:r>
      <w:r w:rsidRPr="008D54A5">
        <w:t>OBD (MV Only)</w:t>
      </w:r>
      <w:bookmarkEnd w:id="180"/>
      <w:bookmarkEnd w:id="181"/>
    </w:p>
    <w:tbl>
      <w:tblPr>
        <w:tblStyle w:val="TableGrid"/>
        <w:tblW w:w="5000" w:type="pct"/>
        <w:tblLayout w:type="fixed"/>
        <w:tblLook w:val="04A0" w:firstRow="1" w:lastRow="0" w:firstColumn="1" w:lastColumn="0" w:noHBand="0" w:noVBand="1"/>
      </w:tblPr>
      <w:tblGrid>
        <w:gridCol w:w="4221"/>
        <w:gridCol w:w="854"/>
        <w:gridCol w:w="855"/>
        <w:gridCol w:w="855"/>
        <w:gridCol w:w="855"/>
        <w:gridCol w:w="855"/>
        <w:gridCol w:w="855"/>
      </w:tblGrid>
      <w:tr w:rsidR="0067323E" w:rsidRPr="008D54A5" w14:paraId="3783034C" w14:textId="77777777" w:rsidTr="00A322E7">
        <w:trPr>
          <w:cnfStyle w:val="100000000000" w:firstRow="1" w:lastRow="0" w:firstColumn="0" w:lastColumn="0" w:oddVBand="0" w:evenVBand="0" w:oddHBand="0" w:evenHBand="0" w:firstRowFirstColumn="0" w:firstRowLastColumn="0" w:lastRowFirstColumn="0" w:lastRowLastColumn="0"/>
          <w:trHeight w:val="20"/>
        </w:trPr>
        <w:tc>
          <w:tcPr>
            <w:tcW w:w="2258" w:type="pct"/>
            <w:vMerge w:val="restart"/>
            <w:noWrap/>
            <w:hideMark/>
          </w:tcPr>
          <w:p w14:paraId="196E4FEF" w14:textId="77777777" w:rsidR="0067323E" w:rsidRPr="008D54A5" w:rsidRDefault="0067323E" w:rsidP="00A322E7">
            <w:pPr>
              <w:pStyle w:val="TableHeading-10"/>
            </w:pPr>
            <w:r w:rsidRPr="008D54A5">
              <w:t>Payment/Charge</w:t>
            </w:r>
          </w:p>
        </w:tc>
        <w:tc>
          <w:tcPr>
            <w:tcW w:w="1371" w:type="pct"/>
            <w:gridSpan w:val="3"/>
            <w:hideMark/>
          </w:tcPr>
          <w:p w14:paraId="37FD4D41" w14:textId="77777777" w:rsidR="0067323E" w:rsidRPr="008D54A5" w:rsidRDefault="0067323E" w:rsidP="00A322E7">
            <w:pPr>
              <w:pStyle w:val="TableHeading-10"/>
            </w:pPr>
            <w:r w:rsidRPr="008D54A5">
              <w:t xml:space="preserve">Percent = Yes </w:t>
            </w:r>
            <w:r w:rsidRPr="008D54A5">
              <w:br/>
              <w:t xml:space="preserve">(Among Events With </w:t>
            </w:r>
            <w:r w:rsidRPr="008D54A5">
              <w:br/>
              <w:t>Yes or No)</w:t>
            </w:r>
          </w:p>
        </w:tc>
        <w:tc>
          <w:tcPr>
            <w:tcW w:w="1371" w:type="pct"/>
            <w:gridSpan w:val="3"/>
            <w:hideMark/>
          </w:tcPr>
          <w:p w14:paraId="0B8990C1" w14:textId="77777777" w:rsidR="0067323E" w:rsidRPr="008D54A5" w:rsidRDefault="0067323E" w:rsidP="00A322E7">
            <w:pPr>
              <w:pStyle w:val="TableHeading-10"/>
            </w:pPr>
            <w:r w:rsidRPr="008D54A5">
              <w:t xml:space="preserve">Percent = Missing </w:t>
            </w:r>
            <w:r w:rsidRPr="008D54A5">
              <w:br/>
              <w:t>(Among Events That Should Have a Response)</w:t>
            </w:r>
          </w:p>
        </w:tc>
      </w:tr>
      <w:tr w:rsidR="004E1824" w:rsidRPr="008D54A5" w14:paraId="6D79EF37" w14:textId="77777777" w:rsidTr="00673537">
        <w:trPr>
          <w:trHeight w:val="20"/>
        </w:trPr>
        <w:tc>
          <w:tcPr>
            <w:tcW w:w="0" w:type="pct"/>
            <w:vMerge/>
            <w:shd w:val="clear" w:color="auto" w:fill="BFBFBF"/>
            <w:hideMark/>
          </w:tcPr>
          <w:p w14:paraId="38224384" w14:textId="77777777" w:rsidR="00C1503E" w:rsidRPr="008D54A5" w:rsidRDefault="00C1503E" w:rsidP="00C1503E">
            <w:pPr>
              <w:pStyle w:val="TableHeading-10"/>
            </w:pPr>
          </w:p>
        </w:tc>
        <w:tc>
          <w:tcPr>
            <w:tcW w:w="0" w:type="pct"/>
            <w:tcBorders>
              <w:top w:val="single" w:sz="4" w:space="0" w:color="auto"/>
              <w:left w:val="single" w:sz="4" w:space="0" w:color="auto"/>
              <w:bottom w:val="single" w:sz="4" w:space="0" w:color="auto"/>
              <w:right w:val="single" w:sz="4" w:space="0" w:color="auto"/>
            </w:tcBorders>
            <w:shd w:val="clear" w:color="000000" w:fill="BFBFBF"/>
          </w:tcPr>
          <w:p w14:paraId="67CB3A73" w14:textId="7BCB8BFB" w:rsidR="00C1503E" w:rsidRPr="008D54A5" w:rsidRDefault="00C1503E" w:rsidP="00C1503E">
            <w:pPr>
              <w:pStyle w:val="TableHeading-10"/>
            </w:pPr>
            <w:r w:rsidRPr="008D54A5">
              <w:t>2020</w:t>
            </w:r>
          </w:p>
        </w:tc>
        <w:tc>
          <w:tcPr>
            <w:tcW w:w="0" w:type="pct"/>
            <w:tcBorders>
              <w:top w:val="single" w:sz="4" w:space="0" w:color="auto"/>
              <w:left w:val="nil"/>
              <w:bottom w:val="single" w:sz="4" w:space="0" w:color="auto"/>
              <w:right w:val="single" w:sz="4" w:space="0" w:color="auto"/>
            </w:tcBorders>
            <w:shd w:val="clear" w:color="000000" w:fill="BFBFBF"/>
          </w:tcPr>
          <w:p w14:paraId="7A8E8A47" w14:textId="4AC61AAA" w:rsidR="00C1503E" w:rsidRPr="008D54A5" w:rsidRDefault="00C1503E" w:rsidP="00C1503E">
            <w:pPr>
              <w:pStyle w:val="TableHeading-10"/>
            </w:pPr>
            <w:r w:rsidRPr="008D54A5">
              <w:t>2021</w:t>
            </w:r>
          </w:p>
        </w:tc>
        <w:tc>
          <w:tcPr>
            <w:tcW w:w="0" w:type="pct"/>
            <w:tcBorders>
              <w:top w:val="single" w:sz="4" w:space="0" w:color="auto"/>
              <w:left w:val="nil"/>
              <w:bottom w:val="single" w:sz="4" w:space="0" w:color="auto"/>
              <w:right w:val="single" w:sz="4" w:space="0" w:color="auto"/>
            </w:tcBorders>
            <w:shd w:val="clear" w:color="000000" w:fill="BFBFBF"/>
            <w:noWrap/>
            <w:hideMark/>
          </w:tcPr>
          <w:p w14:paraId="1584EEAE" w14:textId="2CF9B69D" w:rsidR="00C1503E" w:rsidRPr="008D54A5" w:rsidRDefault="00C1503E" w:rsidP="00C1503E">
            <w:pPr>
              <w:pStyle w:val="TableHeading-10"/>
            </w:pPr>
            <w:r w:rsidRPr="008D54A5">
              <w:t>2022</w:t>
            </w:r>
          </w:p>
        </w:tc>
        <w:tc>
          <w:tcPr>
            <w:tcW w:w="0" w:type="pct"/>
            <w:tcBorders>
              <w:top w:val="single" w:sz="4" w:space="0" w:color="auto"/>
              <w:left w:val="nil"/>
              <w:bottom w:val="single" w:sz="4" w:space="0" w:color="auto"/>
              <w:right w:val="single" w:sz="4" w:space="0" w:color="auto"/>
            </w:tcBorders>
            <w:shd w:val="clear" w:color="000000" w:fill="BFBFBF"/>
          </w:tcPr>
          <w:p w14:paraId="049E54D7" w14:textId="02DF6A20" w:rsidR="00C1503E" w:rsidRPr="008D54A5" w:rsidRDefault="00C1503E" w:rsidP="00C1503E">
            <w:pPr>
              <w:pStyle w:val="TableHeading-10"/>
            </w:pPr>
            <w:r w:rsidRPr="008D54A5">
              <w:t>2020</w:t>
            </w:r>
          </w:p>
        </w:tc>
        <w:tc>
          <w:tcPr>
            <w:tcW w:w="0" w:type="pct"/>
            <w:tcBorders>
              <w:top w:val="single" w:sz="4" w:space="0" w:color="auto"/>
              <w:left w:val="nil"/>
              <w:bottom w:val="single" w:sz="4" w:space="0" w:color="auto"/>
              <w:right w:val="single" w:sz="4" w:space="0" w:color="auto"/>
            </w:tcBorders>
            <w:shd w:val="clear" w:color="000000" w:fill="BFBFBF"/>
          </w:tcPr>
          <w:p w14:paraId="2180FFBD" w14:textId="4FF6ECDF" w:rsidR="00C1503E" w:rsidRPr="008D54A5" w:rsidRDefault="00C1503E" w:rsidP="00C1503E">
            <w:pPr>
              <w:pStyle w:val="TableHeading-10"/>
            </w:pPr>
            <w:r w:rsidRPr="008D54A5">
              <w:t>2021</w:t>
            </w:r>
          </w:p>
        </w:tc>
        <w:tc>
          <w:tcPr>
            <w:tcW w:w="0" w:type="pct"/>
            <w:tcBorders>
              <w:top w:val="single" w:sz="4" w:space="0" w:color="auto"/>
              <w:left w:val="nil"/>
              <w:bottom w:val="single" w:sz="4" w:space="0" w:color="auto"/>
              <w:right w:val="single" w:sz="4" w:space="0" w:color="auto"/>
            </w:tcBorders>
            <w:shd w:val="clear" w:color="000000" w:fill="BFBFBF"/>
            <w:noWrap/>
            <w:hideMark/>
          </w:tcPr>
          <w:p w14:paraId="7A376430" w14:textId="4EE9F709" w:rsidR="00C1503E" w:rsidRPr="008D54A5" w:rsidRDefault="00C1503E" w:rsidP="00C1503E">
            <w:pPr>
              <w:pStyle w:val="TableHeading-10"/>
            </w:pPr>
            <w:r w:rsidRPr="008D54A5">
              <w:t>2022</w:t>
            </w:r>
          </w:p>
        </w:tc>
      </w:tr>
      <w:tr w:rsidR="00C1503E" w:rsidRPr="008D54A5" w14:paraId="73BA2FA7" w14:textId="77777777" w:rsidTr="006E4110">
        <w:trPr>
          <w:trHeight w:val="20"/>
        </w:trPr>
        <w:tc>
          <w:tcPr>
            <w:tcW w:w="2258" w:type="pct"/>
            <w:noWrap/>
            <w:hideMark/>
          </w:tcPr>
          <w:p w14:paraId="79DB0A70" w14:textId="77777777" w:rsidR="00C1503E" w:rsidRPr="008D54A5" w:rsidRDefault="00C1503E" w:rsidP="00E47419">
            <w:pPr>
              <w:pStyle w:val="TableText-10"/>
            </w:pPr>
            <w:r w:rsidRPr="008D54A5">
              <w:t>Payments &lt; Charges, Adjustments (DISADJ)</w:t>
            </w:r>
          </w:p>
        </w:tc>
        <w:tc>
          <w:tcPr>
            <w:tcW w:w="457" w:type="pct"/>
            <w:tcBorders>
              <w:top w:val="single" w:sz="4" w:space="0" w:color="auto"/>
              <w:left w:val="single" w:sz="4" w:space="0" w:color="auto"/>
              <w:bottom w:val="single" w:sz="4" w:space="0" w:color="auto"/>
              <w:right w:val="single" w:sz="4" w:space="0" w:color="auto"/>
            </w:tcBorders>
            <w:shd w:val="clear" w:color="auto" w:fill="auto"/>
          </w:tcPr>
          <w:p w14:paraId="3EC5B9B4" w14:textId="00B704D1" w:rsidR="00C1503E" w:rsidRPr="008D54A5" w:rsidRDefault="00C1503E" w:rsidP="00E47419">
            <w:pPr>
              <w:pStyle w:val="Tabltext-dec-9"/>
            </w:pPr>
            <w:r w:rsidRPr="008D54A5">
              <w:t>97.9</w:t>
            </w:r>
          </w:p>
        </w:tc>
        <w:tc>
          <w:tcPr>
            <w:tcW w:w="457" w:type="pct"/>
            <w:tcBorders>
              <w:top w:val="single" w:sz="4" w:space="0" w:color="auto"/>
              <w:left w:val="nil"/>
              <w:bottom w:val="single" w:sz="4" w:space="0" w:color="auto"/>
              <w:right w:val="single" w:sz="4" w:space="0" w:color="auto"/>
            </w:tcBorders>
            <w:shd w:val="clear" w:color="auto" w:fill="auto"/>
          </w:tcPr>
          <w:p w14:paraId="61E42CA7" w14:textId="084072A9" w:rsidR="00C1503E" w:rsidRPr="008D54A5" w:rsidRDefault="00C1503E" w:rsidP="00E47419">
            <w:pPr>
              <w:pStyle w:val="Tabltext-dec-9"/>
            </w:pPr>
            <w:r w:rsidRPr="008D54A5">
              <w:t>97.6</w:t>
            </w:r>
          </w:p>
        </w:tc>
        <w:tc>
          <w:tcPr>
            <w:tcW w:w="457" w:type="pct"/>
            <w:tcBorders>
              <w:top w:val="single" w:sz="4" w:space="0" w:color="auto"/>
              <w:left w:val="nil"/>
              <w:bottom w:val="single" w:sz="4" w:space="0" w:color="auto"/>
              <w:right w:val="single" w:sz="4" w:space="0" w:color="auto"/>
            </w:tcBorders>
            <w:shd w:val="clear" w:color="auto" w:fill="auto"/>
            <w:noWrap/>
            <w:hideMark/>
          </w:tcPr>
          <w:p w14:paraId="632C5575" w14:textId="2B7B81BB" w:rsidR="00C1503E" w:rsidRPr="008D54A5" w:rsidRDefault="00C1503E" w:rsidP="00E47419">
            <w:pPr>
              <w:pStyle w:val="Tabltext-dec-9"/>
            </w:pPr>
            <w:r w:rsidRPr="008D54A5">
              <w:t>97.8</w:t>
            </w:r>
          </w:p>
        </w:tc>
        <w:tc>
          <w:tcPr>
            <w:tcW w:w="457" w:type="pct"/>
            <w:tcBorders>
              <w:top w:val="single" w:sz="4" w:space="0" w:color="auto"/>
              <w:left w:val="nil"/>
              <w:bottom w:val="single" w:sz="4" w:space="0" w:color="auto"/>
              <w:right w:val="single" w:sz="4" w:space="0" w:color="auto"/>
            </w:tcBorders>
            <w:shd w:val="clear" w:color="auto" w:fill="auto"/>
          </w:tcPr>
          <w:p w14:paraId="54546831" w14:textId="3C2CBB16" w:rsidR="00C1503E" w:rsidRPr="008D54A5" w:rsidRDefault="00C1503E" w:rsidP="00E47419">
            <w:pPr>
              <w:pStyle w:val="Tabltext-dec-9"/>
            </w:pPr>
            <w:r w:rsidRPr="008D54A5">
              <w:t>0.3</w:t>
            </w:r>
          </w:p>
        </w:tc>
        <w:tc>
          <w:tcPr>
            <w:tcW w:w="457" w:type="pct"/>
            <w:tcBorders>
              <w:top w:val="single" w:sz="4" w:space="0" w:color="auto"/>
              <w:left w:val="nil"/>
              <w:bottom w:val="single" w:sz="4" w:space="0" w:color="auto"/>
              <w:right w:val="single" w:sz="4" w:space="0" w:color="auto"/>
            </w:tcBorders>
            <w:shd w:val="clear" w:color="auto" w:fill="auto"/>
          </w:tcPr>
          <w:p w14:paraId="5BE706B3" w14:textId="1B121C84" w:rsidR="00C1503E" w:rsidRPr="008D54A5" w:rsidRDefault="00C1503E" w:rsidP="00E47419">
            <w:pPr>
              <w:pStyle w:val="Tabltext-dec-9"/>
            </w:pPr>
            <w:r w:rsidRPr="008D54A5">
              <w:t>0.2</w:t>
            </w:r>
          </w:p>
        </w:tc>
        <w:tc>
          <w:tcPr>
            <w:tcW w:w="457" w:type="pct"/>
            <w:tcBorders>
              <w:top w:val="single" w:sz="4" w:space="0" w:color="auto"/>
              <w:left w:val="nil"/>
              <w:bottom w:val="single" w:sz="4" w:space="0" w:color="auto"/>
              <w:right w:val="single" w:sz="4" w:space="0" w:color="auto"/>
            </w:tcBorders>
            <w:shd w:val="clear" w:color="auto" w:fill="auto"/>
            <w:noWrap/>
            <w:hideMark/>
          </w:tcPr>
          <w:p w14:paraId="027E41F5" w14:textId="20DCA3C2" w:rsidR="00C1503E" w:rsidRPr="008D54A5" w:rsidRDefault="00C1503E" w:rsidP="00E47419">
            <w:pPr>
              <w:pStyle w:val="Tabltext-dec-9"/>
            </w:pPr>
            <w:r w:rsidRPr="008D54A5">
              <w:t>0.1</w:t>
            </w:r>
          </w:p>
        </w:tc>
      </w:tr>
      <w:tr w:rsidR="00C1503E" w:rsidRPr="008D54A5" w14:paraId="41380903" w14:textId="77777777" w:rsidTr="006E4110">
        <w:trPr>
          <w:trHeight w:val="20"/>
        </w:trPr>
        <w:tc>
          <w:tcPr>
            <w:tcW w:w="2258" w:type="pct"/>
            <w:noWrap/>
            <w:hideMark/>
          </w:tcPr>
          <w:p w14:paraId="48C308F0" w14:textId="77777777" w:rsidR="00C1503E" w:rsidRPr="008D54A5" w:rsidRDefault="00C1503E" w:rsidP="00E47419">
            <w:pPr>
              <w:pStyle w:val="TableText-10"/>
            </w:pPr>
            <w:r w:rsidRPr="008D54A5">
              <w:t>Payments &lt; Charges, Expecting Additional Payment (MOREPAY)</w:t>
            </w:r>
          </w:p>
        </w:tc>
        <w:tc>
          <w:tcPr>
            <w:tcW w:w="457" w:type="pct"/>
            <w:tcBorders>
              <w:top w:val="nil"/>
              <w:left w:val="single" w:sz="4" w:space="0" w:color="auto"/>
              <w:bottom w:val="single" w:sz="4" w:space="0" w:color="auto"/>
              <w:right w:val="single" w:sz="4" w:space="0" w:color="auto"/>
            </w:tcBorders>
            <w:shd w:val="clear" w:color="auto" w:fill="auto"/>
          </w:tcPr>
          <w:p w14:paraId="2A9E9D86" w14:textId="4B831EF8" w:rsidR="00C1503E" w:rsidRPr="008D54A5" w:rsidRDefault="00C1503E" w:rsidP="00E47419">
            <w:pPr>
              <w:pStyle w:val="Tabltext-dec-9"/>
            </w:pPr>
            <w:r w:rsidRPr="008D54A5">
              <w:t>4.8</w:t>
            </w:r>
          </w:p>
        </w:tc>
        <w:tc>
          <w:tcPr>
            <w:tcW w:w="457" w:type="pct"/>
            <w:tcBorders>
              <w:top w:val="nil"/>
              <w:left w:val="nil"/>
              <w:bottom w:val="single" w:sz="4" w:space="0" w:color="auto"/>
              <w:right w:val="single" w:sz="4" w:space="0" w:color="auto"/>
            </w:tcBorders>
            <w:shd w:val="clear" w:color="auto" w:fill="auto"/>
          </w:tcPr>
          <w:p w14:paraId="3FE42970" w14:textId="0047F39A" w:rsidR="00C1503E" w:rsidRPr="008D54A5" w:rsidRDefault="00C1503E" w:rsidP="00E47419">
            <w:pPr>
              <w:pStyle w:val="Tabltext-dec-9"/>
            </w:pPr>
            <w:r w:rsidRPr="008D54A5">
              <w:t>4.5</w:t>
            </w:r>
          </w:p>
        </w:tc>
        <w:tc>
          <w:tcPr>
            <w:tcW w:w="457" w:type="pct"/>
            <w:tcBorders>
              <w:top w:val="nil"/>
              <w:left w:val="nil"/>
              <w:bottom w:val="single" w:sz="4" w:space="0" w:color="auto"/>
              <w:right w:val="single" w:sz="4" w:space="0" w:color="auto"/>
            </w:tcBorders>
            <w:shd w:val="clear" w:color="auto" w:fill="auto"/>
            <w:noWrap/>
            <w:hideMark/>
          </w:tcPr>
          <w:p w14:paraId="7D3AAEFC" w14:textId="635916D0" w:rsidR="00C1503E" w:rsidRPr="008D54A5" w:rsidRDefault="00C1503E" w:rsidP="00E47419">
            <w:pPr>
              <w:pStyle w:val="Tabltext-dec-9"/>
            </w:pPr>
            <w:r w:rsidRPr="008D54A5">
              <w:t>5.1</w:t>
            </w:r>
          </w:p>
        </w:tc>
        <w:tc>
          <w:tcPr>
            <w:tcW w:w="457" w:type="pct"/>
            <w:tcBorders>
              <w:top w:val="nil"/>
              <w:left w:val="nil"/>
              <w:bottom w:val="single" w:sz="4" w:space="0" w:color="auto"/>
              <w:right w:val="single" w:sz="4" w:space="0" w:color="auto"/>
            </w:tcBorders>
            <w:shd w:val="clear" w:color="auto" w:fill="auto"/>
          </w:tcPr>
          <w:p w14:paraId="0E7E8962" w14:textId="6BCD086C"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0E198683" w14:textId="33C8FDD0"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43B35591" w14:textId="40BDE1AA" w:rsidR="00C1503E" w:rsidRPr="008D54A5" w:rsidRDefault="00C1503E" w:rsidP="00E47419">
            <w:pPr>
              <w:pStyle w:val="Tabltext-dec-9"/>
            </w:pPr>
            <w:r w:rsidRPr="008D54A5">
              <w:t>0.1</w:t>
            </w:r>
          </w:p>
        </w:tc>
      </w:tr>
      <w:tr w:rsidR="00C1503E" w:rsidRPr="008D54A5" w14:paraId="71AAA9C7" w14:textId="77777777" w:rsidTr="006E4110">
        <w:trPr>
          <w:trHeight w:val="20"/>
        </w:trPr>
        <w:tc>
          <w:tcPr>
            <w:tcW w:w="2258" w:type="pct"/>
            <w:noWrap/>
            <w:hideMark/>
          </w:tcPr>
          <w:p w14:paraId="1DBEA0B1" w14:textId="77777777" w:rsidR="00C1503E" w:rsidRPr="008D54A5" w:rsidRDefault="00C1503E" w:rsidP="00E47419">
            <w:pPr>
              <w:pStyle w:val="TableText-10"/>
            </w:pPr>
            <w:r w:rsidRPr="008D54A5">
              <w:t>Payments &lt; Charges, Charity (SLIDSCA2)</w:t>
            </w:r>
          </w:p>
        </w:tc>
        <w:tc>
          <w:tcPr>
            <w:tcW w:w="457" w:type="pct"/>
            <w:tcBorders>
              <w:top w:val="nil"/>
              <w:left w:val="single" w:sz="4" w:space="0" w:color="auto"/>
              <w:bottom w:val="single" w:sz="4" w:space="0" w:color="auto"/>
              <w:right w:val="single" w:sz="4" w:space="0" w:color="auto"/>
            </w:tcBorders>
            <w:shd w:val="clear" w:color="auto" w:fill="auto"/>
          </w:tcPr>
          <w:p w14:paraId="08D8694A" w14:textId="4F870D13" w:rsidR="00C1503E" w:rsidRPr="008D54A5" w:rsidRDefault="00C1503E" w:rsidP="00E47419">
            <w:pPr>
              <w:pStyle w:val="Tabltext-dec-9"/>
            </w:pPr>
            <w:r w:rsidRPr="008D54A5">
              <w:t>1.5</w:t>
            </w:r>
          </w:p>
        </w:tc>
        <w:tc>
          <w:tcPr>
            <w:tcW w:w="457" w:type="pct"/>
            <w:tcBorders>
              <w:top w:val="nil"/>
              <w:left w:val="nil"/>
              <w:bottom w:val="single" w:sz="4" w:space="0" w:color="auto"/>
              <w:right w:val="single" w:sz="4" w:space="0" w:color="auto"/>
            </w:tcBorders>
            <w:shd w:val="clear" w:color="auto" w:fill="auto"/>
          </w:tcPr>
          <w:p w14:paraId="0BD9148F" w14:textId="0B0D7556" w:rsidR="00C1503E" w:rsidRPr="008D54A5" w:rsidRDefault="00C1503E" w:rsidP="00E47419">
            <w:pPr>
              <w:pStyle w:val="Tabltext-dec-9"/>
            </w:pPr>
            <w:r w:rsidRPr="008D54A5">
              <w:t>1.4</w:t>
            </w:r>
          </w:p>
        </w:tc>
        <w:tc>
          <w:tcPr>
            <w:tcW w:w="457" w:type="pct"/>
            <w:tcBorders>
              <w:top w:val="nil"/>
              <w:left w:val="nil"/>
              <w:bottom w:val="single" w:sz="4" w:space="0" w:color="auto"/>
              <w:right w:val="single" w:sz="4" w:space="0" w:color="auto"/>
            </w:tcBorders>
            <w:shd w:val="clear" w:color="auto" w:fill="auto"/>
            <w:noWrap/>
            <w:hideMark/>
          </w:tcPr>
          <w:p w14:paraId="35276FA8" w14:textId="1E5B1925" w:rsidR="00C1503E" w:rsidRPr="008D54A5" w:rsidRDefault="00C1503E" w:rsidP="00E47419">
            <w:pPr>
              <w:pStyle w:val="Tabltext-dec-9"/>
            </w:pPr>
            <w:r w:rsidRPr="008D54A5">
              <w:t>1.4</w:t>
            </w:r>
          </w:p>
        </w:tc>
        <w:tc>
          <w:tcPr>
            <w:tcW w:w="457" w:type="pct"/>
            <w:tcBorders>
              <w:top w:val="nil"/>
              <w:left w:val="nil"/>
              <w:bottom w:val="single" w:sz="4" w:space="0" w:color="auto"/>
              <w:right w:val="single" w:sz="4" w:space="0" w:color="auto"/>
            </w:tcBorders>
            <w:shd w:val="clear" w:color="auto" w:fill="auto"/>
          </w:tcPr>
          <w:p w14:paraId="0B669415" w14:textId="27E05D0F"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292D54C7" w14:textId="655EE043"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3425EFB2" w14:textId="03CE660D" w:rsidR="00C1503E" w:rsidRPr="008D54A5" w:rsidRDefault="00C1503E" w:rsidP="00E47419">
            <w:pPr>
              <w:pStyle w:val="Tabltext-dec-9"/>
            </w:pPr>
            <w:r w:rsidRPr="008D54A5">
              <w:t>0.1</w:t>
            </w:r>
          </w:p>
        </w:tc>
      </w:tr>
      <w:tr w:rsidR="00C1503E" w:rsidRPr="008D54A5" w14:paraId="47BFDB35" w14:textId="77777777" w:rsidTr="006E4110">
        <w:trPr>
          <w:trHeight w:val="20"/>
        </w:trPr>
        <w:tc>
          <w:tcPr>
            <w:tcW w:w="2258" w:type="pct"/>
            <w:noWrap/>
            <w:hideMark/>
          </w:tcPr>
          <w:p w14:paraId="3B403147" w14:textId="77777777" w:rsidR="00C1503E" w:rsidRPr="008D54A5" w:rsidRDefault="00C1503E" w:rsidP="00E47419">
            <w:pPr>
              <w:pStyle w:val="TableText-10"/>
            </w:pPr>
            <w:r w:rsidRPr="008D54A5">
              <w:t>Payments &lt; Charges, Bad Debt (BADDEB2)</w:t>
            </w:r>
          </w:p>
        </w:tc>
        <w:tc>
          <w:tcPr>
            <w:tcW w:w="457" w:type="pct"/>
            <w:tcBorders>
              <w:top w:val="nil"/>
              <w:left w:val="single" w:sz="4" w:space="0" w:color="auto"/>
              <w:bottom w:val="single" w:sz="4" w:space="0" w:color="auto"/>
              <w:right w:val="single" w:sz="4" w:space="0" w:color="auto"/>
            </w:tcBorders>
            <w:shd w:val="clear" w:color="auto" w:fill="auto"/>
          </w:tcPr>
          <w:p w14:paraId="0BB9D09C" w14:textId="202DAFEE" w:rsidR="00C1503E" w:rsidRPr="008D54A5" w:rsidRDefault="00C1503E" w:rsidP="00E47419">
            <w:pPr>
              <w:pStyle w:val="Tabltext-dec-9"/>
            </w:pPr>
            <w:r w:rsidRPr="008D54A5">
              <w:t>0.5</w:t>
            </w:r>
          </w:p>
        </w:tc>
        <w:tc>
          <w:tcPr>
            <w:tcW w:w="457" w:type="pct"/>
            <w:tcBorders>
              <w:top w:val="nil"/>
              <w:left w:val="nil"/>
              <w:bottom w:val="single" w:sz="4" w:space="0" w:color="auto"/>
              <w:right w:val="single" w:sz="4" w:space="0" w:color="auto"/>
            </w:tcBorders>
            <w:shd w:val="clear" w:color="auto" w:fill="auto"/>
          </w:tcPr>
          <w:p w14:paraId="044A7C06" w14:textId="13C30193" w:rsidR="00C1503E" w:rsidRPr="008D54A5" w:rsidRDefault="00C1503E" w:rsidP="00E47419">
            <w:pPr>
              <w:pStyle w:val="Tabltext-dec-9"/>
            </w:pPr>
            <w:r w:rsidRPr="008D54A5">
              <w:t>0.7</w:t>
            </w:r>
          </w:p>
        </w:tc>
        <w:tc>
          <w:tcPr>
            <w:tcW w:w="457" w:type="pct"/>
            <w:tcBorders>
              <w:top w:val="nil"/>
              <w:left w:val="nil"/>
              <w:bottom w:val="single" w:sz="4" w:space="0" w:color="auto"/>
              <w:right w:val="single" w:sz="4" w:space="0" w:color="auto"/>
            </w:tcBorders>
            <w:shd w:val="clear" w:color="auto" w:fill="auto"/>
            <w:noWrap/>
            <w:hideMark/>
          </w:tcPr>
          <w:p w14:paraId="28AF3F8B" w14:textId="3B201C26" w:rsidR="00C1503E" w:rsidRPr="008D54A5" w:rsidRDefault="00C1503E" w:rsidP="00E47419">
            <w:pPr>
              <w:pStyle w:val="Tabltext-dec-9"/>
            </w:pPr>
            <w:r w:rsidRPr="008D54A5">
              <w:t>0.6</w:t>
            </w:r>
          </w:p>
        </w:tc>
        <w:tc>
          <w:tcPr>
            <w:tcW w:w="457" w:type="pct"/>
            <w:tcBorders>
              <w:top w:val="nil"/>
              <w:left w:val="nil"/>
              <w:bottom w:val="single" w:sz="4" w:space="0" w:color="auto"/>
              <w:right w:val="single" w:sz="4" w:space="0" w:color="auto"/>
            </w:tcBorders>
            <w:shd w:val="clear" w:color="auto" w:fill="auto"/>
          </w:tcPr>
          <w:p w14:paraId="66FBEDC7" w14:textId="59E4BD0A"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42F54538" w14:textId="3734FD4D"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474FE2C1" w14:textId="06E6568E" w:rsidR="00C1503E" w:rsidRPr="008D54A5" w:rsidRDefault="00C1503E" w:rsidP="00E47419">
            <w:pPr>
              <w:pStyle w:val="Tabltext-dec-9"/>
            </w:pPr>
            <w:r w:rsidRPr="008D54A5">
              <w:t>0.1</w:t>
            </w:r>
          </w:p>
        </w:tc>
      </w:tr>
      <w:tr w:rsidR="00C1503E" w:rsidRPr="008D54A5" w14:paraId="2534B29B" w14:textId="77777777" w:rsidTr="006E4110">
        <w:trPr>
          <w:trHeight w:val="20"/>
        </w:trPr>
        <w:tc>
          <w:tcPr>
            <w:tcW w:w="2258" w:type="pct"/>
            <w:noWrap/>
            <w:hideMark/>
          </w:tcPr>
          <w:p w14:paraId="26495214" w14:textId="77777777" w:rsidR="00C1503E" w:rsidRPr="008D54A5" w:rsidRDefault="00C1503E" w:rsidP="00E47419">
            <w:pPr>
              <w:pStyle w:val="TableText-10"/>
            </w:pPr>
            <w:r w:rsidRPr="008D54A5">
              <w:t>Expect Additional Payment, Patient (EPAYPAT)</w:t>
            </w:r>
          </w:p>
        </w:tc>
        <w:tc>
          <w:tcPr>
            <w:tcW w:w="457" w:type="pct"/>
            <w:tcBorders>
              <w:top w:val="nil"/>
              <w:left w:val="single" w:sz="4" w:space="0" w:color="auto"/>
              <w:bottom w:val="single" w:sz="4" w:space="0" w:color="auto"/>
              <w:right w:val="single" w:sz="4" w:space="0" w:color="auto"/>
            </w:tcBorders>
            <w:shd w:val="clear" w:color="auto" w:fill="auto"/>
          </w:tcPr>
          <w:p w14:paraId="6879F65E" w14:textId="4D93486C" w:rsidR="00C1503E" w:rsidRPr="008D54A5" w:rsidRDefault="00C1503E" w:rsidP="00E47419">
            <w:pPr>
              <w:pStyle w:val="Tabltext-dec-9"/>
            </w:pPr>
            <w:r w:rsidRPr="008D54A5">
              <w:t>3.1</w:t>
            </w:r>
          </w:p>
        </w:tc>
        <w:tc>
          <w:tcPr>
            <w:tcW w:w="457" w:type="pct"/>
            <w:tcBorders>
              <w:top w:val="nil"/>
              <w:left w:val="nil"/>
              <w:bottom w:val="single" w:sz="4" w:space="0" w:color="auto"/>
              <w:right w:val="single" w:sz="4" w:space="0" w:color="auto"/>
            </w:tcBorders>
            <w:shd w:val="clear" w:color="auto" w:fill="auto"/>
          </w:tcPr>
          <w:p w14:paraId="546C48D9" w14:textId="264E31F9" w:rsidR="00C1503E" w:rsidRPr="008D54A5" w:rsidRDefault="00C1503E" w:rsidP="00E47419">
            <w:pPr>
              <w:pStyle w:val="Tabltext-dec-9"/>
            </w:pPr>
            <w:r w:rsidRPr="008D54A5">
              <w:t>2.7</w:t>
            </w:r>
          </w:p>
        </w:tc>
        <w:tc>
          <w:tcPr>
            <w:tcW w:w="457" w:type="pct"/>
            <w:tcBorders>
              <w:top w:val="nil"/>
              <w:left w:val="nil"/>
              <w:bottom w:val="single" w:sz="4" w:space="0" w:color="auto"/>
              <w:right w:val="single" w:sz="4" w:space="0" w:color="auto"/>
            </w:tcBorders>
            <w:shd w:val="clear" w:color="auto" w:fill="auto"/>
            <w:noWrap/>
            <w:hideMark/>
          </w:tcPr>
          <w:p w14:paraId="65DE8A3A" w14:textId="20DFF606" w:rsidR="00C1503E" w:rsidRPr="008D54A5" w:rsidRDefault="00C1503E" w:rsidP="00E47419">
            <w:pPr>
              <w:pStyle w:val="Tabltext-dec-9"/>
            </w:pPr>
            <w:r w:rsidRPr="008D54A5">
              <w:t>3.1</w:t>
            </w:r>
          </w:p>
        </w:tc>
        <w:tc>
          <w:tcPr>
            <w:tcW w:w="457" w:type="pct"/>
            <w:tcBorders>
              <w:top w:val="nil"/>
              <w:left w:val="nil"/>
              <w:bottom w:val="single" w:sz="4" w:space="0" w:color="auto"/>
              <w:right w:val="single" w:sz="4" w:space="0" w:color="auto"/>
            </w:tcBorders>
            <w:shd w:val="clear" w:color="auto" w:fill="auto"/>
          </w:tcPr>
          <w:p w14:paraId="7E981BB9" w14:textId="4AEE127B"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39C0188A" w14:textId="2A47CB68"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2F3C7FCF" w14:textId="1F531CA4" w:rsidR="00C1503E" w:rsidRPr="008D54A5" w:rsidRDefault="00C1503E" w:rsidP="00E47419">
            <w:pPr>
              <w:pStyle w:val="Tabltext-dec-9"/>
            </w:pPr>
            <w:r w:rsidRPr="008D54A5">
              <w:t>0.1</w:t>
            </w:r>
          </w:p>
        </w:tc>
      </w:tr>
      <w:tr w:rsidR="00C1503E" w:rsidRPr="008D54A5" w14:paraId="6FCEC434" w14:textId="77777777" w:rsidTr="006E4110">
        <w:trPr>
          <w:trHeight w:val="20"/>
        </w:trPr>
        <w:tc>
          <w:tcPr>
            <w:tcW w:w="2258" w:type="pct"/>
            <w:noWrap/>
            <w:hideMark/>
          </w:tcPr>
          <w:p w14:paraId="71B4A139" w14:textId="77777777" w:rsidR="00C1503E" w:rsidRPr="008D54A5" w:rsidRDefault="00C1503E" w:rsidP="00E47419">
            <w:pPr>
              <w:pStyle w:val="TableText-10"/>
            </w:pPr>
            <w:r w:rsidRPr="008D54A5">
              <w:t>Expect Additional Payment, Medicare (EPAYCAR)</w:t>
            </w:r>
          </w:p>
        </w:tc>
        <w:tc>
          <w:tcPr>
            <w:tcW w:w="457" w:type="pct"/>
            <w:tcBorders>
              <w:top w:val="nil"/>
              <w:left w:val="single" w:sz="4" w:space="0" w:color="auto"/>
              <w:bottom w:val="single" w:sz="4" w:space="0" w:color="auto"/>
              <w:right w:val="single" w:sz="4" w:space="0" w:color="auto"/>
            </w:tcBorders>
            <w:shd w:val="clear" w:color="auto" w:fill="auto"/>
          </w:tcPr>
          <w:p w14:paraId="12AA13FF" w14:textId="527E7A79" w:rsidR="00C1503E" w:rsidRPr="008D54A5" w:rsidRDefault="00C1503E" w:rsidP="00E47419">
            <w:pPr>
              <w:pStyle w:val="Tabltext-dec-9"/>
            </w:pPr>
            <w:r w:rsidRPr="008D54A5">
              <w:t>0.6</w:t>
            </w:r>
          </w:p>
        </w:tc>
        <w:tc>
          <w:tcPr>
            <w:tcW w:w="457" w:type="pct"/>
            <w:tcBorders>
              <w:top w:val="nil"/>
              <w:left w:val="nil"/>
              <w:bottom w:val="single" w:sz="4" w:space="0" w:color="auto"/>
              <w:right w:val="single" w:sz="4" w:space="0" w:color="auto"/>
            </w:tcBorders>
            <w:shd w:val="clear" w:color="auto" w:fill="auto"/>
          </w:tcPr>
          <w:p w14:paraId="2A7452A1" w14:textId="592D44F4" w:rsidR="00C1503E" w:rsidRPr="008D54A5" w:rsidRDefault="00C1503E" w:rsidP="00E47419">
            <w:pPr>
              <w:pStyle w:val="Tabltext-dec-9"/>
            </w:pPr>
            <w:r w:rsidRPr="008D54A5">
              <w:t>0.8</w:t>
            </w:r>
          </w:p>
        </w:tc>
        <w:tc>
          <w:tcPr>
            <w:tcW w:w="457" w:type="pct"/>
            <w:tcBorders>
              <w:top w:val="nil"/>
              <w:left w:val="nil"/>
              <w:bottom w:val="single" w:sz="4" w:space="0" w:color="auto"/>
              <w:right w:val="single" w:sz="4" w:space="0" w:color="auto"/>
            </w:tcBorders>
            <w:shd w:val="clear" w:color="auto" w:fill="auto"/>
            <w:noWrap/>
            <w:hideMark/>
          </w:tcPr>
          <w:p w14:paraId="3999FB66" w14:textId="38BB2C0B" w:rsidR="00C1503E" w:rsidRPr="008D54A5" w:rsidRDefault="00C1503E" w:rsidP="00E47419">
            <w:pPr>
              <w:pStyle w:val="Tabltext-dec-9"/>
            </w:pPr>
            <w:r w:rsidRPr="008D54A5">
              <w:t>0.6</w:t>
            </w:r>
          </w:p>
        </w:tc>
        <w:tc>
          <w:tcPr>
            <w:tcW w:w="457" w:type="pct"/>
            <w:tcBorders>
              <w:top w:val="nil"/>
              <w:left w:val="nil"/>
              <w:bottom w:val="single" w:sz="4" w:space="0" w:color="auto"/>
              <w:right w:val="single" w:sz="4" w:space="0" w:color="auto"/>
            </w:tcBorders>
            <w:shd w:val="clear" w:color="auto" w:fill="auto"/>
          </w:tcPr>
          <w:p w14:paraId="5AAE7668" w14:textId="7F956EF2"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03A431BC" w14:textId="22CE28A9"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16A0194B" w14:textId="59FAA0DA" w:rsidR="00C1503E" w:rsidRPr="008D54A5" w:rsidRDefault="00C1503E" w:rsidP="00E47419">
            <w:pPr>
              <w:pStyle w:val="Tabltext-dec-9"/>
            </w:pPr>
            <w:r w:rsidRPr="008D54A5">
              <w:t>0.1</w:t>
            </w:r>
          </w:p>
        </w:tc>
      </w:tr>
      <w:tr w:rsidR="00C1503E" w:rsidRPr="008D54A5" w14:paraId="798063C0" w14:textId="77777777" w:rsidTr="006E4110">
        <w:trPr>
          <w:trHeight w:val="20"/>
        </w:trPr>
        <w:tc>
          <w:tcPr>
            <w:tcW w:w="2258" w:type="pct"/>
            <w:noWrap/>
            <w:hideMark/>
          </w:tcPr>
          <w:p w14:paraId="6A49EC5C" w14:textId="77777777" w:rsidR="00C1503E" w:rsidRPr="008D54A5" w:rsidRDefault="00C1503E" w:rsidP="00E47419">
            <w:pPr>
              <w:pStyle w:val="TableText-10"/>
            </w:pPr>
            <w:r w:rsidRPr="008D54A5">
              <w:t>Expect Additional Payment, Medicaid (EPAYAID)</w:t>
            </w:r>
          </w:p>
        </w:tc>
        <w:tc>
          <w:tcPr>
            <w:tcW w:w="457" w:type="pct"/>
            <w:tcBorders>
              <w:top w:val="nil"/>
              <w:left w:val="single" w:sz="4" w:space="0" w:color="auto"/>
              <w:bottom w:val="single" w:sz="4" w:space="0" w:color="auto"/>
              <w:right w:val="single" w:sz="4" w:space="0" w:color="auto"/>
            </w:tcBorders>
            <w:shd w:val="clear" w:color="auto" w:fill="auto"/>
          </w:tcPr>
          <w:p w14:paraId="6F635CA3" w14:textId="7EF9B3A4" w:rsidR="00C1503E" w:rsidRPr="008D54A5" w:rsidRDefault="00C1503E" w:rsidP="00E47419">
            <w:pPr>
              <w:pStyle w:val="Tabltext-dec-9"/>
            </w:pPr>
            <w:r w:rsidRPr="008D54A5">
              <w:t>0.4</w:t>
            </w:r>
          </w:p>
        </w:tc>
        <w:tc>
          <w:tcPr>
            <w:tcW w:w="457" w:type="pct"/>
            <w:tcBorders>
              <w:top w:val="nil"/>
              <w:left w:val="nil"/>
              <w:bottom w:val="single" w:sz="4" w:space="0" w:color="auto"/>
              <w:right w:val="single" w:sz="4" w:space="0" w:color="auto"/>
            </w:tcBorders>
            <w:shd w:val="clear" w:color="auto" w:fill="auto"/>
          </w:tcPr>
          <w:p w14:paraId="572C8B93" w14:textId="4C6DA2B9" w:rsidR="00C1503E" w:rsidRPr="008D54A5" w:rsidRDefault="00C1503E" w:rsidP="00E47419">
            <w:pPr>
              <w:pStyle w:val="Tabltext-dec-9"/>
            </w:pPr>
            <w:r w:rsidRPr="008D54A5">
              <w:t>0.6</w:t>
            </w:r>
          </w:p>
        </w:tc>
        <w:tc>
          <w:tcPr>
            <w:tcW w:w="457" w:type="pct"/>
            <w:tcBorders>
              <w:top w:val="nil"/>
              <w:left w:val="nil"/>
              <w:bottom w:val="single" w:sz="4" w:space="0" w:color="auto"/>
              <w:right w:val="single" w:sz="4" w:space="0" w:color="auto"/>
            </w:tcBorders>
            <w:shd w:val="clear" w:color="auto" w:fill="auto"/>
            <w:noWrap/>
            <w:hideMark/>
          </w:tcPr>
          <w:p w14:paraId="30FD6DCC" w14:textId="25086EB2" w:rsidR="00C1503E" w:rsidRPr="008D54A5" w:rsidRDefault="00C1503E" w:rsidP="00E47419">
            <w:pPr>
              <w:pStyle w:val="Tabltext-dec-9"/>
            </w:pPr>
            <w:r w:rsidRPr="008D54A5">
              <w:t>0.5</w:t>
            </w:r>
          </w:p>
        </w:tc>
        <w:tc>
          <w:tcPr>
            <w:tcW w:w="457" w:type="pct"/>
            <w:tcBorders>
              <w:top w:val="nil"/>
              <w:left w:val="nil"/>
              <w:bottom w:val="single" w:sz="4" w:space="0" w:color="auto"/>
              <w:right w:val="single" w:sz="4" w:space="0" w:color="auto"/>
            </w:tcBorders>
            <w:shd w:val="clear" w:color="auto" w:fill="auto"/>
          </w:tcPr>
          <w:p w14:paraId="3A7E16BB" w14:textId="4F8B742F"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2C7D01E1" w14:textId="33F520E4"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659A373E" w14:textId="5DFBA14B" w:rsidR="00C1503E" w:rsidRPr="008D54A5" w:rsidRDefault="00C1503E" w:rsidP="00E47419">
            <w:pPr>
              <w:pStyle w:val="Tabltext-dec-9"/>
            </w:pPr>
            <w:r w:rsidRPr="008D54A5">
              <w:t>0.1</w:t>
            </w:r>
          </w:p>
        </w:tc>
      </w:tr>
      <w:tr w:rsidR="00C1503E" w:rsidRPr="008D54A5" w14:paraId="6031A7E1" w14:textId="77777777" w:rsidTr="006E4110">
        <w:trPr>
          <w:trHeight w:val="20"/>
        </w:trPr>
        <w:tc>
          <w:tcPr>
            <w:tcW w:w="2258" w:type="pct"/>
            <w:noWrap/>
            <w:hideMark/>
          </w:tcPr>
          <w:p w14:paraId="4D7FB5FC" w14:textId="77777777" w:rsidR="00C1503E" w:rsidRPr="008D54A5" w:rsidRDefault="00C1503E" w:rsidP="00E47419">
            <w:pPr>
              <w:pStyle w:val="TableText-10"/>
            </w:pPr>
            <w:r w:rsidRPr="008D54A5">
              <w:t>Expect Additional Payment, Private Insurance (EPAYPINS)</w:t>
            </w:r>
          </w:p>
        </w:tc>
        <w:tc>
          <w:tcPr>
            <w:tcW w:w="457" w:type="pct"/>
            <w:tcBorders>
              <w:top w:val="nil"/>
              <w:left w:val="single" w:sz="4" w:space="0" w:color="auto"/>
              <w:bottom w:val="single" w:sz="4" w:space="0" w:color="auto"/>
              <w:right w:val="single" w:sz="4" w:space="0" w:color="auto"/>
            </w:tcBorders>
            <w:shd w:val="clear" w:color="auto" w:fill="auto"/>
          </w:tcPr>
          <w:p w14:paraId="76F2D0B9" w14:textId="1967AB9E" w:rsidR="00C1503E" w:rsidRPr="008D54A5" w:rsidRDefault="00C1503E" w:rsidP="00E47419">
            <w:pPr>
              <w:pStyle w:val="Tabltext-dec-9"/>
            </w:pPr>
            <w:r w:rsidRPr="008D54A5">
              <w:t>0.8</w:t>
            </w:r>
          </w:p>
        </w:tc>
        <w:tc>
          <w:tcPr>
            <w:tcW w:w="457" w:type="pct"/>
            <w:tcBorders>
              <w:top w:val="nil"/>
              <w:left w:val="nil"/>
              <w:bottom w:val="single" w:sz="4" w:space="0" w:color="auto"/>
              <w:right w:val="single" w:sz="4" w:space="0" w:color="auto"/>
            </w:tcBorders>
            <w:shd w:val="clear" w:color="auto" w:fill="auto"/>
          </w:tcPr>
          <w:p w14:paraId="322F691D" w14:textId="392F790E" w:rsidR="00C1503E" w:rsidRPr="008D54A5" w:rsidRDefault="00C1503E" w:rsidP="00E47419">
            <w:pPr>
              <w:pStyle w:val="Tabltext-dec-9"/>
            </w:pPr>
            <w:r w:rsidRPr="008D54A5">
              <w:t>0.8</w:t>
            </w:r>
          </w:p>
        </w:tc>
        <w:tc>
          <w:tcPr>
            <w:tcW w:w="457" w:type="pct"/>
            <w:tcBorders>
              <w:top w:val="nil"/>
              <w:left w:val="nil"/>
              <w:bottom w:val="single" w:sz="4" w:space="0" w:color="auto"/>
              <w:right w:val="single" w:sz="4" w:space="0" w:color="auto"/>
            </w:tcBorders>
            <w:shd w:val="clear" w:color="auto" w:fill="auto"/>
            <w:noWrap/>
            <w:hideMark/>
          </w:tcPr>
          <w:p w14:paraId="37755A7E" w14:textId="6D43F1D0" w:rsidR="00C1503E" w:rsidRPr="008D54A5" w:rsidRDefault="00C1503E" w:rsidP="00E47419">
            <w:pPr>
              <w:pStyle w:val="Tabltext-dec-9"/>
            </w:pPr>
            <w:r w:rsidRPr="008D54A5">
              <w:t>1.0</w:t>
            </w:r>
          </w:p>
        </w:tc>
        <w:tc>
          <w:tcPr>
            <w:tcW w:w="457" w:type="pct"/>
            <w:tcBorders>
              <w:top w:val="nil"/>
              <w:left w:val="nil"/>
              <w:bottom w:val="single" w:sz="4" w:space="0" w:color="auto"/>
              <w:right w:val="single" w:sz="4" w:space="0" w:color="auto"/>
            </w:tcBorders>
            <w:shd w:val="clear" w:color="auto" w:fill="auto"/>
          </w:tcPr>
          <w:p w14:paraId="776C05D3" w14:textId="62A0AFB2"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5AAD3E7D" w14:textId="498138AC"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614E20FD" w14:textId="7D6805BB" w:rsidR="00C1503E" w:rsidRPr="008D54A5" w:rsidRDefault="00C1503E" w:rsidP="00E47419">
            <w:pPr>
              <w:pStyle w:val="Tabltext-dec-9"/>
            </w:pPr>
            <w:r w:rsidRPr="008D54A5">
              <w:t>0.1</w:t>
            </w:r>
          </w:p>
        </w:tc>
      </w:tr>
      <w:tr w:rsidR="00C1503E" w:rsidRPr="008D54A5" w14:paraId="14501332" w14:textId="77777777" w:rsidTr="006E4110">
        <w:trPr>
          <w:trHeight w:val="20"/>
        </w:trPr>
        <w:tc>
          <w:tcPr>
            <w:tcW w:w="2258" w:type="pct"/>
            <w:noWrap/>
            <w:hideMark/>
          </w:tcPr>
          <w:p w14:paraId="6C025899" w14:textId="77777777" w:rsidR="00C1503E" w:rsidRPr="008D54A5" w:rsidRDefault="00C1503E" w:rsidP="00E47419">
            <w:pPr>
              <w:pStyle w:val="TableText-10"/>
            </w:pPr>
            <w:r w:rsidRPr="008D54A5">
              <w:t>Expect Additional Payment, VA/CHAMPVA (EPAYVA)</w:t>
            </w:r>
          </w:p>
        </w:tc>
        <w:tc>
          <w:tcPr>
            <w:tcW w:w="457" w:type="pct"/>
            <w:tcBorders>
              <w:top w:val="nil"/>
              <w:left w:val="single" w:sz="4" w:space="0" w:color="auto"/>
              <w:bottom w:val="single" w:sz="4" w:space="0" w:color="auto"/>
              <w:right w:val="single" w:sz="4" w:space="0" w:color="auto"/>
            </w:tcBorders>
            <w:shd w:val="clear" w:color="auto" w:fill="auto"/>
          </w:tcPr>
          <w:p w14:paraId="5AAD48D2" w14:textId="1AB0E2AD" w:rsidR="00C1503E" w:rsidRPr="008D54A5" w:rsidRDefault="00C1503E" w:rsidP="00E47419">
            <w:pPr>
              <w:pStyle w:val="Tabltext-dec-9"/>
            </w:pPr>
            <w:r w:rsidRPr="008D54A5">
              <w:t>0.0</w:t>
            </w:r>
          </w:p>
        </w:tc>
        <w:tc>
          <w:tcPr>
            <w:tcW w:w="457" w:type="pct"/>
            <w:tcBorders>
              <w:top w:val="nil"/>
              <w:left w:val="nil"/>
              <w:bottom w:val="single" w:sz="4" w:space="0" w:color="auto"/>
              <w:right w:val="single" w:sz="4" w:space="0" w:color="auto"/>
            </w:tcBorders>
            <w:shd w:val="clear" w:color="auto" w:fill="auto"/>
          </w:tcPr>
          <w:p w14:paraId="39F84CE8" w14:textId="0EF4D78C" w:rsidR="00C1503E" w:rsidRPr="008D54A5" w:rsidRDefault="00C1503E" w:rsidP="00E47419">
            <w:pPr>
              <w:pStyle w:val="Tabltext-dec-9"/>
            </w:pPr>
            <w:r w:rsidRPr="008D54A5">
              <w:t>0.1</w:t>
            </w:r>
          </w:p>
        </w:tc>
        <w:tc>
          <w:tcPr>
            <w:tcW w:w="457" w:type="pct"/>
            <w:tcBorders>
              <w:top w:val="nil"/>
              <w:left w:val="nil"/>
              <w:bottom w:val="single" w:sz="4" w:space="0" w:color="auto"/>
              <w:right w:val="single" w:sz="4" w:space="0" w:color="auto"/>
            </w:tcBorders>
            <w:shd w:val="clear" w:color="auto" w:fill="auto"/>
            <w:noWrap/>
            <w:hideMark/>
          </w:tcPr>
          <w:p w14:paraId="310DDB12" w14:textId="61FDE163" w:rsidR="00C1503E" w:rsidRPr="008D54A5" w:rsidRDefault="00C1503E" w:rsidP="00E47419">
            <w:pPr>
              <w:pStyle w:val="Tabltext-dec-9"/>
            </w:pPr>
            <w:r w:rsidRPr="008D54A5">
              <w:t>0.1</w:t>
            </w:r>
          </w:p>
        </w:tc>
        <w:tc>
          <w:tcPr>
            <w:tcW w:w="457" w:type="pct"/>
            <w:tcBorders>
              <w:top w:val="nil"/>
              <w:left w:val="nil"/>
              <w:bottom w:val="single" w:sz="4" w:space="0" w:color="auto"/>
              <w:right w:val="single" w:sz="4" w:space="0" w:color="auto"/>
            </w:tcBorders>
            <w:shd w:val="clear" w:color="auto" w:fill="auto"/>
          </w:tcPr>
          <w:p w14:paraId="549221C2" w14:textId="63BC7066"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0364964D" w14:textId="4F30E64D"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2001F3AF" w14:textId="21FFEB5F" w:rsidR="00C1503E" w:rsidRPr="008D54A5" w:rsidRDefault="00C1503E" w:rsidP="00E47419">
            <w:pPr>
              <w:pStyle w:val="Tabltext-dec-9"/>
            </w:pPr>
            <w:r w:rsidRPr="008D54A5">
              <w:t>0.1</w:t>
            </w:r>
          </w:p>
        </w:tc>
      </w:tr>
      <w:tr w:rsidR="00C1503E" w:rsidRPr="008D54A5" w14:paraId="2D632C51" w14:textId="77777777" w:rsidTr="006E4110">
        <w:trPr>
          <w:trHeight w:val="20"/>
        </w:trPr>
        <w:tc>
          <w:tcPr>
            <w:tcW w:w="2258" w:type="pct"/>
            <w:noWrap/>
            <w:hideMark/>
          </w:tcPr>
          <w:p w14:paraId="5EFD24A0" w14:textId="77777777" w:rsidR="00C1503E" w:rsidRPr="008D54A5" w:rsidRDefault="00C1503E" w:rsidP="00E47419">
            <w:pPr>
              <w:pStyle w:val="TableText-10"/>
            </w:pPr>
            <w:r w:rsidRPr="008D54A5">
              <w:t>Expect Additional Payment, TRICARE (EPAYCHAM)</w:t>
            </w:r>
          </w:p>
        </w:tc>
        <w:tc>
          <w:tcPr>
            <w:tcW w:w="457" w:type="pct"/>
            <w:tcBorders>
              <w:top w:val="nil"/>
              <w:left w:val="single" w:sz="4" w:space="0" w:color="auto"/>
              <w:bottom w:val="single" w:sz="4" w:space="0" w:color="auto"/>
              <w:right w:val="single" w:sz="4" w:space="0" w:color="auto"/>
            </w:tcBorders>
            <w:shd w:val="clear" w:color="auto" w:fill="auto"/>
          </w:tcPr>
          <w:p w14:paraId="6975942A" w14:textId="71F5555B" w:rsidR="00C1503E" w:rsidRPr="008D54A5" w:rsidRDefault="00C1503E" w:rsidP="00E47419">
            <w:pPr>
              <w:pStyle w:val="Tabltext-dec-9"/>
            </w:pPr>
            <w:r w:rsidRPr="008D54A5">
              <w:t>0.1</w:t>
            </w:r>
          </w:p>
        </w:tc>
        <w:tc>
          <w:tcPr>
            <w:tcW w:w="457" w:type="pct"/>
            <w:tcBorders>
              <w:top w:val="nil"/>
              <w:left w:val="nil"/>
              <w:bottom w:val="single" w:sz="4" w:space="0" w:color="auto"/>
              <w:right w:val="single" w:sz="4" w:space="0" w:color="auto"/>
            </w:tcBorders>
            <w:shd w:val="clear" w:color="auto" w:fill="auto"/>
          </w:tcPr>
          <w:p w14:paraId="1146D273" w14:textId="6BD86696" w:rsidR="00C1503E" w:rsidRPr="008D54A5" w:rsidRDefault="00C1503E" w:rsidP="00E47419">
            <w:pPr>
              <w:pStyle w:val="Tabltext-dec-9"/>
            </w:pPr>
            <w:r w:rsidRPr="008D54A5">
              <w:t>0.0</w:t>
            </w:r>
          </w:p>
        </w:tc>
        <w:tc>
          <w:tcPr>
            <w:tcW w:w="457" w:type="pct"/>
            <w:tcBorders>
              <w:top w:val="nil"/>
              <w:left w:val="nil"/>
              <w:bottom w:val="single" w:sz="4" w:space="0" w:color="auto"/>
              <w:right w:val="single" w:sz="4" w:space="0" w:color="auto"/>
            </w:tcBorders>
            <w:shd w:val="clear" w:color="auto" w:fill="auto"/>
            <w:noWrap/>
            <w:hideMark/>
          </w:tcPr>
          <w:p w14:paraId="3073088F" w14:textId="67E4834C" w:rsidR="00C1503E" w:rsidRPr="008D54A5" w:rsidRDefault="00C1503E" w:rsidP="00E47419">
            <w:pPr>
              <w:pStyle w:val="Tabltext-dec-9"/>
            </w:pPr>
            <w:r w:rsidRPr="008D54A5">
              <w:t>0.1</w:t>
            </w:r>
          </w:p>
        </w:tc>
        <w:tc>
          <w:tcPr>
            <w:tcW w:w="457" w:type="pct"/>
            <w:tcBorders>
              <w:top w:val="nil"/>
              <w:left w:val="nil"/>
              <w:bottom w:val="single" w:sz="4" w:space="0" w:color="auto"/>
              <w:right w:val="single" w:sz="4" w:space="0" w:color="auto"/>
            </w:tcBorders>
            <w:shd w:val="clear" w:color="auto" w:fill="auto"/>
          </w:tcPr>
          <w:p w14:paraId="1BF8A8A4" w14:textId="448DEFB9"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63083891" w14:textId="14326261"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6CE603A0" w14:textId="6BF4D25E" w:rsidR="00C1503E" w:rsidRPr="008D54A5" w:rsidRDefault="00C1503E" w:rsidP="00E47419">
            <w:pPr>
              <w:pStyle w:val="Tabltext-dec-9"/>
            </w:pPr>
            <w:r w:rsidRPr="008D54A5">
              <w:t>0.1</w:t>
            </w:r>
          </w:p>
        </w:tc>
      </w:tr>
      <w:tr w:rsidR="00C1503E" w:rsidRPr="008D54A5" w14:paraId="51B02C16" w14:textId="77777777" w:rsidTr="006E4110">
        <w:trPr>
          <w:trHeight w:val="20"/>
        </w:trPr>
        <w:tc>
          <w:tcPr>
            <w:tcW w:w="2258" w:type="pct"/>
            <w:noWrap/>
            <w:hideMark/>
          </w:tcPr>
          <w:p w14:paraId="50A7FD50" w14:textId="77777777" w:rsidR="00C1503E" w:rsidRPr="008D54A5" w:rsidRDefault="00C1503E" w:rsidP="00E47419">
            <w:pPr>
              <w:pStyle w:val="TableText-10"/>
            </w:pPr>
            <w:r w:rsidRPr="008D54A5">
              <w:t>Expect Additional Payment, Workers Comp (EPAYWORK)</w:t>
            </w:r>
          </w:p>
        </w:tc>
        <w:tc>
          <w:tcPr>
            <w:tcW w:w="457" w:type="pct"/>
            <w:tcBorders>
              <w:top w:val="nil"/>
              <w:left w:val="single" w:sz="4" w:space="0" w:color="auto"/>
              <w:bottom w:val="single" w:sz="4" w:space="0" w:color="auto"/>
              <w:right w:val="single" w:sz="4" w:space="0" w:color="auto"/>
            </w:tcBorders>
            <w:shd w:val="clear" w:color="auto" w:fill="auto"/>
          </w:tcPr>
          <w:p w14:paraId="510C8AC3" w14:textId="2A3743A8" w:rsidR="00C1503E" w:rsidRPr="008D54A5" w:rsidRDefault="00C1503E" w:rsidP="00E47419">
            <w:pPr>
              <w:pStyle w:val="Tabltext-dec-9"/>
            </w:pPr>
            <w:r w:rsidRPr="008D54A5">
              <w:t>0.0</w:t>
            </w:r>
          </w:p>
        </w:tc>
        <w:tc>
          <w:tcPr>
            <w:tcW w:w="457" w:type="pct"/>
            <w:tcBorders>
              <w:top w:val="nil"/>
              <w:left w:val="nil"/>
              <w:bottom w:val="single" w:sz="4" w:space="0" w:color="auto"/>
              <w:right w:val="single" w:sz="4" w:space="0" w:color="auto"/>
            </w:tcBorders>
            <w:shd w:val="clear" w:color="auto" w:fill="auto"/>
          </w:tcPr>
          <w:p w14:paraId="70CA051D" w14:textId="252B3FE7" w:rsidR="00C1503E" w:rsidRPr="008D54A5" w:rsidRDefault="00C1503E" w:rsidP="00E47419">
            <w:pPr>
              <w:pStyle w:val="Tabltext-dec-9"/>
            </w:pPr>
            <w:r w:rsidRPr="008D54A5">
              <w:t>0.0</w:t>
            </w:r>
          </w:p>
        </w:tc>
        <w:tc>
          <w:tcPr>
            <w:tcW w:w="457" w:type="pct"/>
            <w:tcBorders>
              <w:top w:val="nil"/>
              <w:left w:val="nil"/>
              <w:bottom w:val="single" w:sz="4" w:space="0" w:color="auto"/>
              <w:right w:val="single" w:sz="4" w:space="0" w:color="auto"/>
            </w:tcBorders>
            <w:shd w:val="clear" w:color="auto" w:fill="auto"/>
            <w:noWrap/>
            <w:hideMark/>
          </w:tcPr>
          <w:p w14:paraId="57ADBBE4" w14:textId="073F396B" w:rsidR="00C1503E" w:rsidRPr="008D54A5" w:rsidRDefault="00C1503E" w:rsidP="00E47419">
            <w:pPr>
              <w:pStyle w:val="Tabltext-dec-9"/>
            </w:pPr>
            <w:r w:rsidRPr="008D54A5">
              <w:t>0.1</w:t>
            </w:r>
          </w:p>
        </w:tc>
        <w:tc>
          <w:tcPr>
            <w:tcW w:w="457" w:type="pct"/>
            <w:tcBorders>
              <w:top w:val="nil"/>
              <w:left w:val="nil"/>
              <w:bottom w:val="single" w:sz="4" w:space="0" w:color="auto"/>
              <w:right w:val="single" w:sz="4" w:space="0" w:color="auto"/>
            </w:tcBorders>
            <w:shd w:val="clear" w:color="auto" w:fill="auto"/>
          </w:tcPr>
          <w:p w14:paraId="65335D8E" w14:textId="1F8A6FB3"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37DB22EE" w14:textId="1CEBF7DA"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224D7B52" w14:textId="23902729" w:rsidR="00C1503E" w:rsidRPr="008D54A5" w:rsidRDefault="00C1503E" w:rsidP="00E47419">
            <w:pPr>
              <w:pStyle w:val="Tabltext-dec-9"/>
            </w:pPr>
            <w:r w:rsidRPr="008D54A5">
              <w:t>0.1</w:t>
            </w:r>
          </w:p>
        </w:tc>
      </w:tr>
      <w:tr w:rsidR="00C1503E" w:rsidRPr="008D54A5" w14:paraId="24A957BC" w14:textId="77777777" w:rsidTr="006E4110">
        <w:trPr>
          <w:trHeight w:val="20"/>
        </w:trPr>
        <w:tc>
          <w:tcPr>
            <w:tcW w:w="2258" w:type="pct"/>
            <w:noWrap/>
            <w:hideMark/>
          </w:tcPr>
          <w:p w14:paraId="6E9830E4" w14:textId="77777777" w:rsidR="00C1503E" w:rsidRPr="008D54A5" w:rsidRDefault="00C1503E" w:rsidP="00E47419">
            <w:pPr>
              <w:pStyle w:val="TableText-10"/>
            </w:pPr>
            <w:r w:rsidRPr="008D54A5">
              <w:t>Expect Additional Payment, Something Else (EPAYOTH)</w:t>
            </w:r>
          </w:p>
        </w:tc>
        <w:tc>
          <w:tcPr>
            <w:tcW w:w="457" w:type="pct"/>
            <w:tcBorders>
              <w:top w:val="nil"/>
              <w:left w:val="single" w:sz="4" w:space="0" w:color="auto"/>
              <w:bottom w:val="single" w:sz="4" w:space="0" w:color="auto"/>
              <w:right w:val="single" w:sz="4" w:space="0" w:color="auto"/>
            </w:tcBorders>
            <w:shd w:val="clear" w:color="auto" w:fill="auto"/>
          </w:tcPr>
          <w:p w14:paraId="1203F254" w14:textId="6C3B15E0"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tcPr>
          <w:p w14:paraId="7367A2E2" w14:textId="31C3253E"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noWrap/>
            <w:hideMark/>
          </w:tcPr>
          <w:p w14:paraId="5F98800E" w14:textId="26788089"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tcPr>
          <w:p w14:paraId="4CC7B95D" w14:textId="77E7C668" w:rsidR="00C1503E" w:rsidRPr="008D54A5" w:rsidRDefault="00C1503E" w:rsidP="00E47419">
            <w:pPr>
              <w:pStyle w:val="Tabltext-dec-9"/>
            </w:pPr>
            <w:r w:rsidRPr="008D54A5">
              <w:t>0.3</w:t>
            </w:r>
          </w:p>
        </w:tc>
        <w:tc>
          <w:tcPr>
            <w:tcW w:w="457" w:type="pct"/>
            <w:tcBorders>
              <w:top w:val="nil"/>
              <w:left w:val="nil"/>
              <w:bottom w:val="single" w:sz="4" w:space="0" w:color="auto"/>
              <w:right w:val="single" w:sz="4" w:space="0" w:color="auto"/>
            </w:tcBorders>
            <w:shd w:val="clear" w:color="auto" w:fill="auto"/>
          </w:tcPr>
          <w:p w14:paraId="2FC5C9AA" w14:textId="11B37E4B" w:rsidR="00C1503E" w:rsidRPr="008D54A5" w:rsidRDefault="00C1503E" w:rsidP="00E47419">
            <w:pPr>
              <w:pStyle w:val="Tabltext-dec-9"/>
            </w:pPr>
            <w:r w:rsidRPr="008D54A5">
              <w:t>0.2</w:t>
            </w:r>
          </w:p>
        </w:tc>
        <w:tc>
          <w:tcPr>
            <w:tcW w:w="457" w:type="pct"/>
            <w:tcBorders>
              <w:top w:val="nil"/>
              <w:left w:val="nil"/>
              <w:bottom w:val="single" w:sz="4" w:space="0" w:color="auto"/>
              <w:right w:val="single" w:sz="4" w:space="0" w:color="auto"/>
            </w:tcBorders>
            <w:shd w:val="clear" w:color="auto" w:fill="auto"/>
            <w:noWrap/>
            <w:hideMark/>
          </w:tcPr>
          <w:p w14:paraId="5FD423CD" w14:textId="2E00B620" w:rsidR="00C1503E" w:rsidRPr="008D54A5" w:rsidRDefault="00C1503E" w:rsidP="00E47419">
            <w:pPr>
              <w:pStyle w:val="Tabltext-dec-9"/>
            </w:pPr>
            <w:r w:rsidRPr="008D54A5">
              <w:t>0.1</w:t>
            </w:r>
          </w:p>
        </w:tc>
      </w:tr>
    </w:tbl>
    <w:p w14:paraId="3FE615EA" w14:textId="7878EF2F" w:rsidR="002D4D78" w:rsidRPr="008D54A5" w:rsidRDefault="00A7755A" w:rsidP="002D4D78">
      <w:pPr>
        <w:pStyle w:val="Source-9-1"/>
      </w:pPr>
      <w:r w:rsidRPr="008D54A5">
        <w:rPr>
          <w:szCs w:val="18"/>
        </w:rPr>
        <w:t xml:space="preserve">CHAMPVA = </w:t>
      </w:r>
      <w:r w:rsidRPr="008D54A5">
        <w:rPr>
          <w:color w:val="2E2E2E"/>
          <w:szCs w:val="18"/>
          <w:shd w:val="clear" w:color="auto" w:fill="FFFFFF"/>
        </w:rPr>
        <w:t>Civilian Health and Medical Program of the Department of Veterans Affairs</w:t>
      </w:r>
      <w:r w:rsidRPr="008D54A5">
        <w:rPr>
          <w:szCs w:val="18"/>
        </w:rPr>
        <w:t>;</w:t>
      </w:r>
      <w:r w:rsidRPr="008D54A5">
        <w:t xml:space="preserve"> MPC </w:t>
      </w:r>
      <w:r w:rsidR="004263BF" w:rsidRPr="008D54A5">
        <w:t xml:space="preserve">= </w:t>
      </w:r>
      <w:r w:rsidR="00BB6089" w:rsidRPr="008D54A5">
        <w:t>Medical Provider Component</w:t>
      </w:r>
      <w:r w:rsidRPr="008D54A5">
        <w:t xml:space="preserve">; MV = </w:t>
      </w:r>
      <w:r w:rsidR="004263BF" w:rsidRPr="008D54A5">
        <w:t xml:space="preserve">medical </w:t>
      </w:r>
      <w:r w:rsidRPr="008D54A5">
        <w:t xml:space="preserve">visit; OBD = </w:t>
      </w:r>
      <w:r w:rsidR="004263BF" w:rsidRPr="008D54A5">
        <w:t>office</w:t>
      </w:r>
      <w:r w:rsidRPr="008D54A5">
        <w:t xml:space="preserve">-based doctor; VA = Veterans </w:t>
      </w:r>
      <w:r w:rsidR="00846428" w:rsidRPr="008D54A5">
        <w:t>Affairs</w:t>
      </w:r>
      <w:r w:rsidR="002D4D78" w:rsidRPr="008D54A5">
        <w:t>.</w:t>
      </w:r>
    </w:p>
    <w:p w14:paraId="0F979FA4" w14:textId="7B6B27BF" w:rsidR="00A322E7" w:rsidRPr="008D54A5" w:rsidRDefault="00A322E7" w:rsidP="00950102">
      <w:pPr>
        <w:pStyle w:val="Source10"/>
        <w:rPr>
          <w:sz w:val="18"/>
          <w:szCs w:val="18"/>
        </w:rPr>
      </w:pPr>
      <w:r w:rsidRPr="008D54A5">
        <w:rPr>
          <w:sz w:val="18"/>
          <w:szCs w:val="18"/>
        </w:rPr>
        <w:t>Note: These statistics are based on unique (nonreplicated) MPC events.</w:t>
      </w:r>
    </w:p>
    <w:p w14:paraId="78C186D5" w14:textId="7A1E4A00" w:rsidR="009104EE" w:rsidRPr="008D54A5" w:rsidRDefault="00A322E7" w:rsidP="00950102">
      <w:pPr>
        <w:pStyle w:val="Source-9-1"/>
      </w:pPr>
      <w:r w:rsidRPr="008D54A5">
        <w:rPr>
          <w:szCs w:val="18"/>
        </w:rPr>
        <w:t xml:space="preserve">Source: </w:t>
      </w:r>
      <w:r w:rsidR="00C1503E" w:rsidRPr="008D54A5">
        <w:rPr>
          <w:szCs w:val="18"/>
        </w:rPr>
        <w:t>2020</w:t>
      </w:r>
      <w:r w:rsidR="006A1542" w:rsidRPr="008D54A5">
        <w:rPr>
          <w:szCs w:val="18"/>
        </w:rPr>
        <w:t>–</w:t>
      </w:r>
      <w:r w:rsidR="00700BF1" w:rsidRPr="008D54A5">
        <w:rPr>
          <w:szCs w:val="18"/>
        </w:rPr>
        <w:t>202</w:t>
      </w:r>
      <w:r w:rsidR="00C1503E" w:rsidRPr="008D54A5">
        <w:rPr>
          <w:szCs w:val="18"/>
        </w:rPr>
        <w:t>2</w:t>
      </w:r>
      <w:r w:rsidR="00700BF1" w:rsidRPr="008D54A5">
        <w:rPr>
          <w:szCs w:val="18"/>
        </w:rPr>
        <w:t xml:space="preserve"> </w:t>
      </w:r>
      <w:r w:rsidRPr="008D54A5">
        <w:rPr>
          <w:szCs w:val="18"/>
        </w:rPr>
        <w:t xml:space="preserve">Medical Expenditure Panel Survey </w:t>
      </w:r>
      <w:r w:rsidR="006A1542" w:rsidRPr="008D54A5">
        <w:rPr>
          <w:szCs w:val="18"/>
        </w:rPr>
        <w:t xml:space="preserve">– </w:t>
      </w:r>
      <w:r w:rsidRPr="008D54A5">
        <w:rPr>
          <w:szCs w:val="18"/>
        </w:rPr>
        <w:t>Medical Provider Component</w:t>
      </w:r>
      <w:r w:rsidRPr="008D54A5">
        <w:t>.</w:t>
      </w:r>
    </w:p>
    <w:p w14:paraId="509D7841" w14:textId="77777777" w:rsidR="00D028FE" w:rsidRPr="008D54A5" w:rsidRDefault="00D028FE">
      <w:pPr>
        <w:rPr>
          <w:rFonts w:ascii="Arial" w:hAnsi="Arial"/>
          <w:b/>
          <w:bCs/>
        </w:rPr>
      </w:pPr>
      <w:r w:rsidRPr="008D54A5">
        <w:br w:type="page"/>
      </w:r>
    </w:p>
    <w:p w14:paraId="6873110A" w14:textId="4F0A0FBA" w:rsidR="00A322E7" w:rsidRPr="008D54A5" w:rsidRDefault="00A322E7" w:rsidP="00FD4A4F">
      <w:pPr>
        <w:pStyle w:val="ExhibitTitle"/>
      </w:pPr>
      <w:bookmarkStart w:id="182" w:name="_Toc128574190"/>
      <w:bookmarkStart w:id="183" w:name="_Toc188622347"/>
      <w:r w:rsidRPr="00404E1F">
        <w:lastRenderedPageBreak/>
        <w:t>Exhibit </w:t>
      </w:r>
      <w:r w:rsidR="00AB3CB9" w:rsidRPr="008D54A5">
        <w:rPr>
          <w:noProof/>
        </w:rPr>
        <w:fldChar w:fldCharType="begin"/>
      </w:r>
      <w:r w:rsidR="00AB3CB9" w:rsidRPr="008D54A5">
        <w:rPr>
          <w:noProof/>
        </w:rPr>
        <w:instrText xml:space="preserve"> STYLEREF 1 \s </w:instrText>
      </w:r>
      <w:r w:rsidR="00AB3CB9" w:rsidRPr="008D54A5">
        <w:rPr>
          <w:noProof/>
        </w:rPr>
        <w:fldChar w:fldCharType="separate"/>
      </w:r>
      <w:r w:rsidR="00EC2444" w:rsidRPr="008D54A5">
        <w:rPr>
          <w:noProof/>
        </w:rPr>
        <w:t>5</w:t>
      </w:r>
      <w:r w:rsidR="00AB3CB9" w:rsidRPr="008D54A5">
        <w:rPr>
          <w:noProof/>
        </w:rPr>
        <w:fldChar w:fldCharType="end"/>
      </w:r>
      <w:r w:rsidR="00AB3CB9" w:rsidRPr="008D54A5">
        <w:t>.</w:t>
      </w:r>
      <w:r w:rsidR="00AB3CB9" w:rsidRPr="008D54A5">
        <w:rPr>
          <w:noProof/>
        </w:rPr>
        <w:fldChar w:fldCharType="begin"/>
      </w:r>
      <w:r w:rsidR="00AB3CB9" w:rsidRPr="008D54A5">
        <w:rPr>
          <w:noProof/>
        </w:rPr>
        <w:instrText xml:space="preserve"> SEQ Exhibit \* ARABIC \s 1 </w:instrText>
      </w:r>
      <w:r w:rsidR="00AB3CB9" w:rsidRPr="008D54A5">
        <w:rPr>
          <w:noProof/>
        </w:rPr>
        <w:fldChar w:fldCharType="separate"/>
      </w:r>
      <w:r w:rsidR="00EC2444" w:rsidRPr="008D54A5">
        <w:rPr>
          <w:noProof/>
        </w:rPr>
        <w:t>4</w:t>
      </w:r>
      <w:r w:rsidR="00AB3CB9" w:rsidRPr="008D54A5">
        <w:rPr>
          <w:noProof/>
        </w:rPr>
        <w:fldChar w:fldCharType="end"/>
      </w:r>
      <w:r w:rsidRPr="008D54A5">
        <w:tab/>
        <w:t xml:space="preserve">Comparing Reasons for Charge/Payment Discrepancy </w:t>
      </w:r>
      <w:r w:rsidR="00734B66" w:rsidRPr="008D54A5">
        <w:t xml:space="preserve">Among </w:t>
      </w:r>
      <w:r w:rsidRPr="008D54A5">
        <w:t xml:space="preserve">Fee-for-Service Hospital Events, </w:t>
      </w:r>
      <w:r w:rsidR="00700BF1" w:rsidRPr="008D54A5">
        <w:t>20</w:t>
      </w:r>
      <w:r w:rsidR="001D65E1" w:rsidRPr="008D54A5">
        <w:t>20</w:t>
      </w:r>
      <w:r w:rsidR="006A1542" w:rsidRPr="008D54A5">
        <w:t>–</w:t>
      </w:r>
      <w:r w:rsidR="00700BF1" w:rsidRPr="008D54A5">
        <w:t>202</w:t>
      </w:r>
      <w:r w:rsidR="001D65E1" w:rsidRPr="008D54A5">
        <w:t>2</w:t>
      </w:r>
      <w:r w:rsidR="00700BF1" w:rsidRPr="008D54A5">
        <w:t xml:space="preserve"> </w:t>
      </w:r>
      <w:r w:rsidRPr="008D54A5">
        <w:t>MPC—Hospital All Events</w:t>
      </w:r>
      <w:bookmarkEnd w:id="182"/>
      <w:bookmarkEnd w:id="183"/>
    </w:p>
    <w:tbl>
      <w:tblPr>
        <w:tblW w:w="5000" w:type="pct"/>
        <w:tblLook w:val="04A0" w:firstRow="1" w:lastRow="0" w:firstColumn="1" w:lastColumn="0" w:noHBand="0" w:noVBand="1"/>
      </w:tblPr>
      <w:tblGrid>
        <w:gridCol w:w="5230"/>
        <w:gridCol w:w="686"/>
        <w:gridCol w:w="686"/>
        <w:gridCol w:w="687"/>
        <w:gridCol w:w="687"/>
        <w:gridCol w:w="687"/>
        <w:gridCol w:w="687"/>
      </w:tblGrid>
      <w:tr w:rsidR="0067323E" w:rsidRPr="008D54A5" w14:paraId="0753F84D" w14:textId="77777777" w:rsidTr="004121D3">
        <w:trPr>
          <w:trHeight w:val="926"/>
        </w:trPr>
        <w:tc>
          <w:tcPr>
            <w:tcW w:w="2276" w:type="pct"/>
            <w:vMerge w:val="restart"/>
            <w:tcBorders>
              <w:top w:val="single" w:sz="4" w:space="0" w:color="auto"/>
              <w:left w:val="single" w:sz="4" w:space="0" w:color="auto"/>
              <w:bottom w:val="nil"/>
              <w:right w:val="single" w:sz="4" w:space="0" w:color="auto"/>
            </w:tcBorders>
            <w:shd w:val="clear" w:color="000000" w:fill="BFBFBF"/>
            <w:noWrap/>
            <w:vAlign w:val="bottom"/>
            <w:hideMark/>
          </w:tcPr>
          <w:p w14:paraId="21619FBA" w14:textId="77777777" w:rsidR="0067323E" w:rsidRPr="008D54A5" w:rsidRDefault="0067323E" w:rsidP="00A322E7">
            <w:pPr>
              <w:pStyle w:val="TableHeading-10"/>
            </w:pPr>
            <w:r w:rsidRPr="008D54A5">
              <w:t>Payment/Charge</w:t>
            </w:r>
          </w:p>
        </w:tc>
        <w:tc>
          <w:tcPr>
            <w:tcW w:w="1428" w:type="pct"/>
            <w:gridSpan w:val="3"/>
            <w:tcBorders>
              <w:top w:val="single" w:sz="4" w:space="0" w:color="auto"/>
              <w:left w:val="single" w:sz="4" w:space="0" w:color="auto"/>
              <w:bottom w:val="single" w:sz="4" w:space="0" w:color="auto"/>
              <w:right w:val="single" w:sz="4" w:space="0" w:color="000000"/>
            </w:tcBorders>
            <w:shd w:val="clear" w:color="000000" w:fill="BFBFBF"/>
            <w:vAlign w:val="bottom"/>
            <w:hideMark/>
          </w:tcPr>
          <w:p w14:paraId="3939560C" w14:textId="77777777" w:rsidR="0067323E" w:rsidRPr="008D54A5" w:rsidRDefault="0067323E" w:rsidP="00A322E7">
            <w:pPr>
              <w:pStyle w:val="TableHeading-10"/>
            </w:pPr>
            <w:r w:rsidRPr="008D54A5">
              <w:t xml:space="preserve">Percent = Yes </w:t>
            </w:r>
            <w:r w:rsidRPr="008D54A5">
              <w:br/>
              <w:t xml:space="preserve">(Among Events With </w:t>
            </w:r>
            <w:r w:rsidRPr="008D54A5">
              <w:br/>
              <w:t>Yes or No)</w:t>
            </w:r>
          </w:p>
        </w:tc>
        <w:tc>
          <w:tcPr>
            <w:tcW w:w="1296" w:type="pct"/>
            <w:gridSpan w:val="3"/>
            <w:tcBorders>
              <w:top w:val="single" w:sz="4" w:space="0" w:color="auto"/>
              <w:left w:val="single" w:sz="4" w:space="0" w:color="auto"/>
              <w:bottom w:val="single" w:sz="4" w:space="0" w:color="auto"/>
              <w:right w:val="single" w:sz="4" w:space="0" w:color="000000"/>
            </w:tcBorders>
            <w:shd w:val="clear" w:color="000000" w:fill="BFBFBF"/>
            <w:vAlign w:val="bottom"/>
            <w:hideMark/>
          </w:tcPr>
          <w:p w14:paraId="67A6DC07" w14:textId="77777777" w:rsidR="0067323E" w:rsidRPr="008D54A5" w:rsidRDefault="0067323E" w:rsidP="00A322E7">
            <w:pPr>
              <w:pStyle w:val="TableHeading-10"/>
            </w:pPr>
            <w:r w:rsidRPr="008D54A5">
              <w:t xml:space="preserve">Percent = Missing </w:t>
            </w:r>
            <w:r w:rsidRPr="008D54A5">
              <w:br/>
              <w:t>(Among Events That Should Have a Response)</w:t>
            </w:r>
          </w:p>
        </w:tc>
      </w:tr>
      <w:tr w:rsidR="001D65E1" w:rsidRPr="008D54A5" w14:paraId="13724104" w14:textId="77777777" w:rsidTr="006E4110">
        <w:trPr>
          <w:trHeight w:val="20"/>
        </w:trPr>
        <w:tc>
          <w:tcPr>
            <w:tcW w:w="2276" w:type="pct"/>
            <w:vMerge/>
            <w:tcBorders>
              <w:left w:val="single" w:sz="4" w:space="0" w:color="auto"/>
              <w:bottom w:val="single" w:sz="4" w:space="0" w:color="auto"/>
              <w:right w:val="single" w:sz="4" w:space="0" w:color="auto"/>
            </w:tcBorders>
            <w:vAlign w:val="center"/>
            <w:hideMark/>
          </w:tcPr>
          <w:p w14:paraId="2F31F077" w14:textId="77777777" w:rsidR="001D65E1" w:rsidRPr="008D54A5" w:rsidRDefault="001D65E1" w:rsidP="001D65E1">
            <w:pPr>
              <w:pStyle w:val="TableHeading-10"/>
            </w:pPr>
          </w:p>
        </w:tc>
        <w:tc>
          <w:tcPr>
            <w:tcW w:w="476" w:type="pct"/>
            <w:tcBorders>
              <w:top w:val="single" w:sz="4" w:space="0" w:color="auto"/>
              <w:left w:val="single" w:sz="4" w:space="0" w:color="auto"/>
              <w:bottom w:val="single" w:sz="4" w:space="0" w:color="auto"/>
              <w:right w:val="single" w:sz="4" w:space="0" w:color="auto"/>
            </w:tcBorders>
            <w:shd w:val="clear" w:color="000000" w:fill="BFBFBF"/>
          </w:tcPr>
          <w:p w14:paraId="16EBC404" w14:textId="256A5C98" w:rsidR="001D65E1" w:rsidRPr="008D54A5" w:rsidRDefault="001D65E1" w:rsidP="001D65E1">
            <w:pPr>
              <w:pStyle w:val="TableHeading-10"/>
            </w:pPr>
            <w:r w:rsidRPr="008D54A5">
              <w:t>2020</w:t>
            </w:r>
          </w:p>
        </w:tc>
        <w:tc>
          <w:tcPr>
            <w:tcW w:w="476" w:type="pct"/>
            <w:tcBorders>
              <w:top w:val="single" w:sz="4" w:space="0" w:color="auto"/>
              <w:left w:val="nil"/>
              <w:bottom w:val="single" w:sz="4" w:space="0" w:color="auto"/>
              <w:right w:val="single" w:sz="4" w:space="0" w:color="auto"/>
            </w:tcBorders>
            <w:shd w:val="clear" w:color="000000" w:fill="BFBFBF"/>
          </w:tcPr>
          <w:p w14:paraId="2DC54431" w14:textId="7C6EE963" w:rsidR="001D65E1" w:rsidRPr="008D54A5" w:rsidRDefault="001D65E1" w:rsidP="001D65E1">
            <w:pPr>
              <w:pStyle w:val="TableHeading-10"/>
            </w:pPr>
            <w:r w:rsidRPr="008D54A5">
              <w:t>2021</w:t>
            </w:r>
          </w:p>
        </w:tc>
        <w:tc>
          <w:tcPr>
            <w:tcW w:w="476" w:type="pct"/>
            <w:tcBorders>
              <w:top w:val="single" w:sz="4" w:space="0" w:color="auto"/>
              <w:left w:val="nil"/>
              <w:bottom w:val="single" w:sz="4" w:space="0" w:color="auto"/>
              <w:right w:val="single" w:sz="4" w:space="0" w:color="auto"/>
            </w:tcBorders>
            <w:shd w:val="clear" w:color="000000" w:fill="BFBFBF"/>
            <w:noWrap/>
            <w:hideMark/>
          </w:tcPr>
          <w:p w14:paraId="29E2E1D8" w14:textId="45FC87AE" w:rsidR="001D65E1" w:rsidRPr="008D54A5" w:rsidRDefault="001D65E1" w:rsidP="001D65E1">
            <w:pPr>
              <w:pStyle w:val="TableHeading-10"/>
            </w:pPr>
            <w:r w:rsidRPr="008D54A5">
              <w:t>2022</w:t>
            </w:r>
          </w:p>
        </w:tc>
        <w:tc>
          <w:tcPr>
            <w:tcW w:w="432" w:type="pct"/>
            <w:tcBorders>
              <w:top w:val="single" w:sz="4" w:space="0" w:color="auto"/>
              <w:left w:val="nil"/>
              <w:bottom w:val="single" w:sz="4" w:space="0" w:color="auto"/>
              <w:right w:val="single" w:sz="4" w:space="0" w:color="auto"/>
            </w:tcBorders>
            <w:shd w:val="clear" w:color="000000" w:fill="BFBFBF"/>
          </w:tcPr>
          <w:p w14:paraId="560FAB10" w14:textId="03EDFCD9" w:rsidR="001D65E1" w:rsidRPr="008D54A5" w:rsidRDefault="001D65E1" w:rsidP="001D65E1">
            <w:pPr>
              <w:pStyle w:val="TableHeading-10"/>
            </w:pPr>
            <w:r w:rsidRPr="008D54A5">
              <w:t>2020</w:t>
            </w:r>
          </w:p>
        </w:tc>
        <w:tc>
          <w:tcPr>
            <w:tcW w:w="432" w:type="pct"/>
            <w:tcBorders>
              <w:top w:val="single" w:sz="4" w:space="0" w:color="auto"/>
              <w:left w:val="nil"/>
              <w:bottom w:val="single" w:sz="4" w:space="0" w:color="auto"/>
              <w:right w:val="single" w:sz="4" w:space="0" w:color="auto"/>
            </w:tcBorders>
            <w:shd w:val="clear" w:color="000000" w:fill="BFBFBF"/>
          </w:tcPr>
          <w:p w14:paraId="41A07315" w14:textId="5C09D41E" w:rsidR="001D65E1" w:rsidRPr="008D54A5" w:rsidRDefault="001D65E1" w:rsidP="001D65E1">
            <w:pPr>
              <w:pStyle w:val="TableHeading-10"/>
            </w:pPr>
            <w:r w:rsidRPr="008D54A5">
              <w:t>2021</w:t>
            </w:r>
          </w:p>
        </w:tc>
        <w:tc>
          <w:tcPr>
            <w:tcW w:w="432" w:type="pct"/>
            <w:tcBorders>
              <w:top w:val="single" w:sz="4" w:space="0" w:color="auto"/>
              <w:left w:val="nil"/>
              <w:bottom w:val="single" w:sz="4" w:space="0" w:color="auto"/>
              <w:right w:val="single" w:sz="4" w:space="0" w:color="auto"/>
            </w:tcBorders>
            <w:shd w:val="clear" w:color="000000" w:fill="BFBFBF"/>
            <w:noWrap/>
            <w:hideMark/>
          </w:tcPr>
          <w:p w14:paraId="13BF3E9B" w14:textId="001B6116" w:rsidR="001D65E1" w:rsidRPr="008D54A5" w:rsidRDefault="001D65E1" w:rsidP="001D65E1">
            <w:pPr>
              <w:pStyle w:val="TableHeading-10"/>
            </w:pPr>
            <w:r w:rsidRPr="008D54A5">
              <w:t>2022</w:t>
            </w:r>
          </w:p>
        </w:tc>
      </w:tr>
      <w:tr w:rsidR="001D65E1" w:rsidRPr="008D54A5" w14:paraId="5592A952"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213504FB" w14:textId="77777777" w:rsidR="001D65E1" w:rsidRPr="008D54A5" w:rsidRDefault="001D65E1" w:rsidP="00E47419">
            <w:pPr>
              <w:pStyle w:val="TableText-10"/>
            </w:pPr>
            <w:r w:rsidRPr="008D54A5">
              <w:t>Payments &lt; Charges, Adjustments (DISADJ)</w:t>
            </w:r>
          </w:p>
        </w:tc>
        <w:tc>
          <w:tcPr>
            <w:tcW w:w="476" w:type="pct"/>
            <w:tcBorders>
              <w:top w:val="single" w:sz="4" w:space="0" w:color="auto"/>
              <w:left w:val="single" w:sz="4" w:space="0" w:color="auto"/>
              <w:bottom w:val="single" w:sz="4" w:space="0" w:color="auto"/>
              <w:right w:val="single" w:sz="4" w:space="0" w:color="auto"/>
            </w:tcBorders>
            <w:shd w:val="clear" w:color="auto" w:fill="auto"/>
          </w:tcPr>
          <w:p w14:paraId="374B4C06" w14:textId="356848D5" w:rsidR="001D65E1" w:rsidRPr="008D54A5" w:rsidRDefault="001D65E1" w:rsidP="00E47419">
            <w:pPr>
              <w:pStyle w:val="Tabltext-dec-9"/>
            </w:pPr>
            <w:r w:rsidRPr="008D54A5">
              <w:t>97.8</w:t>
            </w:r>
          </w:p>
        </w:tc>
        <w:tc>
          <w:tcPr>
            <w:tcW w:w="476" w:type="pct"/>
            <w:tcBorders>
              <w:top w:val="single" w:sz="4" w:space="0" w:color="auto"/>
              <w:left w:val="nil"/>
              <w:bottom w:val="single" w:sz="4" w:space="0" w:color="auto"/>
              <w:right w:val="single" w:sz="4" w:space="0" w:color="auto"/>
            </w:tcBorders>
            <w:shd w:val="clear" w:color="auto" w:fill="auto"/>
          </w:tcPr>
          <w:p w14:paraId="3FB517CD" w14:textId="7CBEE3ED" w:rsidR="001D65E1" w:rsidRPr="008D54A5" w:rsidRDefault="001D65E1" w:rsidP="00E47419">
            <w:pPr>
              <w:pStyle w:val="Tabltext-dec-9"/>
            </w:pPr>
            <w:r w:rsidRPr="008D54A5">
              <w:t>98.1</w:t>
            </w:r>
          </w:p>
        </w:tc>
        <w:tc>
          <w:tcPr>
            <w:tcW w:w="476" w:type="pct"/>
            <w:tcBorders>
              <w:top w:val="single" w:sz="4" w:space="0" w:color="auto"/>
              <w:left w:val="nil"/>
              <w:bottom w:val="single" w:sz="4" w:space="0" w:color="auto"/>
              <w:right w:val="single" w:sz="4" w:space="0" w:color="auto"/>
            </w:tcBorders>
            <w:shd w:val="clear" w:color="auto" w:fill="auto"/>
            <w:noWrap/>
            <w:hideMark/>
          </w:tcPr>
          <w:p w14:paraId="0A0CD273" w14:textId="423AED70" w:rsidR="001D65E1" w:rsidRPr="008D54A5" w:rsidRDefault="001D65E1" w:rsidP="00E47419">
            <w:pPr>
              <w:pStyle w:val="Tabltext-dec-9"/>
            </w:pPr>
            <w:r w:rsidRPr="008D54A5">
              <w:t>98.4</w:t>
            </w:r>
          </w:p>
        </w:tc>
        <w:tc>
          <w:tcPr>
            <w:tcW w:w="432" w:type="pct"/>
            <w:tcBorders>
              <w:top w:val="single" w:sz="4" w:space="0" w:color="auto"/>
              <w:left w:val="nil"/>
              <w:bottom w:val="single" w:sz="4" w:space="0" w:color="auto"/>
              <w:right w:val="single" w:sz="4" w:space="0" w:color="auto"/>
            </w:tcBorders>
            <w:shd w:val="clear" w:color="auto" w:fill="auto"/>
          </w:tcPr>
          <w:p w14:paraId="6EA6BB08" w14:textId="69B3C2B8" w:rsidR="001D65E1" w:rsidRPr="008D54A5" w:rsidRDefault="001D65E1" w:rsidP="00E47419">
            <w:pPr>
              <w:pStyle w:val="Tabltext-dec-9"/>
            </w:pPr>
            <w:r w:rsidRPr="008D54A5">
              <w:t>3.3</w:t>
            </w:r>
          </w:p>
        </w:tc>
        <w:tc>
          <w:tcPr>
            <w:tcW w:w="432" w:type="pct"/>
            <w:tcBorders>
              <w:top w:val="single" w:sz="4" w:space="0" w:color="auto"/>
              <w:left w:val="nil"/>
              <w:bottom w:val="single" w:sz="4" w:space="0" w:color="auto"/>
              <w:right w:val="single" w:sz="4" w:space="0" w:color="auto"/>
            </w:tcBorders>
            <w:shd w:val="clear" w:color="auto" w:fill="auto"/>
          </w:tcPr>
          <w:p w14:paraId="15CF9C1E" w14:textId="3041EF4D" w:rsidR="001D65E1" w:rsidRPr="008D54A5" w:rsidRDefault="001D65E1" w:rsidP="00E47419">
            <w:pPr>
              <w:pStyle w:val="Tabltext-dec-9"/>
            </w:pPr>
            <w:r w:rsidRPr="008D54A5">
              <w:t>3.2</w:t>
            </w:r>
          </w:p>
        </w:tc>
        <w:tc>
          <w:tcPr>
            <w:tcW w:w="432" w:type="pct"/>
            <w:tcBorders>
              <w:top w:val="single" w:sz="4" w:space="0" w:color="auto"/>
              <w:left w:val="nil"/>
              <w:bottom w:val="single" w:sz="4" w:space="0" w:color="auto"/>
              <w:right w:val="single" w:sz="4" w:space="0" w:color="auto"/>
            </w:tcBorders>
            <w:shd w:val="clear" w:color="auto" w:fill="auto"/>
            <w:noWrap/>
            <w:hideMark/>
          </w:tcPr>
          <w:p w14:paraId="6435C035" w14:textId="6C862A5F" w:rsidR="001D65E1" w:rsidRPr="008D54A5" w:rsidRDefault="001D65E1" w:rsidP="00E47419">
            <w:pPr>
              <w:pStyle w:val="Tabltext-dec-9"/>
            </w:pPr>
            <w:r w:rsidRPr="008D54A5">
              <w:t>3.0</w:t>
            </w:r>
          </w:p>
        </w:tc>
      </w:tr>
      <w:tr w:rsidR="001D65E1" w:rsidRPr="008D54A5" w14:paraId="39950C42"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76767FDC" w14:textId="77777777" w:rsidR="001D65E1" w:rsidRPr="008D54A5" w:rsidRDefault="001D65E1" w:rsidP="00E47419">
            <w:pPr>
              <w:pStyle w:val="TableText-10"/>
            </w:pPr>
            <w:r w:rsidRPr="008D54A5">
              <w:t>Payments &lt; Charges, Expecting Additional Payment (MOREPAY)</w:t>
            </w:r>
          </w:p>
        </w:tc>
        <w:tc>
          <w:tcPr>
            <w:tcW w:w="476" w:type="pct"/>
            <w:tcBorders>
              <w:top w:val="nil"/>
              <w:left w:val="single" w:sz="4" w:space="0" w:color="auto"/>
              <w:bottom w:val="single" w:sz="4" w:space="0" w:color="auto"/>
              <w:right w:val="single" w:sz="4" w:space="0" w:color="auto"/>
            </w:tcBorders>
            <w:shd w:val="clear" w:color="auto" w:fill="auto"/>
          </w:tcPr>
          <w:p w14:paraId="2EF4FB6C" w14:textId="721470B3" w:rsidR="001D65E1" w:rsidRPr="008D54A5" w:rsidRDefault="001D65E1" w:rsidP="00E47419">
            <w:pPr>
              <w:pStyle w:val="Tabltext-dec-9"/>
            </w:pPr>
            <w:r w:rsidRPr="008D54A5">
              <w:t>7.9</w:t>
            </w:r>
          </w:p>
        </w:tc>
        <w:tc>
          <w:tcPr>
            <w:tcW w:w="476" w:type="pct"/>
            <w:tcBorders>
              <w:top w:val="nil"/>
              <w:left w:val="nil"/>
              <w:bottom w:val="single" w:sz="4" w:space="0" w:color="auto"/>
              <w:right w:val="single" w:sz="4" w:space="0" w:color="auto"/>
            </w:tcBorders>
            <w:shd w:val="clear" w:color="auto" w:fill="auto"/>
          </w:tcPr>
          <w:p w14:paraId="535B155F" w14:textId="15347C57" w:rsidR="001D65E1" w:rsidRPr="008D54A5" w:rsidRDefault="001D65E1" w:rsidP="00E47419">
            <w:pPr>
              <w:pStyle w:val="Tabltext-dec-9"/>
            </w:pPr>
            <w:r w:rsidRPr="008D54A5">
              <w:t>7.2</w:t>
            </w:r>
          </w:p>
        </w:tc>
        <w:tc>
          <w:tcPr>
            <w:tcW w:w="476" w:type="pct"/>
            <w:tcBorders>
              <w:top w:val="nil"/>
              <w:left w:val="nil"/>
              <w:bottom w:val="single" w:sz="4" w:space="0" w:color="auto"/>
              <w:right w:val="single" w:sz="4" w:space="0" w:color="auto"/>
            </w:tcBorders>
            <w:shd w:val="clear" w:color="auto" w:fill="auto"/>
            <w:noWrap/>
            <w:hideMark/>
          </w:tcPr>
          <w:p w14:paraId="3B14094B" w14:textId="1992CC15" w:rsidR="001D65E1" w:rsidRPr="008D54A5" w:rsidRDefault="001D65E1" w:rsidP="00E47419">
            <w:pPr>
              <w:pStyle w:val="Tabltext-dec-9"/>
            </w:pPr>
            <w:r w:rsidRPr="008D54A5">
              <w:t>7.9</w:t>
            </w:r>
          </w:p>
        </w:tc>
        <w:tc>
          <w:tcPr>
            <w:tcW w:w="432" w:type="pct"/>
            <w:tcBorders>
              <w:top w:val="nil"/>
              <w:left w:val="nil"/>
              <w:bottom w:val="single" w:sz="4" w:space="0" w:color="auto"/>
              <w:right w:val="single" w:sz="4" w:space="0" w:color="auto"/>
            </w:tcBorders>
            <w:shd w:val="clear" w:color="auto" w:fill="auto"/>
          </w:tcPr>
          <w:p w14:paraId="06D2145F" w14:textId="2FABF721"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49864871" w14:textId="73347AFC"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6B769CDB" w14:textId="3F5F191F" w:rsidR="001D65E1" w:rsidRPr="008D54A5" w:rsidRDefault="001D65E1" w:rsidP="00E47419">
            <w:pPr>
              <w:pStyle w:val="Tabltext-dec-9"/>
            </w:pPr>
            <w:r w:rsidRPr="008D54A5">
              <w:t>3.0</w:t>
            </w:r>
          </w:p>
        </w:tc>
      </w:tr>
      <w:tr w:rsidR="001D65E1" w:rsidRPr="008D54A5" w14:paraId="13EF3D0F"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26041745" w14:textId="77777777" w:rsidR="001D65E1" w:rsidRPr="008D54A5" w:rsidRDefault="001D65E1" w:rsidP="00E47419">
            <w:pPr>
              <w:pStyle w:val="TableText-10"/>
            </w:pPr>
            <w:r w:rsidRPr="008D54A5">
              <w:t>Payments &lt; Charges, Charity (SLIDSCA2)</w:t>
            </w:r>
          </w:p>
        </w:tc>
        <w:tc>
          <w:tcPr>
            <w:tcW w:w="476" w:type="pct"/>
            <w:tcBorders>
              <w:top w:val="nil"/>
              <w:left w:val="single" w:sz="4" w:space="0" w:color="auto"/>
              <w:bottom w:val="single" w:sz="4" w:space="0" w:color="auto"/>
              <w:right w:val="single" w:sz="4" w:space="0" w:color="auto"/>
            </w:tcBorders>
            <w:shd w:val="clear" w:color="auto" w:fill="auto"/>
          </w:tcPr>
          <w:p w14:paraId="4066F2F1" w14:textId="3E53929A" w:rsidR="001D65E1" w:rsidRPr="008D54A5" w:rsidRDefault="001D65E1" w:rsidP="00E47419">
            <w:pPr>
              <w:pStyle w:val="Tabltext-dec-9"/>
            </w:pPr>
            <w:r w:rsidRPr="008D54A5">
              <w:t>1.2</w:t>
            </w:r>
          </w:p>
        </w:tc>
        <w:tc>
          <w:tcPr>
            <w:tcW w:w="476" w:type="pct"/>
            <w:tcBorders>
              <w:top w:val="nil"/>
              <w:left w:val="nil"/>
              <w:bottom w:val="single" w:sz="4" w:space="0" w:color="auto"/>
              <w:right w:val="single" w:sz="4" w:space="0" w:color="auto"/>
            </w:tcBorders>
            <w:shd w:val="clear" w:color="auto" w:fill="auto"/>
          </w:tcPr>
          <w:p w14:paraId="53B2DAF4" w14:textId="272BFDB5" w:rsidR="001D65E1" w:rsidRPr="008D54A5" w:rsidRDefault="001D65E1" w:rsidP="00E47419">
            <w:pPr>
              <w:pStyle w:val="Tabltext-dec-9"/>
            </w:pPr>
            <w:r w:rsidRPr="008D54A5">
              <w:t>1.1</w:t>
            </w:r>
          </w:p>
        </w:tc>
        <w:tc>
          <w:tcPr>
            <w:tcW w:w="476" w:type="pct"/>
            <w:tcBorders>
              <w:top w:val="nil"/>
              <w:left w:val="nil"/>
              <w:bottom w:val="single" w:sz="4" w:space="0" w:color="auto"/>
              <w:right w:val="single" w:sz="4" w:space="0" w:color="auto"/>
            </w:tcBorders>
            <w:shd w:val="clear" w:color="auto" w:fill="auto"/>
            <w:noWrap/>
            <w:hideMark/>
          </w:tcPr>
          <w:p w14:paraId="05FD7D00" w14:textId="5DB0C179" w:rsidR="001D65E1" w:rsidRPr="008D54A5" w:rsidRDefault="001D65E1" w:rsidP="00E47419">
            <w:pPr>
              <w:pStyle w:val="Tabltext-dec-9"/>
            </w:pPr>
            <w:r w:rsidRPr="008D54A5">
              <w:t>1.2</w:t>
            </w:r>
          </w:p>
        </w:tc>
        <w:tc>
          <w:tcPr>
            <w:tcW w:w="432" w:type="pct"/>
            <w:tcBorders>
              <w:top w:val="nil"/>
              <w:left w:val="nil"/>
              <w:bottom w:val="single" w:sz="4" w:space="0" w:color="auto"/>
              <w:right w:val="single" w:sz="4" w:space="0" w:color="auto"/>
            </w:tcBorders>
            <w:shd w:val="clear" w:color="auto" w:fill="auto"/>
          </w:tcPr>
          <w:p w14:paraId="52CC66D9" w14:textId="60FB2C0D"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75FC6FDC" w14:textId="1ED5DA8C"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2953DEC8" w14:textId="0D2DEEF3" w:rsidR="001D65E1" w:rsidRPr="008D54A5" w:rsidRDefault="001D65E1" w:rsidP="00E47419">
            <w:pPr>
              <w:pStyle w:val="Tabltext-dec-9"/>
            </w:pPr>
            <w:r w:rsidRPr="008D54A5">
              <w:t>3.0</w:t>
            </w:r>
          </w:p>
        </w:tc>
      </w:tr>
      <w:tr w:rsidR="001D65E1" w:rsidRPr="008D54A5" w14:paraId="141BE19F"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5C0623F1" w14:textId="77777777" w:rsidR="001D65E1" w:rsidRPr="008D54A5" w:rsidRDefault="001D65E1" w:rsidP="00E47419">
            <w:pPr>
              <w:pStyle w:val="TableText-10"/>
            </w:pPr>
            <w:r w:rsidRPr="008D54A5">
              <w:t>Payments &lt; Charges, Bad Debt (BADDEB2)</w:t>
            </w:r>
          </w:p>
        </w:tc>
        <w:tc>
          <w:tcPr>
            <w:tcW w:w="476" w:type="pct"/>
            <w:tcBorders>
              <w:top w:val="nil"/>
              <w:left w:val="single" w:sz="4" w:space="0" w:color="auto"/>
              <w:bottom w:val="single" w:sz="4" w:space="0" w:color="auto"/>
              <w:right w:val="single" w:sz="4" w:space="0" w:color="auto"/>
            </w:tcBorders>
            <w:shd w:val="clear" w:color="auto" w:fill="auto"/>
          </w:tcPr>
          <w:p w14:paraId="60FF0023" w14:textId="36349BB2" w:rsidR="001D65E1" w:rsidRPr="008D54A5" w:rsidRDefault="001D65E1" w:rsidP="00E47419">
            <w:pPr>
              <w:pStyle w:val="Tabltext-dec-9"/>
            </w:pPr>
            <w:r w:rsidRPr="008D54A5">
              <w:t>0.9</w:t>
            </w:r>
          </w:p>
        </w:tc>
        <w:tc>
          <w:tcPr>
            <w:tcW w:w="476" w:type="pct"/>
            <w:tcBorders>
              <w:top w:val="nil"/>
              <w:left w:val="nil"/>
              <w:bottom w:val="single" w:sz="4" w:space="0" w:color="auto"/>
              <w:right w:val="single" w:sz="4" w:space="0" w:color="auto"/>
            </w:tcBorders>
            <w:shd w:val="clear" w:color="auto" w:fill="auto"/>
          </w:tcPr>
          <w:p w14:paraId="3D9D84C8" w14:textId="1B45D714" w:rsidR="001D65E1" w:rsidRPr="008D54A5" w:rsidRDefault="001D65E1" w:rsidP="00E47419">
            <w:pPr>
              <w:pStyle w:val="Tabltext-dec-9"/>
            </w:pPr>
            <w:r w:rsidRPr="008D54A5">
              <w:t>0.9</w:t>
            </w:r>
          </w:p>
        </w:tc>
        <w:tc>
          <w:tcPr>
            <w:tcW w:w="476" w:type="pct"/>
            <w:tcBorders>
              <w:top w:val="nil"/>
              <w:left w:val="nil"/>
              <w:bottom w:val="single" w:sz="4" w:space="0" w:color="auto"/>
              <w:right w:val="single" w:sz="4" w:space="0" w:color="auto"/>
            </w:tcBorders>
            <w:shd w:val="clear" w:color="auto" w:fill="auto"/>
            <w:noWrap/>
            <w:hideMark/>
          </w:tcPr>
          <w:p w14:paraId="729DB6EE" w14:textId="6158E4D1" w:rsidR="001D65E1" w:rsidRPr="008D54A5" w:rsidRDefault="001D65E1" w:rsidP="00E47419">
            <w:pPr>
              <w:pStyle w:val="Tabltext-dec-9"/>
            </w:pPr>
            <w:r w:rsidRPr="008D54A5">
              <w:t>0.9</w:t>
            </w:r>
          </w:p>
        </w:tc>
        <w:tc>
          <w:tcPr>
            <w:tcW w:w="432" w:type="pct"/>
            <w:tcBorders>
              <w:top w:val="nil"/>
              <w:left w:val="nil"/>
              <w:bottom w:val="single" w:sz="4" w:space="0" w:color="auto"/>
              <w:right w:val="single" w:sz="4" w:space="0" w:color="auto"/>
            </w:tcBorders>
            <w:shd w:val="clear" w:color="auto" w:fill="auto"/>
          </w:tcPr>
          <w:p w14:paraId="3D7090DA" w14:textId="2A4F1BDD"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1E78EADC" w14:textId="37ECC361"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27E77AAC" w14:textId="11102EC4" w:rsidR="001D65E1" w:rsidRPr="008D54A5" w:rsidRDefault="001D65E1" w:rsidP="00E47419">
            <w:pPr>
              <w:pStyle w:val="Tabltext-dec-9"/>
            </w:pPr>
            <w:r w:rsidRPr="008D54A5">
              <w:t>3.0</w:t>
            </w:r>
          </w:p>
        </w:tc>
      </w:tr>
      <w:tr w:rsidR="001D65E1" w:rsidRPr="008D54A5" w14:paraId="0E720831"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0CAB58EC" w14:textId="77777777" w:rsidR="001D65E1" w:rsidRPr="008D54A5" w:rsidRDefault="001D65E1" w:rsidP="00E47419">
            <w:pPr>
              <w:pStyle w:val="TableText-10"/>
            </w:pPr>
            <w:r w:rsidRPr="008D54A5">
              <w:t>Expect Additional Payment, Patient (EPAYPAT)</w:t>
            </w:r>
          </w:p>
        </w:tc>
        <w:tc>
          <w:tcPr>
            <w:tcW w:w="476" w:type="pct"/>
            <w:tcBorders>
              <w:top w:val="nil"/>
              <w:left w:val="single" w:sz="4" w:space="0" w:color="auto"/>
              <w:bottom w:val="single" w:sz="4" w:space="0" w:color="auto"/>
              <w:right w:val="single" w:sz="4" w:space="0" w:color="auto"/>
            </w:tcBorders>
            <w:shd w:val="clear" w:color="auto" w:fill="auto"/>
          </w:tcPr>
          <w:p w14:paraId="0B481397" w14:textId="34DED677" w:rsidR="001D65E1" w:rsidRPr="008D54A5" w:rsidRDefault="001D65E1" w:rsidP="00E47419">
            <w:pPr>
              <w:pStyle w:val="Tabltext-dec-9"/>
            </w:pPr>
            <w:r w:rsidRPr="008D54A5">
              <w:t>5.5</w:t>
            </w:r>
          </w:p>
        </w:tc>
        <w:tc>
          <w:tcPr>
            <w:tcW w:w="476" w:type="pct"/>
            <w:tcBorders>
              <w:top w:val="nil"/>
              <w:left w:val="nil"/>
              <w:bottom w:val="single" w:sz="4" w:space="0" w:color="auto"/>
              <w:right w:val="single" w:sz="4" w:space="0" w:color="auto"/>
            </w:tcBorders>
            <w:shd w:val="clear" w:color="auto" w:fill="auto"/>
          </w:tcPr>
          <w:p w14:paraId="7CA7400C" w14:textId="63D67516" w:rsidR="001D65E1" w:rsidRPr="008D54A5" w:rsidRDefault="001D65E1" w:rsidP="00E47419">
            <w:pPr>
              <w:pStyle w:val="Tabltext-dec-9"/>
            </w:pPr>
            <w:r w:rsidRPr="008D54A5">
              <w:t>4.7</w:t>
            </w:r>
          </w:p>
        </w:tc>
        <w:tc>
          <w:tcPr>
            <w:tcW w:w="476" w:type="pct"/>
            <w:tcBorders>
              <w:top w:val="nil"/>
              <w:left w:val="nil"/>
              <w:bottom w:val="single" w:sz="4" w:space="0" w:color="auto"/>
              <w:right w:val="single" w:sz="4" w:space="0" w:color="auto"/>
            </w:tcBorders>
            <w:shd w:val="clear" w:color="auto" w:fill="auto"/>
            <w:noWrap/>
            <w:hideMark/>
          </w:tcPr>
          <w:p w14:paraId="247F0624" w14:textId="3556AF60" w:rsidR="001D65E1" w:rsidRPr="008D54A5" w:rsidRDefault="001D65E1" w:rsidP="00E47419">
            <w:pPr>
              <w:pStyle w:val="Tabltext-dec-9"/>
            </w:pPr>
            <w:r w:rsidRPr="008D54A5">
              <w:t>5.6</w:t>
            </w:r>
          </w:p>
        </w:tc>
        <w:tc>
          <w:tcPr>
            <w:tcW w:w="432" w:type="pct"/>
            <w:tcBorders>
              <w:top w:val="nil"/>
              <w:left w:val="nil"/>
              <w:bottom w:val="single" w:sz="4" w:space="0" w:color="auto"/>
              <w:right w:val="single" w:sz="4" w:space="0" w:color="auto"/>
            </w:tcBorders>
            <w:shd w:val="clear" w:color="auto" w:fill="auto"/>
          </w:tcPr>
          <w:p w14:paraId="02154252" w14:textId="5992BC4E"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0AF1E648" w14:textId="6D4EF2A5"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6423C157" w14:textId="08BF9CE1" w:rsidR="001D65E1" w:rsidRPr="008D54A5" w:rsidRDefault="001D65E1" w:rsidP="00E47419">
            <w:pPr>
              <w:pStyle w:val="Tabltext-dec-9"/>
            </w:pPr>
            <w:r w:rsidRPr="008D54A5">
              <w:t>3.0</w:t>
            </w:r>
          </w:p>
        </w:tc>
      </w:tr>
      <w:tr w:rsidR="001D65E1" w:rsidRPr="008D54A5" w14:paraId="016D4047"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47B0E6FD" w14:textId="77777777" w:rsidR="001D65E1" w:rsidRPr="008D54A5" w:rsidRDefault="001D65E1" w:rsidP="00E47419">
            <w:pPr>
              <w:pStyle w:val="TableText-10"/>
            </w:pPr>
            <w:r w:rsidRPr="008D54A5">
              <w:t>Expect Additional Payment, Medicare (EPAYCAR)</w:t>
            </w:r>
          </w:p>
        </w:tc>
        <w:tc>
          <w:tcPr>
            <w:tcW w:w="476" w:type="pct"/>
            <w:tcBorders>
              <w:top w:val="nil"/>
              <w:left w:val="single" w:sz="4" w:space="0" w:color="auto"/>
              <w:bottom w:val="single" w:sz="4" w:space="0" w:color="auto"/>
              <w:right w:val="single" w:sz="4" w:space="0" w:color="auto"/>
            </w:tcBorders>
            <w:shd w:val="clear" w:color="auto" w:fill="auto"/>
          </w:tcPr>
          <w:p w14:paraId="739202B9" w14:textId="39F21DCF" w:rsidR="001D65E1" w:rsidRPr="008D54A5" w:rsidRDefault="001D65E1" w:rsidP="00E47419">
            <w:pPr>
              <w:pStyle w:val="Tabltext-dec-9"/>
            </w:pPr>
            <w:r w:rsidRPr="008D54A5">
              <w:t>0.9</w:t>
            </w:r>
          </w:p>
        </w:tc>
        <w:tc>
          <w:tcPr>
            <w:tcW w:w="476" w:type="pct"/>
            <w:tcBorders>
              <w:top w:val="nil"/>
              <w:left w:val="nil"/>
              <w:bottom w:val="single" w:sz="4" w:space="0" w:color="auto"/>
              <w:right w:val="single" w:sz="4" w:space="0" w:color="auto"/>
            </w:tcBorders>
            <w:shd w:val="clear" w:color="auto" w:fill="auto"/>
          </w:tcPr>
          <w:p w14:paraId="38BB2053" w14:textId="186E5F46" w:rsidR="001D65E1" w:rsidRPr="008D54A5" w:rsidRDefault="001D65E1" w:rsidP="00E47419">
            <w:pPr>
              <w:pStyle w:val="Tabltext-dec-9"/>
            </w:pPr>
            <w:r w:rsidRPr="008D54A5">
              <w:t>1.0</w:t>
            </w:r>
          </w:p>
        </w:tc>
        <w:tc>
          <w:tcPr>
            <w:tcW w:w="476" w:type="pct"/>
            <w:tcBorders>
              <w:top w:val="nil"/>
              <w:left w:val="nil"/>
              <w:bottom w:val="single" w:sz="4" w:space="0" w:color="auto"/>
              <w:right w:val="single" w:sz="4" w:space="0" w:color="auto"/>
            </w:tcBorders>
            <w:shd w:val="clear" w:color="auto" w:fill="auto"/>
            <w:noWrap/>
            <w:hideMark/>
          </w:tcPr>
          <w:p w14:paraId="689A51AC" w14:textId="5D49C86F" w:rsidR="001D65E1" w:rsidRPr="008D54A5" w:rsidRDefault="001D65E1" w:rsidP="00E47419">
            <w:pPr>
              <w:pStyle w:val="Tabltext-dec-9"/>
            </w:pPr>
            <w:r w:rsidRPr="008D54A5">
              <w:t>0.8</w:t>
            </w:r>
          </w:p>
        </w:tc>
        <w:tc>
          <w:tcPr>
            <w:tcW w:w="432" w:type="pct"/>
            <w:tcBorders>
              <w:top w:val="nil"/>
              <w:left w:val="nil"/>
              <w:bottom w:val="single" w:sz="4" w:space="0" w:color="auto"/>
              <w:right w:val="single" w:sz="4" w:space="0" w:color="auto"/>
            </w:tcBorders>
            <w:shd w:val="clear" w:color="auto" w:fill="auto"/>
          </w:tcPr>
          <w:p w14:paraId="38AE39B3" w14:textId="729B3984"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36E8E3AE" w14:textId="47FA6C12"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4F028426" w14:textId="6D10D6C3" w:rsidR="001D65E1" w:rsidRPr="008D54A5" w:rsidRDefault="001D65E1" w:rsidP="00E47419">
            <w:pPr>
              <w:pStyle w:val="Tabltext-dec-9"/>
            </w:pPr>
            <w:r w:rsidRPr="008D54A5">
              <w:t>3.0</w:t>
            </w:r>
          </w:p>
        </w:tc>
      </w:tr>
      <w:tr w:rsidR="001D65E1" w:rsidRPr="008D54A5" w14:paraId="60B7CF96"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5747A37B" w14:textId="77777777" w:rsidR="001D65E1" w:rsidRPr="008D54A5" w:rsidRDefault="001D65E1" w:rsidP="00E47419">
            <w:pPr>
              <w:pStyle w:val="TableText-10"/>
            </w:pPr>
            <w:r w:rsidRPr="008D54A5">
              <w:t>Expect Additional Payment, Medicaid (EPAYAID)</w:t>
            </w:r>
          </w:p>
        </w:tc>
        <w:tc>
          <w:tcPr>
            <w:tcW w:w="476" w:type="pct"/>
            <w:tcBorders>
              <w:top w:val="nil"/>
              <w:left w:val="single" w:sz="4" w:space="0" w:color="auto"/>
              <w:bottom w:val="single" w:sz="4" w:space="0" w:color="auto"/>
              <w:right w:val="single" w:sz="4" w:space="0" w:color="auto"/>
            </w:tcBorders>
            <w:shd w:val="clear" w:color="auto" w:fill="auto"/>
          </w:tcPr>
          <w:p w14:paraId="075F443A" w14:textId="3A0BEA15" w:rsidR="001D65E1" w:rsidRPr="008D54A5" w:rsidRDefault="001D65E1" w:rsidP="00E47419">
            <w:pPr>
              <w:pStyle w:val="Tabltext-dec-9"/>
            </w:pPr>
            <w:r w:rsidRPr="008D54A5">
              <w:t>0.7</w:t>
            </w:r>
          </w:p>
        </w:tc>
        <w:tc>
          <w:tcPr>
            <w:tcW w:w="476" w:type="pct"/>
            <w:tcBorders>
              <w:top w:val="nil"/>
              <w:left w:val="nil"/>
              <w:bottom w:val="single" w:sz="4" w:space="0" w:color="auto"/>
              <w:right w:val="single" w:sz="4" w:space="0" w:color="auto"/>
            </w:tcBorders>
            <w:shd w:val="clear" w:color="auto" w:fill="auto"/>
          </w:tcPr>
          <w:p w14:paraId="41C814DB" w14:textId="761FE930" w:rsidR="001D65E1" w:rsidRPr="008D54A5" w:rsidRDefault="001D65E1" w:rsidP="00E47419">
            <w:pPr>
              <w:pStyle w:val="Tabltext-dec-9"/>
            </w:pPr>
            <w:r w:rsidRPr="008D54A5">
              <w:t>0.9</w:t>
            </w:r>
          </w:p>
        </w:tc>
        <w:tc>
          <w:tcPr>
            <w:tcW w:w="476" w:type="pct"/>
            <w:tcBorders>
              <w:top w:val="nil"/>
              <w:left w:val="nil"/>
              <w:bottom w:val="single" w:sz="4" w:space="0" w:color="auto"/>
              <w:right w:val="single" w:sz="4" w:space="0" w:color="auto"/>
            </w:tcBorders>
            <w:shd w:val="clear" w:color="auto" w:fill="auto"/>
            <w:noWrap/>
            <w:hideMark/>
          </w:tcPr>
          <w:p w14:paraId="72578EA8" w14:textId="4141D42B" w:rsidR="001D65E1" w:rsidRPr="008D54A5" w:rsidRDefault="001D65E1" w:rsidP="00E47419">
            <w:pPr>
              <w:pStyle w:val="Tabltext-dec-9"/>
            </w:pPr>
            <w:r w:rsidRPr="008D54A5">
              <w:t>0.6</w:t>
            </w:r>
          </w:p>
        </w:tc>
        <w:tc>
          <w:tcPr>
            <w:tcW w:w="432" w:type="pct"/>
            <w:tcBorders>
              <w:top w:val="nil"/>
              <w:left w:val="nil"/>
              <w:bottom w:val="single" w:sz="4" w:space="0" w:color="auto"/>
              <w:right w:val="single" w:sz="4" w:space="0" w:color="auto"/>
            </w:tcBorders>
            <w:shd w:val="clear" w:color="auto" w:fill="auto"/>
          </w:tcPr>
          <w:p w14:paraId="04A5AFD0" w14:textId="157547AC"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295092B5" w14:textId="4F4B40FD"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5344DB51" w14:textId="150909E5" w:rsidR="001D65E1" w:rsidRPr="008D54A5" w:rsidRDefault="001D65E1" w:rsidP="00E47419">
            <w:pPr>
              <w:pStyle w:val="Tabltext-dec-9"/>
            </w:pPr>
            <w:r w:rsidRPr="008D54A5">
              <w:t>3.0</w:t>
            </w:r>
          </w:p>
        </w:tc>
      </w:tr>
      <w:tr w:rsidR="001D65E1" w:rsidRPr="008D54A5" w14:paraId="29231419"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06A38A68" w14:textId="77777777" w:rsidR="001D65E1" w:rsidRPr="008D54A5" w:rsidRDefault="001D65E1" w:rsidP="00E47419">
            <w:pPr>
              <w:pStyle w:val="TableText-10"/>
            </w:pPr>
            <w:r w:rsidRPr="008D54A5">
              <w:t>Expect Additional Payment, Private Insurance (EPAYPINS)</w:t>
            </w:r>
          </w:p>
        </w:tc>
        <w:tc>
          <w:tcPr>
            <w:tcW w:w="476" w:type="pct"/>
            <w:tcBorders>
              <w:top w:val="nil"/>
              <w:left w:val="single" w:sz="4" w:space="0" w:color="auto"/>
              <w:bottom w:val="single" w:sz="4" w:space="0" w:color="auto"/>
              <w:right w:val="single" w:sz="4" w:space="0" w:color="auto"/>
            </w:tcBorders>
            <w:shd w:val="clear" w:color="auto" w:fill="auto"/>
          </w:tcPr>
          <w:p w14:paraId="7C8B4453" w14:textId="16CD63D2" w:rsidR="001D65E1" w:rsidRPr="008D54A5" w:rsidRDefault="001D65E1" w:rsidP="00E47419">
            <w:pPr>
              <w:pStyle w:val="Tabltext-dec-9"/>
            </w:pPr>
            <w:r w:rsidRPr="008D54A5">
              <w:t>0.9</w:t>
            </w:r>
          </w:p>
        </w:tc>
        <w:tc>
          <w:tcPr>
            <w:tcW w:w="476" w:type="pct"/>
            <w:tcBorders>
              <w:top w:val="nil"/>
              <w:left w:val="nil"/>
              <w:bottom w:val="single" w:sz="4" w:space="0" w:color="auto"/>
              <w:right w:val="single" w:sz="4" w:space="0" w:color="auto"/>
            </w:tcBorders>
            <w:shd w:val="clear" w:color="auto" w:fill="auto"/>
          </w:tcPr>
          <w:p w14:paraId="0BA8E574" w14:textId="607B29A8" w:rsidR="001D65E1" w:rsidRPr="008D54A5" w:rsidRDefault="001D65E1" w:rsidP="00E47419">
            <w:pPr>
              <w:pStyle w:val="Tabltext-dec-9"/>
            </w:pPr>
            <w:r w:rsidRPr="008D54A5">
              <w:t>0.9</w:t>
            </w:r>
          </w:p>
        </w:tc>
        <w:tc>
          <w:tcPr>
            <w:tcW w:w="476" w:type="pct"/>
            <w:tcBorders>
              <w:top w:val="nil"/>
              <w:left w:val="nil"/>
              <w:bottom w:val="single" w:sz="4" w:space="0" w:color="auto"/>
              <w:right w:val="single" w:sz="4" w:space="0" w:color="auto"/>
            </w:tcBorders>
            <w:shd w:val="clear" w:color="auto" w:fill="auto"/>
            <w:noWrap/>
            <w:hideMark/>
          </w:tcPr>
          <w:p w14:paraId="4B01743F" w14:textId="6FF9FEF9" w:rsidR="001D65E1" w:rsidRPr="008D54A5" w:rsidRDefault="001D65E1" w:rsidP="00E47419">
            <w:pPr>
              <w:pStyle w:val="Tabltext-dec-9"/>
            </w:pPr>
            <w:r w:rsidRPr="008D54A5">
              <w:t>1.0</w:t>
            </w:r>
          </w:p>
        </w:tc>
        <w:tc>
          <w:tcPr>
            <w:tcW w:w="432" w:type="pct"/>
            <w:tcBorders>
              <w:top w:val="nil"/>
              <w:left w:val="nil"/>
              <w:bottom w:val="single" w:sz="4" w:space="0" w:color="auto"/>
              <w:right w:val="single" w:sz="4" w:space="0" w:color="auto"/>
            </w:tcBorders>
            <w:shd w:val="clear" w:color="auto" w:fill="auto"/>
          </w:tcPr>
          <w:p w14:paraId="04ACCEF7" w14:textId="64B79AB4"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3D6D20C7" w14:textId="72B6DC28"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742B7C38" w14:textId="6C28D288" w:rsidR="001D65E1" w:rsidRPr="008D54A5" w:rsidRDefault="001D65E1" w:rsidP="00E47419">
            <w:pPr>
              <w:pStyle w:val="Tabltext-dec-9"/>
            </w:pPr>
            <w:r w:rsidRPr="008D54A5">
              <w:t>3.0</w:t>
            </w:r>
          </w:p>
        </w:tc>
      </w:tr>
      <w:tr w:rsidR="001D65E1" w:rsidRPr="008D54A5" w14:paraId="3DE687A1"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41C6D0A2" w14:textId="77777777" w:rsidR="001D65E1" w:rsidRPr="008D54A5" w:rsidRDefault="001D65E1" w:rsidP="00E47419">
            <w:pPr>
              <w:pStyle w:val="TableText-10"/>
            </w:pPr>
            <w:r w:rsidRPr="008D54A5">
              <w:t>Expect Additional Payment, VA/CHAMPVA (EPAYVA)</w:t>
            </w:r>
          </w:p>
        </w:tc>
        <w:tc>
          <w:tcPr>
            <w:tcW w:w="476" w:type="pct"/>
            <w:tcBorders>
              <w:top w:val="nil"/>
              <w:left w:val="single" w:sz="4" w:space="0" w:color="auto"/>
              <w:bottom w:val="single" w:sz="4" w:space="0" w:color="auto"/>
              <w:right w:val="single" w:sz="4" w:space="0" w:color="auto"/>
            </w:tcBorders>
            <w:shd w:val="clear" w:color="auto" w:fill="auto"/>
          </w:tcPr>
          <w:p w14:paraId="11E8F8C6" w14:textId="752189BD" w:rsidR="001D65E1" w:rsidRPr="008D54A5" w:rsidRDefault="001D65E1" w:rsidP="00E47419">
            <w:pPr>
              <w:pStyle w:val="Tabltext-dec-9"/>
            </w:pPr>
            <w:r w:rsidRPr="008D54A5">
              <w:t>0.1</w:t>
            </w:r>
          </w:p>
        </w:tc>
        <w:tc>
          <w:tcPr>
            <w:tcW w:w="476" w:type="pct"/>
            <w:tcBorders>
              <w:top w:val="nil"/>
              <w:left w:val="nil"/>
              <w:bottom w:val="single" w:sz="4" w:space="0" w:color="auto"/>
              <w:right w:val="single" w:sz="4" w:space="0" w:color="auto"/>
            </w:tcBorders>
            <w:shd w:val="clear" w:color="auto" w:fill="auto"/>
          </w:tcPr>
          <w:p w14:paraId="2083A592" w14:textId="22AE0BE0" w:rsidR="001D65E1" w:rsidRPr="008D54A5" w:rsidRDefault="001D65E1" w:rsidP="00E47419">
            <w:pPr>
              <w:pStyle w:val="Tabltext-dec-9"/>
            </w:pPr>
            <w:r w:rsidRPr="008D54A5">
              <w:t>0.0</w:t>
            </w:r>
          </w:p>
        </w:tc>
        <w:tc>
          <w:tcPr>
            <w:tcW w:w="476" w:type="pct"/>
            <w:tcBorders>
              <w:top w:val="nil"/>
              <w:left w:val="nil"/>
              <w:bottom w:val="single" w:sz="4" w:space="0" w:color="auto"/>
              <w:right w:val="single" w:sz="4" w:space="0" w:color="auto"/>
            </w:tcBorders>
            <w:shd w:val="clear" w:color="auto" w:fill="auto"/>
            <w:noWrap/>
            <w:hideMark/>
          </w:tcPr>
          <w:p w14:paraId="033EB09F" w14:textId="0A0A5FBA" w:rsidR="001D65E1" w:rsidRPr="008D54A5" w:rsidRDefault="001D65E1" w:rsidP="00E47419">
            <w:pPr>
              <w:pStyle w:val="Tabltext-dec-9"/>
            </w:pPr>
            <w:r w:rsidRPr="008D54A5">
              <w:t>0.0</w:t>
            </w:r>
          </w:p>
        </w:tc>
        <w:tc>
          <w:tcPr>
            <w:tcW w:w="432" w:type="pct"/>
            <w:tcBorders>
              <w:top w:val="nil"/>
              <w:left w:val="nil"/>
              <w:bottom w:val="single" w:sz="4" w:space="0" w:color="auto"/>
              <w:right w:val="single" w:sz="4" w:space="0" w:color="auto"/>
            </w:tcBorders>
            <w:shd w:val="clear" w:color="auto" w:fill="auto"/>
          </w:tcPr>
          <w:p w14:paraId="50E3A6F9" w14:textId="4B0723C2"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7812A0EC" w14:textId="6BF3A45D"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4B07BDDB" w14:textId="7CF56A49" w:rsidR="001D65E1" w:rsidRPr="008D54A5" w:rsidRDefault="001D65E1" w:rsidP="00E47419">
            <w:pPr>
              <w:pStyle w:val="Tabltext-dec-9"/>
            </w:pPr>
            <w:r w:rsidRPr="008D54A5">
              <w:t>3.0</w:t>
            </w:r>
          </w:p>
        </w:tc>
      </w:tr>
      <w:tr w:rsidR="001D65E1" w:rsidRPr="008D54A5" w14:paraId="1314B0C1"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4FEDFB49" w14:textId="77777777" w:rsidR="001D65E1" w:rsidRPr="008D54A5" w:rsidRDefault="001D65E1" w:rsidP="00E47419">
            <w:pPr>
              <w:pStyle w:val="TableText-10"/>
            </w:pPr>
            <w:r w:rsidRPr="008D54A5">
              <w:t>Expect Additional Payment, TRICARE (EPAYCHAM)</w:t>
            </w:r>
          </w:p>
        </w:tc>
        <w:tc>
          <w:tcPr>
            <w:tcW w:w="476" w:type="pct"/>
            <w:tcBorders>
              <w:top w:val="nil"/>
              <w:left w:val="single" w:sz="4" w:space="0" w:color="auto"/>
              <w:bottom w:val="single" w:sz="4" w:space="0" w:color="auto"/>
              <w:right w:val="single" w:sz="4" w:space="0" w:color="auto"/>
            </w:tcBorders>
            <w:shd w:val="clear" w:color="auto" w:fill="auto"/>
          </w:tcPr>
          <w:p w14:paraId="59C04C69" w14:textId="6DFB5EF0" w:rsidR="001D65E1" w:rsidRPr="008D54A5" w:rsidRDefault="001D65E1" w:rsidP="00E47419">
            <w:pPr>
              <w:pStyle w:val="Tabltext-dec-9"/>
            </w:pPr>
            <w:r w:rsidRPr="008D54A5">
              <w:t>0.0</w:t>
            </w:r>
          </w:p>
        </w:tc>
        <w:tc>
          <w:tcPr>
            <w:tcW w:w="476" w:type="pct"/>
            <w:tcBorders>
              <w:top w:val="nil"/>
              <w:left w:val="nil"/>
              <w:bottom w:val="single" w:sz="4" w:space="0" w:color="auto"/>
              <w:right w:val="single" w:sz="4" w:space="0" w:color="auto"/>
            </w:tcBorders>
            <w:shd w:val="clear" w:color="auto" w:fill="auto"/>
          </w:tcPr>
          <w:p w14:paraId="70313872" w14:textId="5F761718" w:rsidR="001D65E1" w:rsidRPr="008D54A5" w:rsidRDefault="001D65E1" w:rsidP="00E47419">
            <w:pPr>
              <w:pStyle w:val="Tabltext-dec-9"/>
            </w:pPr>
            <w:r w:rsidRPr="008D54A5">
              <w:t>0.1</w:t>
            </w:r>
          </w:p>
        </w:tc>
        <w:tc>
          <w:tcPr>
            <w:tcW w:w="476" w:type="pct"/>
            <w:tcBorders>
              <w:top w:val="nil"/>
              <w:left w:val="nil"/>
              <w:bottom w:val="single" w:sz="4" w:space="0" w:color="auto"/>
              <w:right w:val="single" w:sz="4" w:space="0" w:color="auto"/>
            </w:tcBorders>
            <w:shd w:val="clear" w:color="auto" w:fill="auto"/>
            <w:noWrap/>
            <w:hideMark/>
          </w:tcPr>
          <w:p w14:paraId="77CE0A84" w14:textId="5060E1F0" w:rsidR="001D65E1" w:rsidRPr="008D54A5" w:rsidRDefault="001D65E1" w:rsidP="00E47419">
            <w:pPr>
              <w:pStyle w:val="Tabltext-dec-9"/>
            </w:pPr>
            <w:r w:rsidRPr="008D54A5">
              <w:t>0.1</w:t>
            </w:r>
          </w:p>
        </w:tc>
        <w:tc>
          <w:tcPr>
            <w:tcW w:w="432" w:type="pct"/>
            <w:tcBorders>
              <w:top w:val="nil"/>
              <w:left w:val="nil"/>
              <w:bottom w:val="single" w:sz="4" w:space="0" w:color="auto"/>
              <w:right w:val="single" w:sz="4" w:space="0" w:color="auto"/>
            </w:tcBorders>
            <w:shd w:val="clear" w:color="auto" w:fill="auto"/>
          </w:tcPr>
          <w:p w14:paraId="6037267B" w14:textId="2FC89572"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0C791E2B" w14:textId="3D1A0769"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621D98B3" w14:textId="2A9B2E8C" w:rsidR="001D65E1" w:rsidRPr="008D54A5" w:rsidRDefault="001D65E1" w:rsidP="00E47419">
            <w:pPr>
              <w:pStyle w:val="Tabltext-dec-9"/>
            </w:pPr>
            <w:r w:rsidRPr="008D54A5">
              <w:t>3.0</w:t>
            </w:r>
          </w:p>
        </w:tc>
      </w:tr>
      <w:tr w:rsidR="001D65E1" w:rsidRPr="008D54A5" w14:paraId="0605497E"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1BCD98A8" w14:textId="77777777" w:rsidR="001D65E1" w:rsidRPr="008D54A5" w:rsidRDefault="001D65E1" w:rsidP="00E47419">
            <w:pPr>
              <w:pStyle w:val="TableText-10"/>
            </w:pPr>
            <w:r w:rsidRPr="008D54A5">
              <w:t>Expect Additional Payment, Workers Comp (EPAYWORK)</w:t>
            </w:r>
          </w:p>
        </w:tc>
        <w:tc>
          <w:tcPr>
            <w:tcW w:w="476" w:type="pct"/>
            <w:tcBorders>
              <w:top w:val="nil"/>
              <w:left w:val="single" w:sz="4" w:space="0" w:color="auto"/>
              <w:bottom w:val="single" w:sz="4" w:space="0" w:color="auto"/>
              <w:right w:val="single" w:sz="4" w:space="0" w:color="auto"/>
            </w:tcBorders>
            <w:shd w:val="clear" w:color="auto" w:fill="auto"/>
          </w:tcPr>
          <w:p w14:paraId="5848B104" w14:textId="1E557DD0" w:rsidR="001D65E1" w:rsidRPr="008D54A5" w:rsidRDefault="001D65E1" w:rsidP="00E47419">
            <w:pPr>
              <w:pStyle w:val="Tabltext-dec-9"/>
            </w:pPr>
            <w:r w:rsidRPr="008D54A5">
              <w:t>0.0</w:t>
            </w:r>
          </w:p>
        </w:tc>
        <w:tc>
          <w:tcPr>
            <w:tcW w:w="476" w:type="pct"/>
            <w:tcBorders>
              <w:top w:val="nil"/>
              <w:left w:val="nil"/>
              <w:bottom w:val="single" w:sz="4" w:space="0" w:color="auto"/>
              <w:right w:val="single" w:sz="4" w:space="0" w:color="auto"/>
            </w:tcBorders>
            <w:shd w:val="clear" w:color="auto" w:fill="auto"/>
          </w:tcPr>
          <w:p w14:paraId="1D3945AC" w14:textId="50C85CF1" w:rsidR="001D65E1" w:rsidRPr="008D54A5" w:rsidRDefault="001D65E1" w:rsidP="00E47419">
            <w:pPr>
              <w:pStyle w:val="Tabltext-dec-9"/>
            </w:pPr>
            <w:r w:rsidRPr="008D54A5">
              <w:t>0.0</w:t>
            </w:r>
          </w:p>
        </w:tc>
        <w:tc>
          <w:tcPr>
            <w:tcW w:w="476" w:type="pct"/>
            <w:tcBorders>
              <w:top w:val="nil"/>
              <w:left w:val="nil"/>
              <w:bottom w:val="single" w:sz="4" w:space="0" w:color="auto"/>
              <w:right w:val="single" w:sz="4" w:space="0" w:color="auto"/>
            </w:tcBorders>
            <w:shd w:val="clear" w:color="auto" w:fill="auto"/>
            <w:noWrap/>
            <w:hideMark/>
          </w:tcPr>
          <w:p w14:paraId="396635E1" w14:textId="31A27539" w:rsidR="001D65E1" w:rsidRPr="008D54A5" w:rsidRDefault="001D65E1" w:rsidP="00E47419">
            <w:pPr>
              <w:pStyle w:val="Tabltext-dec-9"/>
            </w:pPr>
            <w:r w:rsidRPr="008D54A5">
              <w:t>0.1</w:t>
            </w:r>
          </w:p>
        </w:tc>
        <w:tc>
          <w:tcPr>
            <w:tcW w:w="432" w:type="pct"/>
            <w:tcBorders>
              <w:top w:val="nil"/>
              <w:left w:val="nil"/>
              <w:bottom w:val="single" w:sz="4" w:space="0" w:color="auto"/>
              <w:right w:val="single" w:sz="4" w:space="0" w:color="auto"/>
            </w:tcBorders>
            <w:shd w:val="clear" w:color="auto" w:fill="auto"/>
          </w:tcPr>
          <w:p w14:paraId="3AE9F1EA" w14:textId="4077E639"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603D55B4" w14:textId="52C7DC5E"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105215A0" w14:textId="585DDCCF" w:rsidR="001D65E1" w:rsidRPr="008D54A5" w:rsidRDefault="001D65E1" w:rsidP="00E47419">
            <w:pPr>
              <w:pStyle w:val="Tabltext-dec-9"/>
            </w:pPr>
            <w:r w:rsidRPr="008D54A5">
              <w:t>3.0</w:t>
            </w:r>
          </w:p>
        </w:tc>
      </w:tr>
      <w:tr w:rsidR="001D65E1" w:rsidRPr="008D54A5" w14:paraId="2F49D06A" w14:textId="77777777" w:rsidTr="006E4110">
        <w:trPr>
          <w:trHeight w:val="20"/>
        </w:trPr>
        <w:tc>
          <w:tcPr>
            <w:tcW w:w="2276" w:type="pct"/>
            <w:tcBorders>
              <w:top w:val="nil"/>
              <w:left w:val="single" w:sz="4" w:space="0" w:color="auto"/>
              <w:bottom w:val="single" w:sz="4" w:space="0" w:color="auto"/>
              <w:right w:val="single" w:sz="4" w:space="0" w:color="auto"/>
            </w:tcBorders>
            <w:shd w:val="clear" w:color="auto" w:fill="auto"/>
            <w:noWrap/>
            <w:vAlign w:val="bottom"/>
            <w:hideMark/>
          </w:tcPr>
          <w:p w14:paraId="13E117EF" w14:textId="77777777" w:rsidR="001D65E1" w:rsidRPr="008D54A5" w:rsidRDefault="001D65E1" w:rsidP="00E47419">
            <w:pPr>
              <w:pStyle w:val="TableText-10"/>
            </w:pPr>
            <w:r w:rsidRPr="008D54A5">
              <w:t>Expect Additional Payment, Something Else (EPAYOTH)</w:t>
            </w:r>
          </w:p>
        </w:tc>
        <w:tc>
          <w:tcPr>
            <w:tcW w:w="476" w:type="pct"/>
            <w:tcBorders>
              <w:top w:val="nil"/>
              <w:left w:val="single" w:sz="4" w:space="0" w:color="auto"/>
              <w:bottom w:val="single" w:sz="4" w:space="0" w:color="auto"/>
              <w:right w:val="single" w:sz="4" w:space="0" w:color="auto"/>
            </w:tcBorders>
            <w:shd w:val="clear" w:color="auto" w:fill="auto"/>
          </w:tcPr>
          <w:p w14:paraId="7CD4C07D" w14:textId="23ECE929" w:rsidR="001D65E1" w:rsidRPr="008D54A5" w:rsidRDefault="001D65E1" w:rsidP="00E47419">
            <w:pPr>
              <w:pStyle w:val="Tabltext-dec-9"/>
            </w:pPr>
            <w:r w:rsidRPr="008D54A5">
              <w:t>0.5</w:t>
            </w:r>
          </w:p>
        </w:tc>
        <w:tc>
          <w:tcPr>
            <w:tcW w:w="476" w:type="pct"/>
            <w:tcBorders>
              <w:top w:val="nil"/>
              <w:left w:val="nil"/>
              <w:bottom w:val="single" w:sz="4" w:space="0" w:color="auto"/>
              <w:right w:val="single" w:sz="4" w:space="0" w:color="auto"/>
            </w:tcBorders>
            <w:shd w:val="clear" w:color="auto" w:fill="auto"/>
          </w:tcPr>
          <w:p w14:paraId="62EFF233" w14:textId="52B99C51" w:rsidR="001D65E1" w:rsidRPr="008D54A5" w:rsidRDefault="001D65E1" w:rsidP="00E47419">
            <w:pPr>
              <w:pStyle w:val="Tabltext-dec-9"/>
            </w:pPr>
            <w:r w:rsidRPr="008D54A5">
              <w:t>0.6</w:t>
            </w:r>
          </w:p>
        </w:tc>
        <w:tc>
          <w:tcPr>
            <w:tcW w:w="476" w:type="pct"/>
            <w:tcBorders>
              <w:top w:val="nil"/>
              <w:left w:val="nil"/>
              <w:bottom w:val="single" w:sz="4" w:space="0" w:color="auto"/>
              <w:right w:val="single" w:sz="4" w:space="0" w:color="auto"/>
            </w:tcBorders>
            <w:shd w:val="clear" w:color="auto" w:fill="auto"/>
            <w:noWrap/>
            <w:hideMark/>
          </w:tcPr>
          <w:p w14:paraId="3D5FD5ED" w14:textId="35AEA1C6" w:rsidR="001D65E1" w:rsidRPr="008D54A5" w:rsidRDefault="001D65E1" w:rsidP="00E47419">
            <w:pPr>
              <w:pStyle w:val="Tabltext-dec-9"/>
            </w:pPr>
            <w:r w:rsidRPr="008D54A5">
              <w:t>0.4</w:t>
            </w:r>
          </w:p>
        </w:tc>
        <w:tc>
          <w:tcPr>
            <w:tcW w:w="432" w:type="pct"/>
            <w:tcBorders>
              <w:top w:val="nil"/>
              <w:left w:val="nil"/>
              <w:bottom w:val="single" w:sz="4" w:space="0" w:color="auto"/>
              <w:right w:val="single" w:sz="4" w:space="0" w:color="auto"/>
            </w:tcBorders>
            <w:shd w:val="clear" w:color="auto" w:fill="auto"/>
          </w:tcPr>
          <w:p w14:paraId="60768B4B" w14:textId="0780F450" w:rsidR="001D65E1" w:rsidRPr="008D54A5" w:rsidRDefault="001D65E1" w:rsidP="00E47419">
            <w:pPr>
              <w:pStyle w:val="Tabltext-dec-9"/>
            </w:pPr>
            <w:r w:rsidRPr="008D54A5">
              <w:t>3.3</w:t>
            </w:r>
          </w:p>
        </w:tc>
        <w:tc>
          <w:tcPr>
            <w:tcW w:w="432" w:type="pct"/>
            <w:tcBorders>
              <w:top w:val="nil"/>
              <w:left w:val="nil"/>
              <w:bottom w:val="single" w:sz="4" w:space="0" w:color="auto"/>
              <w:right w:val="single" w:sz="4" w:space="0" w:color="auto"/>
            </w:tcBorders>
            <w:shd w:val="clear" w:color="auto" w:fill="auto"/>
          </w:tcPr>
          <w:p w14:paraId="246091C3" w14:textId="79294A32" w:rsidR="001D65E1" w:rsidRPr="008D54A5" w:rsidRDefault="001D65E1" w:rsidP="00E47419">
            <w:pPr>
              <w:pStyle w:val="Tabltext-dec-9"/>
            </w:pPr>
            <w:r w:rsidRPr="008D54A5">
              <w:t>3.2</w:t>
            </w:r>
          </w:p>
        </w:tc>
        <w:tc>
          <w:tcPr>
            <w:tcW w:w="432" w:type="pct"/>
            <w:tcBorders>
              <w:top w:val="nil"/>
              <w:left w:val="nil"/>
              <w:bottom w:val="single" w:sz="4" w:space="0" w:color="auto"/>
              <w:right w:val="single" w:sz="4" w:space="0" w:color="auto"/>
            </w:tcBorders>
            <w:shd w:val="clear" w:color="auto" w:fill="auto"/>
            <w:noWrap/>
            <w:hideMark/>
          </w:tcPr>
          <w:p w14:paraId="39126A09" w14:textId="401055A7" w:rsidR="001D65E1" w:rsidRPr="008D54A5" w:rsidRDefault="001D65E1" w:rsidP="00E47419">
            <w:pPr>
              <w:pStyle w:val="Tabltext-dec-9"/>
            </w:pPr>
            <w:r w:rsidRPr="008D54A5">
              <w:t>3.0</w:t>
            </w:r>
          </w:p>
        </w:tc>
      </w:tr>
    </w:tbl>
    <w:p w14:paraId="227BCA74" w14:textId="78627877" w:rsidR="002D4D78" w:rsidRPr="008D54A5" w:rsidRDefault="00A7755A" w:rsidP="002D4D78">
      <w:pPr>
        <w:pStyle w:val="Source-9-1"/>
      </w:pPr>
      <w:r w:rsidRPr="008D54A5">
        <w:rPr>
          <w:szCs w:val="18"/>
        </w:rPr>
        <w:t xml:space="preserve">CHAMPVA = </w:t>
      </w:r>
      <w:r w:rsidRPr="008D54A5">
        <w:rPr>
          <w:color w:val="2E2E2E"/>
          <w:szCs w:val="18"/>
          <w:shd w:val="clear" w:color="auto" w:fill="FFFFFF"/>
        </w:rPr>
        <w:t>Civilian Health and Medical Program of the Department of Veterans Affairs</w:t>
      </w:r>
      <w:r w:rsidRPr="008D54A5">
        <w:rPr>
          <w:szCs w:val="18"/>
        </w:rPr>
        <w:t>;</w:t>
      </w:r>
      <w:r w:rsidRPr="008D54A5">
        <w:t xml:space="preserve"> MPC = </w:t>
      </w:r>
      <w:r w:rsidR="009B294F" w:rsidRPr="008D54A5">
        <w:t>Medical Provider Component</w:t>
      </w:r>
      <w:r w:rsidRPr="008D54A5">
        <w:t xml:space="preserve">; VA = Veterans </w:t>
      </w:r>
      <w:r w:rsidR="00846428" w:rsidRPr="008D54A5">
        <w:t>Affairs</w:t>
      </w:r>
      <w:r w:rsidR="002D4D78" w:rsidRPr="008D54A5">
        <w:t>.</w:t>
      </w:r>
    </w:p>
    <w:p w14:paraId="3DCD4FB8" w14:textId="7FB7C1C5" w:rsidR="00A322E7" w:rsidRPr="008D54A5" w:rsidRDefault="00A322E7" w:rsidP="00950102">
      <w:pPr>
        <w:pStyle w:val="Source10"/>
        <w:rPr>
          <w:sz w:val="18"/>
          <w:szCs w:val="18"/>
        </w:rPr>
      </w:pPr>
      <w:r w:rsidRPr="008D54A5">
        <w:rPr>
          <w:sz w:val="18"/>
          <w:szCs w:val="18"/>
        </w:rPr>
        <w:t>Note: These statistics are based on unique (nonreplicated) MPC events.</w:t>
      </w:r>
      <w:r w:rsidR="00DC29A8" w:rsidRPr="008D54A5">
        <w:rPr>
          <w:sz w:val="18"/>
          <w:szCs w:val="18"/>
        </w:rPr>
        <w:t xml:space="preserve"> Hospital events provided by the VA are not included.</w:t>
      </w:r>
    </w:p>
    <w:p w14:paraId="0562DEDF" w14:textId="200ED469" w:rsidR="00522056" w:rsidRPr="008D54A5" w:rsidRDefault="00A322E7" w:rsidP="00950102">
      <w:pPr>
        <w:pStyle w:val="Source-9-1"/>
      </w:pPr>
      <w:r w:rsidRPr="008D54A5">
        <w:rPr>
          <w:szCs w:val="18"/>
        </w:rPr>
        <w:t xml:space="preserve">Source: </w:t>
      </w:r>
      <w:r w:rsidR="001D65E1" w:rsidRPr="008D54A5">
        <w:rPr>
          <w:szCs w:val="18"/>
        </w:rPr>
        <w:t>2020</w:t>
      </w:r>
      <w:r w:rsidR="006A1542" w:rsidRPr="008D54A5">
        <w:rPr>
          <w:szCs w:val="18"/>
        </w:rPr>
        <w:t>–</w:t>
      </w:r>
      <w:r w:rsidR="001D65E1" w:rsidRPr="008D54A5">
        <w:rPr>
          <w:szCs w:val="18"/>
        </w:rPr>
        <w:t xml:space="preserve">2022 </w:t>
      </w:r>
      <w:r w:rsidRPr="008D54A5">
        <w:rPr>
          <w:szCs w:val="18"/>
        </w:rPr>
        <w:t xml:space="preserve">Medical Expenditure Panel Survey </w:t>
      </w:r>
      <w:r w:rsidR="006A1542" w:rsidRPr="008D54A5">
        <w:rPr>
          <w:szCs w:val="18"/>
        </w:rPr>
        <w:t xml:space="preserve">– </w:t>
      </w:r>
      <w:r w:rsidRPr="008D54A5">
        <w:rPr>
          <w:szCs w:val="18"/>
        </w:rPr>
        <w:t>Medical Provider Component</w:t>
      </w:r>
      <w:r w:rsidRPr="008D54A5">
        <w:t>.</w:t>
      </w:r>
    </w:p>
    <w:p w14:paraId="51BBC65C" w14:textId="77777777" w:rsidR="0007615A" w:rsidRPr="008D54A5" w:rsidRDefault="0007615A" w:rsidP="00393D22">
      <w:pPr>
        <w:rPr>
          <w:szCs w:val="24"/>
        </w:rPr>
        <w:sectPr w:rsidR="0007615A" w:rsidRPr="008D54A5" w:rsidSect="00B73659">
          <w:footerReference w:type="default" r:id="rId22"/>
          <w:pgSz w:w="12240" w:h="15840" w:code="1"/>
          <w:pgMar w:top="1440" w:right="1440" w:bottom="1440" w:left="1440" w:header="576" w:footer="720" w:gutter="0"/>
          <w:cols w:space="720"/>
          <w:docGrid w:linePitch="360"/>
        </w:sectPr>
      </w:pPr>
    </w:p>
    <w:p w14:paraId="2F1A783D" w14:textId="77777777" w:rsidR="00610364" w:rsidRPr="008D54A5" w:rsidRDefault="00610364" w:rsidP="00695955">
      <w:pPr>
        <w:tabs>
          <w:tab w:val="left" w:pos="1440"/>
          <w:tab w:val="right" w:leader="dot" w:pos="9350"/>
        </w:tabs>
        <w:jc w:val="center"/>
        <w:rPr>
          <w:i/>
        </w:rPr>
      </w:pPr>
    </w:p>
    <w:p w14:paraId="47526614" w14:textId="4C02F13E" w:rsidR="00B14F7F" w:rsidRPr="008D54A5" w:rsidRDefault="00695955" w:rsidP="00695955">
      <w:pPr>
        <w:tabs>
          <w:tab w:val="left" w:pos="1440"/>
          <w:tab w:val="right" w:leader="dot" w:pos="9350"/>
        </w:tabs>
        <w:jc w:val="center"/>
        <w:rPr>
          <w:i/>
        </w:rPr>
      </w:pPr>
      <w:r w:rsidRPr="008D54A5">
        <w:rPr>
          <w:i/>
        </w:rPr>
        <w:t>[This page intentionally left blank.]</w:t>
      </w:r>
    </w:p>
    <w:p w14:paraId="27EDC5D2" w14:textId="77777777" w:rsidR="00B14F7F" w:rsidRPr="008D54A5" w:rsidRDefault="00B14F7F">
      <w:pPr>
        <w:rPr>
          <w:i/>
        </w:rPr>
      </w:pPr>
      <w:r w:rsidRPr="008D54A5">
        <w:rPr>
          <w:i/>
        </w:rPr>
        <w:br w:type="page"/>
      </w:r>
    </w:p>
    <w:p w14:paraId="5C1ABAB8" w14:textId="08A2D7C5" w:rsidR="005B3FDF" w:rsidRPr="008D54A5" w:rsidRDefault="002B2330" w:rsidP="00975A4F">
      <w:pPr>
        <w:pStyle w:val="Heading1"/>
      </w:pPr>
      <w:bookmarkStart w:id="184" w:name="_Toc127287284"/>
      <w:bookmarkStart w:id="185" w:name="_Toc160529610"/>
      <w:bookmarkStart w:id="186" w:name="_Toc189128097"/>
      <w:r w:rsidRPr="008D54A5">
        <w:lastRenderedPageBreak/>
        <w:t>202</w:t>
      </w:r>
      <w:r w:rsidR="00AA45EE">
        <w:t>2</w:t>
      </w:r>
      <w:r w:rsidR="005B3583" w:rsidRPr="008D54A5">
        <w:t xml:space="preserve"> </w:t>
      </w:r>
      <w:r w:rsidR="00F66AD2" w:rsidRPr="008D54A5">
        <w:t>Medical File Pre-</w:t>
      </w:r>
      <w:r w:rsidR="00F66AD2" w:rsidRPr="008D54A5">
        <w:rPr>
          <w:szCs w:val="24"/>
        </w:rPr>
        <w:t>Matchi</w:t>
      </w:r>
      <w:r w:rsidR="00F8595A" w:rsidRPr="008D54A5">
        <w:rPr>
          <w:szCs w:val="24"/>
        </w:rPr>
        <w:t>ng</w:t>
      </w:r>
      <w:r w:rsidR="00F66AD2" w:rsidRPr="008D54A5">
        <w:t xml:space="preserve"> Activities</w:t>
      </w:r>
      <w:bookmarkEnd w:id="184"/>
      <w:bookmarkEnd w:id="185"/>
      <w:bookmarkEnd w:id="186"/>
    </w:p>
    <w:p w14:paraId="087A1B9C" w14:textId="43AA41AA" w:rsidR="00772ECB" w:rsidRPr="008D54A5" w:rsidRDefault="00F66AD2" w:rsidP="00981643">
      <w:pPr>
        <w:pStyle w:val="BodyText"/>
        <w:keepNext/>
        <w:spacing w:after="120"/>
      </w:pPr>
      <w:r w:rsidRPr="008D54A5">
        <w:t xml:space="preserve">Matching the </w:t>
      </w:r>
      <w:r w:rsidR="003B7583" w:rsidRPr="008D54A5">
        <w:t>Household Component (</w:t>
      </w:r>
      <w:r w:rsidRPr="008D54A5">
        <w:t>HC</w:t>
      </w:r>
      <w:r w:rsidR="003B7583" w:rsidRPr="008D54A5">
        <w:t>)</w:t>
      </w:r>
      <w:r w:rsidRPr="008D54A5">
        <w:t xml:space="preserve"> and </w:t>
      </w:r>
      <w:r w:rsidR="003B7583" w:rsidRPr="008D54A5">
        <w:t>Medical Provider Component (</w:t>
      </w:r>
      <w:r w:rsidRPr="008D54A5">
        <w:t>MPC</w:t>
      </w:r>
      <w:r w:rsidR="003B7583" w:rsidRPr="008D54A5">
        <w:t>)</w:t>
      </w:r>
      <w:r w:rsidRPr="008D54A5">
        <w:t xml:space="preserve"> data occu</w:t>
      </w:r>
      <w:r w:rsidR="00FB5DA4" w:rsidRPr="008D54A5">
        <w:t>r</w:t>
      </w:r>
      <w:r w:rsidR="002E12DB" w:rsidRPr="008D54A5">
        <w:t>s</w:t>
      </w:r>
      <w:r w:rsidR="0081093D" w:rsidRPr="008D54A5">
        <w:t xml:space="preserve"> after the data </w:t>
      </w:r>
      <w:r w:rsidR="002E12DB" w:rsidRPr="008D54A5">
        <w:t>are</w:t>
      </w:r>
      <w:r w:rsidR="0081093D" w:rsidRPr="008D54A5">
        <w:t xml:space="preserve"> edited</w:t>
      </w:r>
      <w:r w:rsidR="00560D67" w:rsidRPr="008D54A5">
        <w:t xml:space="preserve">. </w:t>
      </w:r>
      <w:r w:rsidR="005F1375" w:rsidRPr="008D54A5">
        <w:t xml:space="preserve">Matching </w:t>
      </w:r>
      <w:r w:rsidR="00196ED2" w:rsidRPr="008D54A5">
        <w:t>require</w:t>
      </w:r>
      <w:r w:rsidR="002E12DB" w:rsidRPr="008D54A5">
        <w:t>s</w:t>
      </w:r>
      <w:r w:rsidR="00774FB1" w:rsidRPr="008D54A5">
        <w:t xml:space="preserve"> </w:t>
      </w:r>
      <w:r w:rsidR="00560D67" w:rsidRPr="008D54A5">
        <w:t>properly</w:t>
      </w:r>
      <w:r w:rsidR="004A4FCD" w:rsidRPr="008D54A5">
        <w:t xml:space="preserve"> formatted </w:t>
      </w:r>
      <w:r w:rsidR="00772ECB" w:rsidRPr="008D54A5">
        <w:t>data files of medical events by person</w:t>
      </w:r>
      <w:r w:rsidR="006A1542" w:rsidRPr="008D54A5">
        <w:t>–</w:t>
      </w:r>
      <w:r w:rsidR="00772ECB" w:rsidRPr="008D54A5">
        <w:t xml:space="preserve">provider pairs. </w:t>
      </w:r>
      <w:r w:rsidR="00774FB1" w:rsidRPr="008D54A5">
        <w:t xml:space="preserve">One </w:t>
      </w:r>
      <w:r w:rsidR="00AC5996" w:rsidRPr="008D54A5">
        <w:t>file</w:t>
      </w:r>
      <w:r w:rsidR="00772ECB" w:rsidRPr="008D54A5">
        <w:t xml:space="preserve"> c</w:t>
      </w:r>
      <w:r w:rsidR="002E12DB" w:rsidRPr="008D54A5">
        <w:t>omes</w:t>
      </w:r>
      <w:r w:rsidR="00772ECB" w:rsidRPr="008D54A5">
        <w:t xml:space="preserve"> from the contractor responsible for collecting the HC data.</w:t>
      </w:r>
      <w:r w:rsidR="00774FB1" w:rsidRPr="008D54A5">
        <w:t xml:space="preserve"> </w:t>
      </w:r>
      <w:r w:rsidR="005F1375" w:rsidRPr="008D54A5">
        <w:t>RTI constructs t</w:t>
      </w:r>
      <w:r w:rsidR="00774FB1" w:rsidRPr="008D54A5">
        <w:t>he other file</w:t>
      </w:r>
      <w:r w:rsidR="005F1375" w:rsidRPr="008D54A5">
        <w:t>, which</w:t>
      </w:r>
      <w:r w:rsidR="00774FB1" w:rsidRPr="008D54A5">
        <w:t xml:space="preserve"> contains MPC data. </w:t>
      </w:r>
      <w:r w:rsidR="00772ECB" w:rsidRPr="008D54A5">
        <w:t>The files are</w:t>
      </w:r>
    </w:p>
    <w:p w14:paraId="4F81DF53" w14:textId="0D8FC6EC" w:rsidR="00772ECB" w:rsidRPr="008D54A5" w:rsidRDefault="003B7583" w:rsidP="00F21444">
      <w:pPr>
        <w:pStyle w:val="bullets"/>
      </w:pPr>
      <w:r w:rsidRPr="008D54A5">
        <w:t>Office-based</w:t>
      </w:r>
      <w:r w:rsidR="00D221EF" w:rsidRPr="008D54A5">
        <w:t xml:space="preserve"> doctor</w:t>
      </w:r>
      <w:r w:rsidRPr="008D54A5">
        <w:t xml:space="preserve"> data (</w:t>
      </w:r>
      <w:r w:rsidR="00DA3CEB" w:rsidRPr="008D54A5">
        <w:t>OBD</w:t>
      </w:r>
      <w:r w:rsidRPr="008D54A5">
        <w:t>)</w:t>
      </w:r>
      <w:r w:rsidR="00DA3CEB" w:rsidRPr="008D54A5">
        <w:t xml:space="preserve"> and </w:t>
      </w:r>
      <w:r w:rsidR="005D562C" w:rsidRPr="008D54A5">
        <w:t>H</w:t>
      </w:r>
      <w:r w:rsidR="00350AE3" w:rsidRPr="008D54A5">
        <w:t>ospital</w:t>
      </w:r>
      <w:r w:rsidR="00DA3CEB" w:rsidRPr="008D54A5">
        <w:t xml:space="preserve"> data from the MEPS HC</w:t>
      </w:r>
      <w:r w:rsidR="00356CD1" w:rsidRPr="008D54A5">
        <w:t>—</w:t>
      </w:r>
      <w:r w:rsidR="0034743D" w:rsidRPr="008D54A5">
        <w:t xml:space="preserve">the </w:t>
      </w:r>
      <w:r w:rsidR="00F62BB8" w:rsidRPr="008D54A5">
        <w:t>p</w:t>
      </w:r>
      <w:r w:rsidR="0034743D" w:rsidRPr="008D54A5">
        <w:t>re</w:t>
      </w:r>
      <w:r w:rsidR="003C4D26" w:rsidRPr="008D54A5">
        <w:t>-</w:t>
      </w:r>
      <w:r w:rsidR="0034743D" w:rsidRPr="008D54A5">
        <w:t xml:space="preserve">matching </w:t>
      </w:r>
      <w:r w:rsidR="00772ECB" w:rsidRPr="008D54A5">
        <w:t>HC data file</w:t>
      </w:r>
      <w:r w:rsidR="00DA3CEB" w:rsidRPr="008D54A5">
        <w:t xml:space="preserve"> constructed by the HC data collection contractor</w:t>
      </w:r>
      <w:r w:rsidR="0034743D" w:rsidRPr="008D54A5">
        <w:t xml:space="preserve">, </w:t>
      </w:r>
      <w:r w:rsidR="00DA3CEB" w:rsidRPr="008D54A5">
        <w:t xml:space="preserve">which </w:t>
      </w:r>
      <w:r w:rsidR="00772ECB" w:rsidRPr="008D54A5">
        <w:t>contains data on hospital events (</w:t>
      </w:r>
      <w:r w:rsidR="004857F3" w:rsidRPr="008D54A5">
        <w:t xml:space="preserve">inpatient </w:t>
      </w:r>
      <w:r w:rsidR="00371DD5" w:rsidRPr="008D54A5">
        <w:t>H</w:t>
      </w:r>
      <w:r w:rsidR="00772ECB" w:rsidRPr="008D54A5">
        <w:t xml:space="preserve">ospital </w:t>
      </w:r>
      <w:r w:rsidR="00D221EF" w:rsidRPr="008D54A5">
        <w:t>stay</w:t>
      </w:r>
      <w:r w:rsidR="00772ECB" w:rsidRPr="008D54A5">
        <w:t xml:space="preserve">, </w:t>
      </w:r>
      <w:r w:rsidR="00B53C93" w:rsidRPr="008D54A5">
        <w:t>o</w:t>
      </w:r>
      <w:r w:rsidR="00772ECB" w:rsidRPr="008D54A5">
        <w:t>utpatient</w:t>
      </w:r>
      <w:r w:rsidR="007F533B" w:rsidRPr="008D54A5">
        <w:t xml:space="preserve"> [OP]</w:t>
      </w:r>
      <w:r w:rsidR="00F62BB8" w:rsidRPr="008D54A5">
        <w:t>,</w:t>
      </w:r>
      <w:r w:rsidR="00772ECB" w:rsidRPr="008D54A5">
        <w:t xml:space="preserve"> and </w:t>
      </w:r>
      <w:r w:rsidR="00B53C93" w:rsidRPr="008D54A5">
        <w:t>e</w:t>
      </w:r>
      <w:r w:rsidR="007F533B" w:rsidRPr="008D54A5">
        <w:t xml:space="preserve">mergency </w:t>
      </w:r>
      <w:r w:rsidR="00B53C93" w:rsidRPr="008D54A5">
        <w:t>r</w:t>
      </w:r>
      <w:r w:rsidR="007F533B" w:rsidRPr="008D54A5">
        <w:t>oom [</w:t>
      </w:r>
      <w:r w:rsidR="00772ECB" w:rsidRPr="008D54A5">
        <w:t>ER</w:t>
      </w:r>
      <w:r w:rsidR="007F533B" w:rsidRPr="008D54A5">
        <w:t>]</w:t>
      </w:r>
      <w:r w:rsidR="00772ECB" w:rsidRPr="008D54A5">
        <w:t xml:space="preserve"> events), office-based medical visits</w:t>
      </w:r>
      <w:r w:rsidR="00DA3CEB" w:rsidRPr="008D54A5">
        <w:t>,</w:t>
      </w:r>
      <w:r w:rsidR="00772ECB" w:rsidRPr="008D54A5">
        <w:t xml:space="preserve"> and </w:t>
      </w:r>
      <w:r w:rsidR="00B53C93" w:rsidRPr="008D54A5">
        <w:t>i</w:t>
      </w:r>
      <w:r w:rsidR="00772ECB" w:rsidRPr="008D54A5">
        <w:t>nstitutional care events</w:t>
      </w:r>
      <w:r w:rsidR="009508BD" w:rsidRPr="008D54A5">
        <w:t>, and</w:t>
      </w:r>
    </w:p>
    <w:p w14:paraId="44616112" w14:textId="2543B3B8" w:rsidR="00772ECB" w:rsidRPr="008D54A5" w:rsidRDefault="00DA3CEB" w:rsidP="00D16610">
      <w:pPr>
        <w:pStyle w:val="bullets"/>
      </w:pPr>
      <w:r w:rsidRPr="008D54A5">
        <w:t xml:space="preserve">Edited OBD and </w:t>
      </w:r>
      <w:r w:rsidR="005D562C" w:rsidRPr="008D54A5">
        <w:t>H</w:t>
      </w:r>
      <w:r w:rsidR="00350AE3" w:rsidRPr="008D54A5">
        <w:t>ospital</w:t>
      </w:r>
      <w:r w:rsidRPr="008D54A5">
        <w:t xml:space="preserve"> data from the</w:t>
      </w:r>
      <w:r w:rsidR="00772ECB" w:rsidRPr="008D54A5">
        <w:t xml:space="preserve"> </w:t>
      </w:r>
      <w:r w:rsidRPr="008D54A5">
        <w:t>MEPS</w:t>
      </w:r>
      <w:r w:rsidR="00355196" w:rsidRPr="008D54A5">
        <w:t xml:space="preserve"> </w:t>
      </w:r>
      <w:r w:rsidR="00772ECB" w:rsidRPr="008D54A5">
        <w:t>MPC</w:t>
      </w:r>
      <w:r w:rsidR="00356CD1" w:rsidRPr="008D54A5">
        <w:t>—</w:t>
      </w:r>
      <w:r w:rsidRPr="008D54A5">
        <w:t xml:space="preserve">the </w:t>
      </w:r>
      <w:proofErr w:type="gramStart"/>
      <w:r w:rsidRPr="008D54A5">
        <w:t>M</w:t>
      </w:r>
      <w:r w:rsidR="0034743D" w:rsidRPr="008D54A5">
        <w:t>edical</w:t>
      </w:r>
      <w:proofErr w:type="gramEnd"/>
      <w:r w:rsidR="0034743D" w:rsidRPr="008D54A5">
        <w:t xml:space="preserve"> </w:t>
      </w:r>
      <w:r w:rsidR="00350AE3" w:rsidRPr="008D54A5">
        <w:t>e</w:t>
      </w:r>
      <w:r w:rsidR="0034743D" w:rsidRPr="008D54A5">
        <w:t xml:space="preserve">vents </w:t>
      </w:r>
      <w:r w:rsidR="00772ECB" w:rsidRPr="008D54A5">
        <w:t>data file</w:t>
      </w:r>
      <w:r w:rsidR="0034743D" w:rsidRPr="008D54A5">
        <w:t xml:space="preserve"> constructed </w:t>
      </w:r>
      <w:r w:rsidRPr="008D54A5">
        <w:t xml:space="preserve">by RTI </w:t>
      </w:r>
      <w:r w:rsidR="0034743D" w:rsidRPr="008D54A5">
        <w:t xml:space="preserve">by concatenating the files </w:t>
      </w:r>
      <w:r w:rsidR="00772ECB" w:rsidRPr="008D54A5">
        <w:t xml:space="preserve">that contains the </w:t>
      </w:r>
      <w:r w:rsidR="005D562C" w:rsidRPr="008D54A5">
        <w:t>H</w:t>
      </w:r>
      <w:r w:rsidR="00772ECB" w:rsidRPr="008D54A5">
        <w:t>ospital, OBD</w:t>
      </w:r>
      <w:r w:rsidR="00C636FB" w:rsidRPr="008D54A5">
        <w:t>,</w:t>
      </w:r>
      <w:r w:rsidR="00772ECB" w:rsidRPr="008D54A5">
        <w:t xml:space="preserve"> and </w:t>
      </w:r>
      <w:r w:rsidR="00350AE3" w:rsidRPr="008D54A5">
        <w:t>i</w:t>
      </w:r>
      <w:r w:rsidR="00F66AD2" w:rsidRPr="008D54A5">
        <w:t>nstitution data</w:t>
      </w:r>
    </w:p>
    <w:p w14:paraId="354A6101" w14:textId="1E213BE5" w:rsidR="00772ECB" w:rsidRPr="008D54A5" w:rsidRDefault="00F66AD2" w:rsidP="00D822D6">
      <w:pPr>
        <w:pStyle w:val="BodyText"/>
      </w:pPr>
      <w:r w:rsidRPr="008D54A5">
        <w:t xml:space="preserve">Similar files for </w:t>
      </w:r>
      <w:r w:rsidR="003B7583" w:rsidRPr="008D54A5">
        <w:t>Home Health (</w:t>
      </w:r>
      <w:r w:rsidRPr="008D54A5">
        <w:t>HH</w:t>
      </w:r>
      <w:r w:rsidR="003B7583" w:rsidRPr="008D54A5">
        <w:t>)</w:t>
      </w:r>
      <w:r w:rsidRPr="008D54A5">
        <w:t xml:space="preserve"> data </w:t>
      </w:r>
      <w:r w:rsidR="002E12DB" w:rsidRPr="008D54A5">
        <w:t>are</w:t>
      </w:r>
      <w:r w:rsidRPr="008D54A5">
        <w:t xml:space="preserve"> also obtained and constructed. Medical data files</w:t>
      </w:r>
      <w:r w:rsidR="00CF2807" w:rsidRPr="008D54A5">
        <w:t xml:space="preserve"> and </w:t>
      </w:r>
      <w:r w:rsidRPr="008D54A5">
        <w:t xml:space="preserve">the HH files </w:t>
      </w:r>
      <w:r w:rsidR="002E12DB" w:rsidRPr="008D54A5">
        <w:t>are</w:t>
      </w:r>
      <w:r w:rsidRPr="008D54A5">
        <w:t xml:space="preserve"> matched separately. The HH data </w:t>
      </w:r>
      <w:r w:rsidR="00F62BB8" w:rsidRPr="008D54A5">
        <w:t xml:space="preserve">are </w:t>
      </w:r>
      <w:r w:rsidRPr="008D54A5">
        <w:t xml:space="preserve">separated from the Medical File data because the type of data known about the medical events differs </w:t>
      </w:r>
      <w:r w:rsidR="00F62BB8" w:rsidRPr="008D54A5">
        <w:t>(</w:t>
      </w:r>
      <w:r w:rsidR="00443422" w:rsidRPr="008D54A5">
        <w:t xml:space="preserve">i.e., </w:t>
      </w:r>
      <w:r w:rsidRPr="008D54A5">
        <w:t>the variables that can be used during the matching process are different between the two pairs of files</w:t>
      </w:r>
      <w:r w:rsidR="00F62BB8" w:rsidRPr="008D54A5">
        <w:t>)</w:t>
      </w:r>
      <w:r w:rsidRPr="008D54A5">
        <w:t>.</w:t>
      </w:r>
    </w:p>
    <w:p w14:paraId="78DFD2F4" w14:textId="4AC6938B" w:rsidR="007F577A" w:rsidRPr="008D54A5" w:rsidRDefault="00F66AD2" w:rsidP="00D730DB">
      <w:pPr>
        <w:pStyle w:val="BodyText"/>
      </w:pPr>
      <w:r w:rsidRPr="008D54A5">
        <w:t>The goal in the matching task is to match records between the HC and MPC data (</w:t>
      </w:r>
      <w:r w:rsidR="00F62BB8" w:rsidRPr="008D54A5">
        <w:t xml:space="preserve">the two </w:t>
      </w:r>
      <w:r w:rsidRPr="008D54A5">
        <w:t>files listed above). Because not all medical events reported in the HC are eligible for inclusion in the MPC</w:t>
      </w:r>
      <w:r w:rsidR="00100F78" w:rsidRPr="008D54A5">
        <w:t>,</w:t>
      </w:r>
      <w:r w:rsidRPr="008D54A5">
        <w:t xml:space="preserve"> ineligible events </w:t>
      </w:r>
      <w:r w:rsidR="00316377" w:rsidRPr="008D54A5">
        <w:t>a</w:t>
      </w:r>
      <w:r w:rsidRPr="008D54A5">
        <w:t>re excluded from the HC data files.</w:t>
      </w:r>
      <w:r w:rsidR="00C96360" w:rsidRPr="008D54A5">
        <w:t xml:space="preserve"> </w:t>
      </w:r>
      <w:r w:rsidRPr="008D54A5">
        <w:t xml:space="preserve">The pre-matching activities for </w:t>
      </w:r>
      <w:r w:rsidR="00BF2A69" w:rsidRPr="008D54A5">
        <w:t xml:space="preserve">the </w:t>
      </w:r>
      <w:r w:rsidR="002D3451" w:rsidRPr="008D54A5">
        <w:t>M</w:t>
      </w:r>
      <w:r w:rsidR="009903B2" w:rsidRPr="008D54A5">
        <w:t>PC</w:t>
      </w:r>
      <w:r w:rsidR="002D3451" w:rsidRPr="008D54A5">
        <w:t>-HC</w:t>
      </w:r>
      <w:r w:rsidRPr="008D54A5">
        <w:t xml:space="preserve"> </w:t>
      </w:r>
      <w:r w:rsidR="00C96360" w:rsidRPr="008D54A5">
        <w:t>are described in detail in the following sections</w:t>
      </w:r>
      <w:r w:rsidRPr="008D54A5">
        <w:t>.</w:t>
      </w:r>
    </w:p>
    <w:p w14:paraId="3DACCF15" w14:textId="0C24165D" w:rsidR="00443422" w:rsidRPr="008D54A5" w:rsidRDefault="00F66AD2" w:rsidP="00DD4425">
      <w:pPr>
        <w:pStyle w:val="Heading2"/>
      </w:pPr>
      <w:bookmarkStart w:id="187" w:name="_Toc256582626"/>
      <w:bookmarkStart w:id="188" w:name="_Toc319492929"/>
      <w:bookmarkStart w:id="189" w:name="_Toc127287285"/>
      <w:bookmarkStart w:id="190" w:name="_Toc160529611"/>
      <w:bookmarkStart w:id="191" w:name="_Toc189128098"/>
      <w:r w:rsidRPr="008D54A5">
        <w:t>Obtaining the Household Survey Data</w:t>
      </w:r>
      <w:bookmarkEnd w:id="187"/>
      <w:bookmarkEnd w:id="188"/>
      <w:bookmarkEnd w:id="189"/>
      <w:bookmarkEnd w:id="190"/>
      <w:bookmarkEnd w:id="191"/>
    </w:p>
    <w:p w14:paraId="299121FC" w14:textId="137FF99E" w:rsidR="00443422" w:rsidRPr="008D54A5" w:rsidRDefault="00F66AD2" w:rsidP="00E75D33">
      <w:pPr>
        <w:pStyle w:val="BodyText"/>
      </w:pPr>
      <w:r w:rsidRPr="008D54A5">
        <w:t>The HC datasets include various data from the HC survey data, including medical conditions</w:t>
      </w:r>
      <w:r w:rsidR="00F62BB8" w:rsidRPr="008D54A5">
        <w:t>;</w:t>
      </w:r>
      <w:r w:rsidRPr="008D54A5">
        <w:t xml:space="preserve"> ER visits</w:t>
      </w:r>
      <w:r w:rsidR="00F62BB8" w:rsidRPr="008D54A5">
        <w:t>;</w:t>
      </w:r>
      <w:r w:rsidRPr="008D54A5">
        <w:t xml:space="preserve"> </w:t>
      </w:r>
      <w:r w:rsidR="00D221EF" w:rsidRPr="008D54A5">
        <w:t xml:space="preserve">inpatient </w:t>
      </w:r>
      <w:r w:rsidR="004857F3" w:rsidRPr="008D54A5">
        <w:t xml:space="preserve">hospital </w:t>
      </w:r>
      <w:r w:rsidRPr="008D54A5">
        <w:t>stays</w:t>
      </w:r>
      <w:r w:rsidR="004857F3" w:rsidRPr="008D54A5">
        <w:t xml:space="preserve"> (HSs)</w:t>
      </w:r>
      <w:r w:rsidR="00F62BB8" w:rsidRPr="008D54A5">
        <w:t>;</w:t>
      </w:r>
      <w:r w:rsidRPr="008D54A5">
        <w:t xml:space="preserve"> </w:t>
      </w:r>
      <w:r w:rsidR="006F7901" w:rsidRPr="008D54A5">
        <w:t xml:space="preserve">OP </w:t>
      </w:r>
      <w:r w:rsidRPr="008D54A5">
        <w:t>visits</w:t>
      </w:r>
      <w:r w:rsidR="00F62BB8" w:rsidRPr="008D54A5">
        <w:t>;</w:t>
      </w:r>
      <w:r w:rsidRPr="008D54A5">
        <w:t xml:space="preserve"> office-based medical visits</w:t>
      </w:r>
      <w:r w:rsidR="00F62BB8" w:rsidRPr="008D54A5">
        <w:t>;</w:t>
      </w:r>
      <w:r w:rsidRPr="008D54A5">
        <w:t xml:space="preserve"> </w:t>
      </w:r>
      <w:r w:rsidR="00F62BB8" w:rsidRPr="008D54A5">
        <w:t>HH</w:t>
      </w:r>
      <w:r w:rsidR="005F1375" w:rsidRPr="008D54A5">
        <w:t xml:space="preserve"> </w:t>
      </w:r>
      <w:r w:rsidRPr="008D54A5">
        <w:t>care events</w:t>
      </w:r>
      <w:r w:rsidR="00F62BB8" w:rsidRPr="008D54A5">
        <w:t>;</w:t>
      </w:r>
      <w:r w:rsidRPr="008D54A5">
        <w:t xml:space="preserve"> data files containing provider, event</w:t>
      </w:r>
      <w:r w:rsidR="00F62BB8" w:rsidRPr="008D54A5">
        <w:t>,</w:t>
      </w:r>
      <w:r w:rsidRPr="008D54A5">
        <w:t xml:space="preserve"> and patient identification numbers</w:t>
      </w:r>
      <w:r w:rsidR="00F62BB8" w:rsidRPr="008D54A5">
        <w:t>;</w:t>
      </w:r>
      <w:r w:rsidRPr="008D54A5">
        <w:t xml:space="preserve"> and event and condition linkage variables. The goal </w:t>
      </w:r>
      <w:r w:rsidR="002E12DB" w:rsidRPr="008D54A5">
        <w:t>is</w:t>
      </w:r>
      <w:r w:rsidRPr="008D54A5">
        <w:t xml:space="preserve"> to begin with a HC data file that contains </w:t>
      </w:r>
      <w:r w:rsidR="00356CD1" w:rsidRPr="008D54A5">
        <w:t>“</w:t>
      </w:r>
      <w:r w:rsidRPr="008D54A5">
        <w:t>clean</w:t>
      </w:r>
      <w:r w:rsidR="00443422" w:rsidRPr="008D54A5">
        <w:t>,</w:t>
      </w:r>
      <w:r w:rsidR="00356CD1" w:rsidRPr="008D54A5">
        <w:t>”</w:t>
      </w:r>
      <w:r w:rsidRPr="008D54A5">
        <w:t xml:space="preserve"> edited data for only those person</w:t>
      </w:r>
      <w:r w:rsidR="00F62BB8" w:rsidRPr="008D54A5">
        <w:t>–</w:t>
      </w:r>
      <w:r w:rsidRPr="008D54A5">
        <w:t>provider pairs that responded to the MPC portion of the study.</w:t>
      </w:r>
    </w:p>
    <w:p w14:paraId="3FD193B8" w14:textId="5ABC19E6" w:rsidR="00772ECB" w:rsidRPr="008D54A5" w:rsidRDefault="00F66AD2" w:rsidP="00DD4425">
      <w:pPr>
        <w:pStyle w:val="Heading2"/>
      </w:pPr>
      <w:bookmarkStart w:id="192" w:name="_Toc256582627"/>
      <w:bookmarkStart w:id="193" w:name="_Toc319492930"/>
      <w:bookmarkStart w:id="194" w:name="_Toc127287286"/>
      <w:bookmarkStart w:id="195" w:name="_Toc160529612"/>
      <w:bookmarkStart w:id="196" w:name="_Toc189128099"/>
      <w:r w:rsidRPr="008D54A5">
        <w:t xml:space="preserve">Obtaining the MPC Data </w:t>
      </w:r>
      <w:r w:rsidR="00074B55" w:rsidRPr="008D54A5">
        <w:t>f</w:t>
      </w:r>
      <w:r w:rsidR="003B7583" w:rsidRPr="008D54A5">
        <w:t xml:space="preserve">rom </w:t>
      </w:r>
      <w:r w:rsidRPr="008D54A5">
        <w:t>the Edited Files</w:t>
      </w:r>
      <w:bookmarkEnd w:id="192"/>
      <w:bookmarkEnd w:id="193"/>
      <w:bookmarkEnd w:id="194"/>
      <w:bookmarkEnd w:id="195"/>
      <w:bookmarkEnd w:id="196"/>
    </w:p>
    <w:p w14:paraId="661CC525" w14:textId="3C670F9D" w:rsidR="002E12DB" w:rsidRPr="008D54A5" w:rsidRDefault="00F66AD2" w:rsidP="00E75D33">
      <w:pPr>
        <w:pStyle w:val="BodyText"/>
      </w:pPr>
      <w:r w:rsidRPr="008D54A5">
        <w:t>RTI create</w:t>
      </w:r>
      <w:r w:rsidR="002E12DB" w:rsidRPr="008D54A5">
        <w:t>s</w:t>
      </w:r>
      <w:r w:rsidRPr="008D54A5">
        <w:t xml:space="preserve"> a SAS dataset from the MPC data </w:t>
      </w:r>
      <w:r w:rsidR="00F62BB8" w:rsidRPr="008D54A5">
        <w:t>to</w:t>
      </w:r>
      <w:r w:rsidRPr="008D54A5">
        <w:t xml:space="preserve"> use in matching. Fields of critical importance in the matching, such as medical conditions, treatment procedures, and dates of events, </w:t>
      </w:r>
      <w:r w:rsidR="002E12DB" w:rsidRPr="008D54A5">
        <w:t>are</w:t>
      </w:r>
      <w:r w:rsidRPr="008D54A5">
        <w:t xml:space="preserve"> recoded to be complete and consistent with the corresponding fields in the HC datasets. Global</w:t>
      </w:r>
      <w:r w:rsidR="00FA4EBE" w:rsidRPr="008D54A5">
        <w:t xml:space="preserve"> </w:t>
      </w:r>
      <w:r w:rsidRPr="008D54A5">
        <w:t xml:space="preserve">fee and capitated event indicators </w:t>
      </w:r>
      <w:r w:rsidR="002E12DB" w:rsidRPr="008D54A5">
        <w:t>are</w:t>
      </w:r>
      <w:r w:rsidRPr="008D54A5">
        <w:t xml:space="preserve"> checked. For global</w:t>
      </w:r>
      <w:r w:rsidR="00FA4EBE" w:rsidRPr="008D54A5">
        <w:t xml:space="preserve"> </w:t>
      </w:r>
      <w:r w:rsidRPr="008D54A5">
        <w:t xml:space="preserve">fee or capitated events, only those expenses that occur in the </w:t>
      </w:r>
      <w:r w:rsidR="009A6CB7" w:rsidRPr="008D54A5">
        <w:t xml:space="preserve">most recent </w:t>
      </w:r>
      <w:r w:rsidRPr="008D54A5">
        <w:t xml:space="preserve">data collection year </w:t>
      </w:r>
      <w:r w:rsidR="002E12DB" w:rsidRPr="008D54A5">
        <w:t>are</w:t>
      </w:r>
      <w:r w:rsidRPr="008D54A5">
        <w:t xml:space="preserve"> included in the final dataset. </w:t>
      </w:r>
    </w:p>
    <w:p w14:paraId="13F3B57E" w14:textId="5C654196" w:rsidR="00443422" w:rsidRPr="008D54A5" w:rsidRDefault="002E12DB" w:rsidP="00E75D33">
      <w:pPr>
        <w:pStyle w:val="BodyText"/>
      </w:pPr>
      <w:r w:rsidRPr="008D54A5">
        <w:t xml:space="preserve">Dates of events are also examined. Hospital inpatient events and institution events that ended after </w:t>
      </w:r>
      <w:r w:rsidR="009A6CB7" w:rsidRPr="008D54A5">
        <w:t xml:space="preserve">the most recent data collection year </w:t>
      </w:r>
      <w:r w:rsidRPr="008D54A5">
        <w:t xml:space="preserve">(including events </w:t>
      </w:r>
      <w:r w:rsidR="005F1375" w:rsidRPr="008D54A5">
        <w:t xml:space="preserve">in which </w:t>
      </w:r>
      <w:r w:rsidRPr="008D54A5">
        <w:t xml:space="preserve">the patient was not yet discharged at the time of data collection) </w:t>
      </w:r>
      <w:r w:rsidR="0063675F" w:rsidRPr="008D54A5">
        <w:t>were</w:t>
      </w:r>
      <w:r w:rsidRPr="008D54A5">
        <w:t xml:space="preserve"> excluded from the set used for matching</w:t>
      </w:r>
      <w:r w:rsidR="0063675F" w:rsidRPr="008D54A5">
        <w:t xml:space="preserve"> prior to the 2020 MPC</w:t>
      </w:r>
      <w:r w:rsidRPr="008D54A5">
        <w:t xml:space="preserve">. </w:t>
      </w:r>
      <w:r w:rsidR="00720556" w:rsidRPr="008D54A5">
        <w:t xml:space="preserve">Since </w:t>
      </w:r>
      <w:r w:rsidR="0063675F" w:rsidRPr="008D54A5">
        <w:t xml:space="preserve">the 2020 matching, MPC inpatient </w:t>
      </w:r>
      <w:r w:rsidR="00D2119B" w:rsidRPr="008D54A5">
        <w:t xml:space="preserve">and institution </w:t>
      </w:r>
      <w:r w:rsidR="0063675F" w:rsidRPr="008D54A5">
        <w:t>events that end</w:t>
      </w:r>
      <w:r w:rsidR="009508BD" w:rsidRPr="008D54A5">
        <w:t>ed</w:t>
      </w:r>
      <w:r w:rsidR="0063675F" w:rsidRPr="008D54A5">
        <w:t xml:space="preserve"> by January </w:t>
      </w:r>
      <w:r w:rsidR="00CE7893" w:rsidRPr="008D54A5">
        <w:t>14</w:t>
      </w:r>
      <w:r w:rsidR="0063675F" w:rsidRPr="008D54A5">
        <w:t xml:space="preserve"> of the following year </w:t>
      </w:r>
      <w:r w:rsidR="00EB5EAE" w:rsidRPr="008D54A5">
        <w:t xml:space="preserve">are </w:t>
      </w:r>
      <w:r w:rsidR="0063675F" w:rsidRPr="008D54A5">
        <w:t xml:space="preserve">eligible for matching and rolling with </w:t>
      </w:r>
      <w:r w:rsidR="00D2119B" w:rsidRPr="008D54A5">
        <w:t xml:space="preserve">other inpatient, </w:t>
      </w:r>
      <w:r w:rsidR="0063675F" w:rsidRPr="008D54A5">
        <w:t>OP</w:t>
      </w:r>
      <w:r w:rsidR="00D2119B" w:rsidRPr="008D54A5">
        <w:t xml:space="preserve">, </w:t>
      </w:r>
      <w:r w:rsidR="00CA0611" w:rsidRPr="008D54A5">
        <w:t>or</w:t>
      </w:r>
      <w:r w:rsidR="0063675F" w:rsidRPr="008D54A5">
        <w:t xml:space="preserve"> ER events. </w:t>
      </w:r>
      <w:r w:rsidR="00AA0BD4" w:rsidRPr="008D54A5">
        <w:t xml:space="preserve">Other </w:t>
      </w:r>
      <w:r w:rsidRPr="008D54A5">
        <w:t xml:space="preserve">Hospital </w:t>
      </w:r>
      <w:r w:rsidR="006F7901" w:rsidRPr="008D54A5">
        <w:t xml:space="preserve">OP </w:t>
      </w:r>
      <w:r w:rsidRPr="008D54A5">
        <w:t>events, ER event</w:t>
      </w:r>
      <w:r w:rsidR="005F1375" w:rsidRPr="008D54A5">
        <w:t>s</w:t>
      </w:r>
      <w:r w:rsidRPr="008D54A5">
        <w:t xml:space="preserve">, and </w:t>
      </w:r>
      <w:r w:rsidR="00BC0065" w:rsidRPr="008D54A5">
        <w:t>medical visit (</w:t>
      </w:r>
      <w:r w:rsidR="00D221EF" w:rsidRPr="008D54A5">
        <w:t>MV</w:t>
      </w:r>
      <w:r w:rsidR="00BC0065" w:rsidRPr="008D54A5">
        <w:t>)</w:t>
      </w:r>
      <w:r w:rsidRPr="008D54A5">
        <w:t xml:space="preserve"> events with an event </w:t>
      </w:r>
      <w:r w:rsidRPr="008D54A5">
        <w:lastRenderedPageBreak/>
        <w:t xml:space="preserve">date </w:t>
      </w:r>
      <w:r w:rsidR="007B4104" w:rsidRPr="008D54A5">
        <w:t xml:space="preserve">not in the </w:t>
      </w:r>
      <w:r w:rsidR="009A6CB7" w:rsidRPr="008D54A5">
        <w:t xml:space="preserve">most recent </w:t>
      </w:r>
      <w:r w:rsidR="007B4104" w:rsidRPr="008D54A5">
        <w:t xml:space="preserve">data collection year </w:t>
      </w:r>
      <w:r w:rsidR="00223E19" w:rsidRPr="008D54A5">
        <w:t>a</w:t>
      </w:r>
      <w:r w:rsidR="007B4104" w:rsidRPr="008D54A5">
        <w:t>re excluded from matching.</w:t>
      </w:r>
      <w:r w:rsidR="009A6CB7" w:rsidRPr="008D54A5">
        <w:t xml:space="preserve"> </w:t>
      </w:r>
      <w:r w:rsidR="007B4104" w:rsidRPr="008D54A5">
        <w:t>Charges and payment fields for MPC event are examined, and events that are missing both charge and payment data are excluded from matching.</w:t>
      </w:r>
    </w:p>
    <w:p w14:paraId="07864EC3" w14:textId="713AB0EB" w:rsidR="00772ECB" w:rsidRPr="008D54A5" w:rsidRDefault="00F66AD2" w:rsidP="00DD4425">
      <w:pPr>
        <w:pStyle w:val="Heading2"/>
      </w:pPr>
      <w:bookmarkStart w:id="197" w:name="_Toc319492931"/>
      <w:bookmarkStart w:id="198" w:name="_Toc127287287"/>
      <w:bookmarkStart w:id="199" w:name="_Toc160529613"/>
      <w:bookmarkStart w:id="200" w:name="_Toc189128100"/>
      <w:r w:rsidRPr="008D54A5">
        <w:t>Medical File Rollup Group</w:t>
      </w:r>
      <w:bookmarkEnd w:id="197"/>
      <w:r w:rsidRPr="008D54A5">
        <w:t>s</w:t>
      </w:r>
      <w:bookmarkEnd w:id="198"/>
      <w:bookmarkEnd w:id="199"/>
      <w:bookmarkEnd w:id="200"/>
    </w:p>
    <w:p w14:paraId="468833DB" w14:textId="568FC106" w:rsidR="00443422" w:rsidRPr="008D54A5" w:rsidRDefault="00F66AD2" w:rsidP="00A74169">
      <w:pPr>
        <w:pStyle w:val="BodyText"/>
      </w:pPr>
      <w:r w:rsidRPr="008D54A5">
        <w:t xml:space="preserve">A </w:t>
      </w:r>
      <w:r w:rsidR="00D4297E" w:rsidRPr="008D54A5">
        <w:rPr>
          <w:b/>
        </w:rPr>
        <w:t>r</w:t>
      </w:r>
      <w:r w:rsidRPr="008D54A5">
        <w:rPr>
          <w:b/>
        </w:rPr>
        <w:t xml:space="preserve">ollup </w:t>
      </w:r>
      <w:r w:rsidR="00D4297E" w:rsidRPr="008D54A5">
        <w:rPr>
          <w:b/>
        </w:rPr>
        <w:t>g</w:t>
      </w:r>
      <w:r w:rsidRPr="008D54A5">
        <w:rPr>
          <w:b/>
        </w:rPr>
        <w:t>roup</w:t>
      </w:r>
      <w:r w:rsidRPr="008D54A5">
        <w:t xml:space="preserve"> is a set of events that </w:t>
      </w:r>
      <w:r w:rsidRPr="008D54A5">
        <w:rPr>
          <w:i/>
        </w:rPr>
        <w:t>could</w:t>
      </w:r>
      <w:r w:rsidRPr="008D54A5">
        <w:t xml:space="preserve"> be considered a single event for matching. Separate events could be reported as one event in the HC file, and </w:t>
      </w:r>
      <w:r w:rsidR="00245A67" w:rsidRPr="008D54A5">
        <w:t xml:space="preserve">the </w:t>
      </w:r>
      <w:r w:rsidRPr="008D54A5">
        <w:t xml:space="preserve">rolling </w:t>
      </w:r>
      <w:r w:rsidR="00245A67" w:rsidRPr="008D54A5">
        <w:t xml:space="preserve">of </w:t>
      </w:r>
      <w:r w:rsidRPr="008D54A5">
        <w:t xml:space="preserve">medical events together should enable more to be matched. For example, on the HC file, an ER visit and subsequent inpatient stay might be reported as a single event. Rolling </w:t>
      </w:r>
      <w:r w:rsidR="00F62BB8" w:rsidRPr="008D54A5">
        <w:t xml:space="preserve">up </w:t>
      </w:r>
      <w:r w:rsidRPr="008D54A5">
        <w:t xml:space="preserve">these two events together on the Medical File increases the </w:t>
      </w:r>
      <w:r w:rsidR="00A74169" w:rsidRPr="008D54A5">
        <w:t xml:space="preserve">accuracy </w:t>
      </w:r>
      <w:r w:rsidRPr="008D54A5">
        <w:t xml:space="preserve">of a match. This section describes the rollup groups that were created for the MPC and how they are used in the matching task. Calculations of the charges or payments for the rollup groups is not described in this report; the HC contractor </w:t>
      </w:r>
      <w:r w:rsidR="00B145F4" w:rsidRPr="008D54A5">
        <w:t xml:space="preserve">that </w:t>
      </w:r>
      <w:r w:rsidRPr="008D54A5">
        <w:t>is responsible for the imputation adds together charges or payments for the rolled events according to their specifications.</w:t>
      </w:r>
    </w:p>
    <w:p w14:paraId="723A280E" w14:textId="453CA064" w:rsidR="00772ECB" w:rsidRPr="008D54A5" w:rsidRDefault="00F66AD2" w:rsidP="00245172">
      <w:pPr>
        <w:pStyle w:val="Heading3"/>
      </w:pPr>
      <w:bookmarkStart w:id="201" w:name="_Toc127287288"/>
      <w:bookmarkStart w:id="202" w:name="_Toc160529614"/>
      <w:bookmarkStart w:id="203" w:name="_Toc189128101"/>
      <w:r w:rsidRPr="008D54A5">
        <w:t>Definition of Rollup Groups</w:t>
      </w:r>
      <w:bookmarkEnd w:id="201"/>
      <w:bookmarkEnd w:id="202"/>
      <w:bookmarkEnd w:id="203"/>
    </w:p>
    <w:p w14:paraId="3C1F9693" w14:textId="2A71FF59" w:rsidR="00772ECB" w:rsidRPr="008D54A5" w:rsidRDefault="00B37CDC" w:rsidP="0085653F">
      <w:pPr>
        <w:pStyle w:val="BodyText"/>
        <w:keepNext/>
        <w:spacing w:after="120"/>
      </w:pPr>
      <w:r w:rsidRPr="008D54A5">
        <w:t>A</w:t>
      </w:r>
      <w:r w:rsidR="00FF7E4B" w:rsidRPr="008D54A5">
        <w:t xml:space="preserve">s in prior </w:t>
      </w:r>
      <w:r w:rsidRPr="008D54A5">
        <w:t>cycles</w:t>
      </w:r>
      <w:r w:rsidR="006628E8" w:rsidRPr="008D54A5">
        <w:t xml:space="preserve">, </w:t>
      </w:r>
      <w:r w:rsidR="00F62BB8" w:rsidRPr="008D54A5">
        <w:t xml:space="preserve">10 </w:t>
      </w:r>
      <w:r w:rsidR="00F66AD2" w:rsidRPr="008D54A5">
        <w:t>different rollup groups were created independently from one another</w:t>
      </w:r>
      <w:r w:rsidR="00F62BB8" w:rsidRPr="008D54A5">
        <w:t>;</w:t>
      </w:r>
      <w:r w:rsidR="00F66AD2" w:rsidRPr="008D54A5">
        <w:t xml:space="preserve"> therefore</w:t>
      </w:r>
      <w:r w:rsidR="00F62BB8" w:rsidRPr="008D54A5">
        <w:t>,</w:t>
      </w:r>
      <w:r w:rsidR="00F66AD2" w:rsidRPr="008D54A5">
        <w:t xml:space="preserve"> an event </w:t>
      </w:r>
      <w:r w:rsidR="007B4104" w:rsidRPr="008D54A5">
        <w:t xml:space="preserve">can </w:t>
      </w:r>
      <w:r w:rsidR="00F66AD2" w:rsidRPr="008D54A5">
        <w:t>belong to more than one rollup group. Each event contains nine indicator variables named ROLLUP_FLAG1, ROLLUP_FLAG2, …, ROLLUP_FLAG</w:t>
      </w:r>
      <w:r w:rsidR="00C20D7F" w:rsidRPr="008D54A5">
        <w:t>10</w:t>
      </w:r>
      <w:r w:rsidR="00F66AD2" w:rsidRPr="008D54A5">
        <w:t xml:space="preserve">, which take the value 1 if the event belongs to the </w:t>
      </w:r>
      <w:proofErr w:type="spellStart"/>
      <w:r w:rsidR="00F66AD2" w:rsidRPr="008D54A5">
        <w:t>i</w:t>
      </w:r>
      <w:r w:rsidR="00F66AD2" w:rsidRPr="008D54A5">
        <w:rPr>
          <w:vertAlign w:val="superscript"/>
        </w:rPr>
        <w:t>th</w:t>
      </w:r>
      <w:proofErr w:type="spellEnd"/>
      <w:r w:rsidR="00F66AD2" w:rsidRPr="008D54A5">
        <w:t xml:space="preserve"> rollup group, and 0 otherwise. Each event also contains ID variables ROLLUP_MPSID1, ROLLUP_MPSID2, …, ROLLUP_MPSID</w:t>
      </w:r>
      <w:r w:rsidR="00C20D7F" w:rsidRPr="008D54A5">
        <w:t>10</w:t>
      </w:r>
      <w:r w:rsidR="00F66AD2" w:rsidRPr="008D54A5">
        <w:t xml:space="preserve">, which identify the MPSID of the master record in each rollup. The master record in a rollup group </w:t>
      </w:r>
      <w:proofErr w:type="spellStart"/>
      <w:r w:rsidR="00F66AD2" w:rsidRPr="008D54A5">
        <w:rPr>
          <w:i/>
        </w:rPr>
        <w:t>i</w:t>
      </w:r>
      <w:proofErr w:type="spellEnd"/>
      <w:r w:rsidR="00F66AD2" w:rsidRPr="008D54A5">
        <w:t xml:space="preserve"> can be identified on delivered files by checking the following condition:</w:t>
      </w:r>
    </w:p>
    <w:p w14:paraId="22E0580D" w14:textId="1BC0337F" w:rsidR="00772ECB" w:rsidRPr="008D54A5" w:rsidRDefault="00F66AD2" w:rsidP="001733A0">
      <w:pPr>
        <w:ind w:firstLine="720"/>
        <w:rPr>
          <w:szCs w:val="24"/>
        </w:rPr>
      </w:pPr>
      <w:proofErr w:type="spellStart"/>
      <w:r w:rsidRPr="008D54A5">
        <w:rPr>
          <w:szCs w:val="24"/>
        </w:rPr>
        <w:t>ROLLUP_FLAGi</w:t>
      </w:r>
      <w:proofErr w:type="spellEnd"/>
      <w:r w:rsidRPr="008D54A5">
        <w:rPr>
          <w:szCs w:val="24"/>
        </w:rPr>
        <w:t xml:space="preserve"> = 1 and MPSID=</w:t>
      </w:r>
      <w:proofErr w:type="spellStart"/>
      <w:r w:rsidRPr="008D54A5">
        <w:rPr>
          <w:szCs w:val="24"/>
        </w:rPr>
        <w:t>ROLLUP_MPSIDi</w:t>
      </w:r>
      <w:proofErr w:type="spellEnd"/>
      <w:r w:rsidRPr="008D54A5">
        <w:rPr>
          <w:szCs w:val="24"/>
        </w:rPr>
        <w:t xml:space="preserve">, for </w:t>
      </w:r>
      <w:proofErr w:type="spellStart"/>
      <w:r w:rsidRPr="008D54A5">
        <w:rPr>
          <w:szCs w:val="24"/>
        </w:rPr>
        <w:t>i</w:t>
      </w:r>
      <w:proofErr w:type="spellEnd"/>
      <w:r w:rsidRPr="008D54A5">
        <w:rPr>
          <w:szCs w:val="24"/>
        </w:rPr>
        <w:t>=1, 2, …</w:t>
      </w:r>
      <w:r w:rsidR="00443422" w:rsidRPr="008D54A5">
        <w:rPr>
          <w:szCs w:val="24"/>
        </w:rPr>
        <w:t>,</w:t>
      </w:r>
      <w:r w:rsidRPr="008D54A5">
        <w:rPr>
          <w:szCs w:val="24"/>
        </w:rPr>
        <w:t xml:space="preserve"> </w:t>
      </w:r>
      <w:r w:rsidR="00C20D7F" w:rsidRPr="008D54A5">
        <w:rPr>
          <w:szCs w:val="24"/>
        </w:rPr>
        <w:t>10</w:t>
      </w:r>
      <w:r w:rsidRPr="008D54A5">
        <w:rPr>
          <w:szCs w:val="24"/>
        </w:rPr>
        <w:t>.</w:t>
      </w:r>
    </w:p>
    <w:p w14:paraId="139EAB9D" w14:textId="77777777" w:rsidR="00772ECB" w:rsidRPr="008D54A5" w:rsidRDefault="00772ECB" w:rsidP="00772ECB">
      <w:pPr>
        <w:ind w:firstLine="720"/>
        <w:rPr>
          <w:szCs w:val="24"/>
        </w:rPr>
      </w:pPr>
    </w:p>
    <w:p w14:paraId="492A650D" w14:textId="6549B697" w:rsidR="00772ECB" w:rsidRPr="008D54A5" w:rsidRDefault="00356CD1" w:rsidP="00E75D33">
      <w:pPr>
        <w:pStyle w:val="BodyText"/>
      </w:pPr>
      <w:r w:rsidRPr="00404E1F">
        <w:rPr>
          <w:b/>
        </w:rPr>
        <w:t>Exhibit </w:t>
      </w:r>
      <w:r w:rsidR="00F66AD2" w:rsidRPr="008D54A5">
        <w:rPr>
          <w:b/>
        </w:rPr>
        <w:t>6.1</w:t>
      </w:r>
      <w:r w:rsidR="00F66AD2" w:rsidRPr="008D54A5">
        <w:t xml:space="preserve"> summarizes the </w:t>
      </w:r>
      <w:r w:rsidR="00F62BB8" w:rsidRPr="008D54A5">
        <w:t xml:space="preserve">10 </w:t>
      </w:r>
      <w:r w:rsidR="00F66AD2" w:rsidRPr="008D54A5">
        <w:t xml:space="preserve">rollup groups. The </w:t>
      </w:r>
      <w:r w:rsidR="00D4297E" w:rsidRPr="008D54A5">
        <w:rPr>
          <w:b/>
        </w:rPr>
        <w:t>m</w:t>
      </w:r>
      <w:r w:rsidR="00F66AD2" w:rsidRPr="008D54A5">
        <w:rPr>
          <w:b/>
        </w:rPr>
        <w:t xml:space="preserve">aster </w:t>
      </w:r>
      <w:r w:rsidR="00D4297E" w:rsidRPr="008D54A5">
        <w:rPr>
          <w:b/>
        </w:rPr>
        <w:t>r</w:t>
      </w:r>
      <w:r w:rsidR="00F66AD2" w:rsidRPr="008D54A5">
        <w:rPr>
          <w:b/>
        </w:rPr>
        <w:t xml:space="preserve">ollup </w:t>
      </w:r>
      <w:r w:rsidR="00D4297E" w:rsidRPr="008D54A5">
        <w:rPr>
          <w:b/>
        </w:rPr>
        <w:t>e</w:t>
      </w:r>
      <w:r w:rsidR="00F66AD2" w:rsidRPr="008D54A5">
        <w:rPr>
          <w:b/>
        </w:rPr>
        <w:t>vent</w:t>
      </w:r>
      <w:r w:rsidR="00F66AD2" w:rsidRPr="008D54A5">
        <w:t xml:space="preserve"> is the primary event in the rollup group. All other events that are not the master event are called </w:t>
      </w:r>
      <w:r w:rsidR="00D4297E" w:rsidRPr="008D54A5">
        <w:rPr>
          <w:b/>
        </w:rPr>
        <w:t>c</w:t>
      </w:r>
      <w:r w:rsidR="00F66AD2" w:rsidRPr="008D54A5">
        <w:rPr>
          <w:b/>
        </w:rPr>
        <w:t xml:space="preserve">hild </w:t>
      </w:r>
      <w:r w:rsidR="00D4297E" w:rsidRPr="008D54A5">
        <w:rPr>
          <w:b/>
        </w:rPr>
        <w:t>e</w:t>
      </w:r>
      <w:r w:rsidR="00F66AD2" w:rsidRPr="008D54A5">
        <w:rPr>
          <w:b/>
        </w:rPr>
        <w:t>vents</w:t>
      </w:r>
      <w:r w:rsidR="00F66AD2" w:rsidRPr="008D54A5">
        <w:t>.</w:t>
      </w:r>
    </w:p>
    <w:p w14:paraId="68F8DB29" w14:textId="326D2B1F" w:rsidR="001A1EF2" w:rsidRPr="008D54A5" w:rsidRDefault="001A1EF2" w:rsidP="00E75D33">
      <w:pPr>
        <w:pStyle w:val="BodyText"/>
      </w:pPr>
      <w:r w:rsidRPr="008D54A5">
        <w:t xml:space="preserve">ROLLUP_FLAG10 and ROLLUP_MPSID10 are created after matching. ROLLUP_FLAG10 indicates that an unmatched MPC inpatient stay has been rolled with a matched MPC inpatient stay because the beginning or ending dates of the unmatched MPC event is within 60 days of the ending or beginning dates of the corresponding matched household event, or the unmatched MPC inpatient stay overlaps the household event. </w:t>
      </w:r>
    </w:p>
    <w:p w14:paraId="57B1F51C" w14:textId="77777777" w:rsidR="006B30EC" w:rsidRPr="008D54A5" w:rsidRDefault="006B30EC" w:rsidP="006B30EC">
      <w:pPr>
        <w:pStyle w:val="bullets"/>
        <w:numPr>
          <w:ilvl w:val="0"/>
          <w:numId w:val="0"/>
        </w:numPr>
        <w:ind w:left="1080"/>
      </w:pPr>
    </w:p>
    <w:p w14:paraId="6115110E" w14:textId="77777777" w:rsidR="006B30EC" w:rsidRPr="008D54A5" w:rsidRDefault="006B30EC" w:rsidP="006B30EC">
      <w:pPr>
        <w:pStyle w:val="bullets"/>
        <w:numPr>
          <w:ilvl w:val="0"/>
          <w:numId w:val="0"/>
        </w:numPr>
        <w:ind w:left="1080"/>
        <w:sectPr w:rsidR="006B30EC" w:rsidRPr="008D54A5" w:rsidSect="00CB13C1">
          <w:headerReference w:type="default" r:id="rId23"/>
          <w:footerReference w:type="default" r:id="rId24"/>
          <w:pgSz w:w="12240" w:h="15840"/>
          <w:pgMar w:top="1440" w:right="1440" w:bottom="1440" w:left="1440" w:header="576" w:footer="576" w:gutter="0"/>
          <w:cols w:space="720"/>
          <w:docGrid w:linePitch="360"/>
        </w:sectPr>
      </w:pPr>
    </w:p>
    <w:p w14:paraId="003C36C8" w14:textId="213E9D47" w:rsidR="006B30EC" w:rsidRPr="008D54A5" w:rsidRDefault="007127B0" w:rsidP="00FD4A4F">
      <w:pPr>
        <w:pStyle w:val="ExhibitTitle"/>
      </w:pPr>
      <w:bookmarkStart w:id="204" w:name="_Toc128574191"/>
      <w:bookmarkStart w:id="205" w:name="_Toc188622348"/>
      <w:bookmarkStart w:id="206" w:name="RANGE!A1:F31"/>
      <w:r w:rsidRPr="00404E1F">
        <w:lastRenderedPageBreak/>
        <w:t>Exhibit </w:t>
      </w:r>
      <w:r w:rsidRPr="008D54A5">
        <w:rPr>
          <w:noProof/>
        </w:rPr>
        <w:fldChar w:fldCharType="begin"/>
      </w:r>
      <w:r w:rsidRPr="008D54A5">
        <w:rPr>
          <w:noProof/>
        </w:rPr>
        <w:instrText xml:space="preserve"> STYLEREF 1 \s </w:instrText>
      </w:r>
      <w:r w:rsidRPr="008D54A5">
        <w:rPr>
          <w:noProof/>
        </w:rPr>
        <w:fldChar w:fldCharType="separate"/>
      </w:r>
      <w:r w:rsidR="00EC2444" w:rsidRPr="008D54A5">
        <w:rPr>
          <w:noProof/>
        </w:rPr>
        <w:t>6</w:t>
      </w:r>
      <w:r w:rsidRPr="008D54A5">
        <w:rPr>
          <w:noProof/>
        </w:rPr>
        <w:fldChar w:fldCharType="end"/>
      </w:r>
      <w:r w:rsidRPr="008D54A5">
        <w:t>.</w:t>
      </w:r>
      <w:r w:rsidRPr="008D54A5">
        <w:rPr>
          <w:noProof/>
        </w:rPr>
        <w:fldChar w:fldCharType="begin"/>
      </w:r>
      <w:r w:rsidRPr="008D54A5">
        <w:rPr>
          <w:noProof/>
        </w:rPr>
        <w:instrText xml:space="preserve"> SEQ Exhibit \* ARABIC \s 1 </w:instrText>
      </w:r>
      <w:r w:rsidRPr="008D54A5">
        <w:rPr>
          <w:noProof/>
        </w:rPr>
        <w:fldChar w:fldCharType="separate"/>
      </w:r>
      <w:r w:rsidR="00EC2444" w:rsidRPr="008D54A5">
        <w:rPr>
          <w:noProof/>
        </w:rPr>
        <w:t>1</w:t>
      </w:r>
      <w:r w:rsidRPr="008D54A5">
        <w:rPr>
          <w:noProof/>
        </w:rPr>
        <w:fldChar w:fldCharType="end"/>
      </w:r>
      <w:r w:rsidRPr="008D54A5">
        <w:tab/>
      </w:r>
      <w:r w:rsidR="006B30EC" w:rsidRPr="008D54A5">
        <w:t xml:space="preserve">Summary of the Rollup Groups Created for the </w:t>
      </w:r>
      <w:r w:rsidR="002B2330" w:rsidRPr="008D54A5">
        <w:t>202</w:t>
      </w:r>
      <w:r w:rsidR="007726FF" w:rsidRPr="008D54A5">
        <w:t>2</w:t>
      </w:r>
      <w:r w:rsidR="006B30EC" w:rsidRPr="008D54A5">
        <w:t xml:space="preserve"> MEPS Matching</w:t>
      </w:r>
      <w:bookmarkEnd w:id="204"/>
      <w:bookmarkEnd w:id="205"/>
      <w:r w:rsidR="006B30EC" w:rsidRPr="008D54A5">
        <w:t xml:space="preserve"> </w:t>
      </w:r>
      <w:bookmarkEnd w:id="206"/>
    </w:p>
    <w:tbl>
      <w:tblPr>
        <w:tblStyle w:val="TableGrid"/>
        <w:tblW w:w="4448" w:type="pct"/>
        <w:tblLook w:val="04A0" w:firstRow="1" w:lastRow="0" w:firstColumn="1" w:lastColumn="0" w:noHBand="0" w:noVBand="1"/>
      </w:tblPr>
      <w:tblGrid>
        <w:gridCol w:w="896"/>
        <w:gridCol w:w="2253"/>
        <w:gridCol w:w="3866"/>
        <w:gridCol w:w="2968"/>
        <w:gridCol w:w="1537"/>
      </w:tblGrid>
      <w:tr w:rsidR="00DF11F4" w:rsidRPr="008D54A5" w14:paraId="3E877B3E" w14:textId="77777777" w:rsidTr="00B4238F">
        <w:trPr>
          <w:cnfStyle w:val="100000000000" w:firstRow="1" w:lastRow="0" w:firstColumn="0" w:lastColumn="0" w:oddVBand="0" w:evenVBand="0" w:oddHBand="0" w:evenHBand="0" w:firstRowFirstColumn="0" w:firstRowLastColumn="0" w:lastRowFirstColumn="0" w:lastRowLastColumn="0"/>
          <w:trHeight w:val="20"/>
          <w:tblHeader/>
        </w:trPr>
        <w:tc>
          <w:tcPr>
            <w:tcW w:w="389" w:type="pct"/>
            <w:hideMark/>
          </w:tcPr>
          <w:p w14:paraId="210E5154" w14:textId="6BD79EA4" w:rsidR="00DF11F4" w:rsidRPr="008D54A5" w:rsidRDefault="00DF11F4" w:rsidP="00345F85">
            <w:pPr>
              <w:pStyle w:val="TableHeading-10"/>
            </w:pPr>
            <w:bookmarkStart w:id="207" w:name="RANGE!A2"/>
            <w:r w:rsidRPr="008D54A5">
              <w:t>Rollup Group</w:t>
            </w:r>
            <w:bookmarkEnd w:id="207"/>
          </w:p>
        </w:tc>
        <w:tc>
          <w:tcPr>
            <w:tcW w:w="978" w:type="pct"/>
            <w:hideMark/>
          </w:tcPr>
          <w:p w14:paraId="3D52BF9C" w14:textId="77777777" w:rsidR="00DF11F4" w:rsidRPr="008D54A5" w:rsidRDefault="00DF11F4" w:rsidP="00345F85">
            <w:pPr>
              <w:pStyle w:val="TableHeading-10"/>
            </w:pPr>
            <w:r w:rsidRPr="008D54A5">
              <w:t>Types of Events Included in Rollup Group</w:t>
            </w:r>
          </w:p>
        </w:tc>
        <w:tc>
          <w:tcPr>
            <w:tcW w:w="1678" w:type="pct"/>
            <w:hideMark/>
          </w:tcPr>
          <w:p w14:paraId="2A8D9F76" w14:textId="77777777" w:rsidR="00DF11F4" w:rsidRPr="008D54A5" w:rsidRDefault="00DF11F4" w:rsidP="00345F85">
            <w:pPr>
              <w:pStyle w:val="TableHeading-10"/>
            </w:pPr>
            <w:r w:rsidRPr="008D54A5">
              <w:t>Description of Group</w:t>
            </w:r>
          </w:p>
        </w:tc>
        <w:tc>
          <w:tcPr>
            <w:tcW w:w="1288" w:type="pct"/>
            <w:hideMark/>
          </w:tcPr>
          <w:p w14:paraId="162B38E7" w14:textId="0377AF91" w:rsidR="00DF11F4" w:rsidRPr="008D54A5" w:rsidRDefault="00DF11F4" w:rsidP="00345F85">
            <w:pPr>
              <w:pStyle w:val="TableHeading-10"/>
            </w:pPr>
            <w:r w:rsidRPr="008D54A5">
              <w:t>Event in the Rollup That is Considered the Master Rollup Event</w:t>
            </w:r>
          </w:p>
        </w:tc>
        <w:tc>
          <w:tcPr>
            <w:tcW w:w="667" w:type="pct"/>
            <w:hideMark/>
          </w:tcPr>
          <w:p w14:paraId="1332B0E4" w14:textId="16CA5891" w:rsidR="00DF11F4" w:rsidRPr="008D54A5" w:rsidRDefault="00DF11F4" w:rsidP="00345F85">
            <w:pPr>
              <w:pStyle w:val="TableHeading-10"/>
            </w:pPr>
            <w:r w:rsidRPr="008D54A5">
              <w:t>Events That Are Eligible for Matching</w:t>
            </w:r>
          </w:p>
        </w:tc>
      </w:tr>
      <w:tr w:rsidR="00DF11F4" w:rsidRPr="008D54A5" w14:paraId="7B02B9E6" w14:textId="77777777" w:rsidTr="00B4238F">
        <w:trPr>
          <w:trHeight w:val="20"/>
        </w:trPr>
        <w:tc>
          <w:tcPr>
            <w:tcW w:w="389" w:type="pct"/>
            <w:vMerge w:val="restart"/>
            <w:vAlign w:val="center"/>
            <w:hideMark/>
          </w:tcPr>
          <w:p w14:paraId="6E8FC6D9" w14:textId="77777777" w:rsidR="00DF11F4" w:rsidRPr="008D54A5" w:rsidRDefault="00DF11F4" w:rsidP="00E47419">
            <w:pPr>
              <w:pStyle w:val="TableText-center-10"/>
            </w:pPr>
            <w:r w:rsidRPr="008D54A5">
              <w:t>1</w:t>
            </w:r>
          </w:p>
        </w:tc>
        <w:tc>
          <w:tcPr>
            <w:tcW w:w="978" w:type="pct"/>
            <w:hideMark/>
          </w:tcPr>
          <w:p w14:paraId="1CCC5E0F" w14:textId="77777777" w:rsidR="00DF11F4" w:rsidRPr="008D54A5" w:rsidRDefault="00DF11F4" w:rsidP="00E47419">
            <w:pPr>
              <w:pStyle w:val="TableText-10"/>
            </w:pPr>
            <w:r w:rsidRPr="008D54A5">
              <w:t>Hospital inpatient, or</w:t>
            </w:r>
          </w:p>
        </w:tc>
        <w:tc>
          <w:tcPr>
            <w:tcW w:w="1678" w:type="pct"/>
            <w:hideMark/>
          </w:tcPr>
          <w:p w14:paraId="6741163A" w14:textId="27BFDCA9" w:rsidR="00DF11F4" w:rsidRPr="008D54A5" w:rsidRDefault="00DF11F4" w:rsidP="00E47419">
            <w:pPr>
              <w:pStyle w:val="TableText-10"/>
            </w:pPr>
            <w:r w:rsidRPr="008D54A5">
              <w:t>Inpatient HS events with consecutive stay dates for the same person by provider</w:t>
            </w:r>
            <w:r w:rsidRPr="008D54A5">
              <w:rPr>
                <w:vertAlign w:val="superscript"/>
              </w:rPr>
              <w:t>1</w:t>
            </w:r>
            <w:r w:rsidRPr="008D54A5">
              <w:t>, or</w:t>
            </w:r>
          </w:p>
        </w:tc>
        <w:tc>
          <w:tcPr>
            <w:tcW w:w="1288" w:type="pct"/>
            <w:hideMark/>
          </w:tcPr>
          <w:p w14:paraId="46FE926D" w14:textId="57EEBBD6" w:rsidR="00DF11F4" w:rsidRPr="008D54A5" w:rsidRDefault="00DF11F4" w:rsidP="00E47419">
            <w:pPr>
              <w:pStyle w:val="TableText-10"/>
            </w:pPr>
            <w:r w:rsidRPr="008D54A5">
              <w:t>Event with earliest date (if all events in the rollup are capitated or all events are FFS), or</w:t>
            </w:r>
          </w:p>
        </w:tc>
        <w:tc>
          <w:tcPr>
            <w:tcW w:w="667" w:type="pct"/>
            <w:vMerge w:val="restart"/>
            <w:hideMark/>
          </w:tcPr>
          <w:p w14:paraId="2F4433E5" w14:textId="02496347" w:rsidR="00DF11F4" w:rsidRPr="008D54A5" w:rsidRDefault="00DF11F4" w:rsidP="00E47419">
            <w:pPr>
              <w:pStyle w:val="TableText-10"/>
            </w:pPr>
            <w:r w:rsidRPr="008D54A5">
              <w:t>All</w:t>
            </w:r>
            <w:r w:rsidRPr="008D54A5">
              <w:rPr>
                <w:vertAlign w:val="superscript"/>
              </w:rPr>
              <w:t>2</w:t>
            </w:r>
          </w:p>
        </w:tc>
      </w:tr>
      <w:tr w:rsidR="00DF11F4" w:rsidRPr="008D54A5" w14:paraId="6EF6C8FB" w14:textId="77777777" w:rsidTr="00B4238F">
        <w:trPr>
          <w:trHeight w:val="20"/>
        </w:trPr>
        <w:tc>
          <w:tcPr>
            <w:tcW w:w="389" w:type="pct"/>
            <w:vMerge/>
            <w:vAlign w:val="center"/>
            <w:hideMark/>
          </w:tcPr>
          <w:p w14:paraId="32A2ABC9" w14:textId="77777777" w:rsidR="00DF11F4" w:rsidRPr="008D54A5" w:rsidRDefault="00DF11F4" w:rsidP="00E47419">
            <w:pPr>
              <w:pStyle w:val="TableText-center-10"/>
            </w:pPr>
          </w:p>
        </w:tc>
        <w:tc>
          <w:tcPr>
            <w:tcW w:w="978" w:type="pct"/>
            <w:hideMark/>
          </w:tcPr>
          <w:p w14:paraId="25A501FB" w14:textId="29BF3F6F" w:rsidR="00DF11F4" w:rsidRPr="008D54A5" w:rsidRDefault="00DF11F4" w:rsidP="00E47419">
            <w:pPr>
              <w:pStyle w:val="TableText-10"/>
            </w:pPr>
            <w:r w:rsidRPr="008D54A5">
              <w:t>Hospital inpatient and Institutional stays</w:t>
            </w:r>
          </w:p>
          <w:p w14:paraId="4649CA5B" w14:textId="77777777" w:rsidR="00DF11F4" w:rsidRPr="008D54A5" w:rsidRDefault="00DF11F4" w:rsidP="00E47419">
            <w:pPr>
              <w:pStyle w:val="TableText-10"/>
            </w:pPr>
            <w:r w:rsidRPr="008D54A5">
              <w:t> </w:t>
            </w:r>
          </w:p>
        </w:tc>
        <w:tc>
          <w:tcPr>
            <w:tcW w:w="1678" w:type="pct"/>
            <w:hideMark/>
          </w:tcPr>
          <w:p w14:paraId="17E4EC8A" w14:textId="28F14551" w:rsidR="00DF11F4" w:rsidRPr="008D54A5" w:rsidRDefault="00DF11F4" w:rsidP="00D6031C">
            <w:pPr>
              <w:pStyle w:val="table-bulletLM"/>
              <w:rPr>
                <w:sz w:val="20"/>
              </w:rPr>
            </w:pPr>
            <w:r w:rsidRPr="008D54A5">
              <w:rPr>
                <w:sz w:val="20"/>
              </w:rPr>
              <w:t>Institutional stay events and HS events with consecutive stay dates for the same person by provider</w:t>
            </w:r>
          </w:p>
          <w:p w14:paraId="445317B0" w14:textId="77777777" w:rsidR="00DF11F4" w:rsidRPr="008D54A5" w:rsidRDefault="00DF11F4" w:rsidP="00D6031C">
            <w:pPr>
              <w:pStyle w:val="table-bulletLM"/>
              <w:rPr>
                <w:sz w:val="20"/>
              </w:rPr>
            </w:pPr>
            <w:r w:rsidRPr="008D54A5">
              <w:rPr>
                <w:sz w:val="20"/>
              </w:rPr>
              <w:t>Stays with overlapping dates are manually reviewed by data collection managers and are not rolled</w:t>
            </w:r>
          </w:p>
        </w:tc>
        <w:tc>
          <w:tcPr>
            <w:tcW w:w="1288" w:type="pct"/>
            <w:hideMark/>
          </w:tcPr>
          <w:p w14:paraId="42C0A590" w14:textId="7CA8D9AE" w:rsidR="00DF11F4" w:rsidRPr="008D54A5" w:rsidRDefault="00DF11F4" w:rsidP="00E47419">
            <w:pPr>
              <w:pStyle w:val="TableText-10"/>
            </w:pPr>
            <w:r w:rsidRPr="008D54A5">
              <w:t>Capitated event with the earliest date (if both capitated and FFS events in the rollup)</w:t>
            </w:r>
          </w:p>
        </w:tc>
        <w:tc>
          <w:tcPr>
            <w:tcW w:w="667" w:type="pct"/>
            <w:vMerge/>
            <w:hideMark/>
          </w:tcPr>
          <w:p w14:paraId="739C4AFE" w14:textId="77777777" w:rsidR="00DF11F4" w:rsidRPr="008D54A5" w:rsidRDefault="00DF11F4" w:rsidP="00E47419">
            <w:pPr>
              <w:pStyle w:val="TableText-10"/>
            </w:pPr>
          </w:p>
        </w:tc>
      </w:tr>
      <w:tr w:rsidR="00DF11F4" w:rsidRPr="008D54A5" w14:paraId="7DA8B5FA" w14:textId="77777777" w:rsidTr="00B4238F">
        <w:trPr>
          <w:trHeight w:val="20"/>
        </w:trPr>
        <w:tc>
          <w:tcPr>
            <w:tcW w:w="389" w:type="pct"/>
            <w:vAlign w:val="center"/>
            <w:hideMark/>
          </w:tcPr>
          <w:p w14:paraId="0C8928B1" w14:textId="77777777" w:rsidR="00DF11F4" w:rsidRPr="008D54A5" w:rsidRDefault="00DF11F4" w:rsidP="00E47419">
            <w:pPr>
              <w:pStyle w:val="TableText-center-10"/>
            </w:pPr>
            <w:r w:rsidRPr="008D54A5">
              <w:t>2</w:t>
            </w:r>
          </w:p>
        </w:tc>
        <w:tc>
          <w:tcPr>
            <w:tcW w:w="978" w:type="pct"/>
            <w:hideMark/>
          </w:tcPr>
          <w:p w14:paraId="04EACA2C" w14:textId="77777777" w:rsidR="00DF11F4" w:rsidRPr="008D54A5" w:rsidRDefault="00DF11F4" w:rsidP="00E47419">
            <w:pPr>
              <w:pStyle w:val="TableText-10"/>
            </w:pPr>
            <w:r w:rsidRPr="008D54A5">
              <w:t>Institutional stays</w:t>
            </w:r>
          </w:p>
        </w:tc>
        <w:tc>
          <w:tcPr>
            <w:tcW w:w="1678" w:type="pct"/>
            <w:hideMark/>
          </w:tcPr>
          <w:p w14:paraId="3E5AB27B" w14:textId="77777777" w:rsidR="00DF11F4" w:rsidRPr="008D54A5" w:rsidRDefault="00DF11F4" w:rsidP="00E47419">
            <w:pPr>
              <w:pStyle w:val="TableText-10"/>
            </w:pPr>
            <w:r w:rsidRPr="008D54A5">
              <w:t>Institutional stay events with consecutive stays dates for the same person by provider</w:t>
            </w:r>
          </w:p>
        </w:tc>
        <w:tc>
          <w:tcPr>
            <w:tcW w:w="1288" w:type="pct"/>
            <w:hideMark/>
          </w:tcPr>
          <w:p w14:paraId="387DF0E0" w14:textId="74B3D95A" w:rsidR="00DF11F4" w:rsidRPr="008D54A5" w:rsidRDefault="00DF11F4" w:rsidP="00D6031C">
            <w:pPr>
              <w:pStyle w:val="table-bulletLM"/>
              <w:rPr>
                <w:sz w:val="20"/>
              </w:rPr>
            </w:pPr>
            <w:r w:rsidRPr="008D54A5">
              <w:rPr>
                <w:sz w:val="20"/>
              </w:rPr>
              <w:t>Event with earliest date (if all events in the rollup are capitated or all events are FFS), or</w:t>
            </w:r>
          </w:p>
          <w:p w14:paraId="528E9332" w14:textId="32A63653" w:rsidR="00DF11F4" w:rsidRPr="008D54A5" w:rsidRDefault="00DF11F4" w:rsidP="00D6031C">
            <w:pPr>
              <w:pStyle w:val="table-bulletLM"/>
              <w:rPr>
                <w:sz w:val="20"/>
              </w:rPr>
            </w:pPr>
            <w:r w:rsidRPr="008D54A5">
              <w:rPr>
                <w:sz w:val="20"/>
              </w:rPr>
              <w:t>Capitated event with the earliest date (if both capitated and FFS events in the rollup)</w:t>
            </w:r>
          </w:p>
        </w:tc>
        <w:tc>
          <w:tcPr>
            <w:tcW w:w="667" w:type="pct"/>
            <w:hideMark/>
          </w:tcPr>
          <w:p w14:paraId="422B023C" w14:textId="429AA528" w:rsidR="00DF11F4" w:rsidRPr="008D54A5" w:rsidRDefault="00DF11F4" w:rsidP="00E47419">
            <w:pPr>
              <w:pStyle w:val="TableText-10"/>
              <w:rPr>
                <w:vertAlign w:val="superscript"/>
              </w:rPr>
            </w:pPr>
            <w:r w:rsidRPr="008D54A5">
              <w:t>All</w:t>
            </w:r>
            <w:r w:rsidRPr="008D54A5">
              <w:rPr>
                <w:vertAlign w:val="superscript"/>
              </w:rPr>
              <w:t>2</w:t>
            </w:r>
          </w:p>
          <w:p w14:paraId="42B1CC7E" w14:textId="3E1B8E33" w:rsidR="00DF11F4" w:rsidRPr="008D54A5" w:rsidRDefault="00DF11F4" w:rsidP="00E47419">
            <w:pPr>
              <w:pStyle w:val="TableText-10"/>
            </w:pPr>
          </w:p>
        </w:tc>
      </w:tr>
      <w:tr w:rsidR="00DF11F4" w:rsidRPr="008D54A5" w14:paraId="38E4AA1B" w14:textId="77777777" w:rsidTr="00B4238F">
        <w:trPr>
          <w:trHeight w:val="20"/>
        </w:trPr>
        <w:tc>
          <w:tcPr>
            <w:tcW w:w="389" w:type="pct"/>
            <w:vAlign w:val="center"/>
            <w:hideMark/>
          </w:tcPr>
          <w:p w14:paraId="4C5A231E" w14:textId="77777777" w:rsidR="00DF11F4" w:rsidRPr="008D54A5" w:rsidRDefault="00DF11F4" w:rsidP="00E47419">
            <w:pPr>
              <w:pStyle w:val="TableText-center-10"/>
            </w:pPr>
            <w:r w:rsidRPr="008D54A5">
              <w:t>3</w:t>
            </w:r>
          </w:p>
        </w:tc>
        <w:tc>
          <w:tcPr>
            <w:tcW w:w="978" w:type="pct"/>
            <w:hideMark/>
          </w:tcPr>
          <w:p w14:paraId="390213EF" w14:textId="364D49B6" w:rsidR="00DF11F4" w:rsidRPr="008D54A5" w:rsidRDefault="00DF11F4" w:rsidP="00E47419">
            <w:pPr>
              <w:pStyle w:val="TableText-10"/>
            </w:pPr>
            <w:r w:rsidRPr="008D54A5">
              <w:t xml:space="preserve">ER events and Hospital inpatient </w:t>
            </w:r>
          </w:p>
        </w:tc>
        <w:tc>
          <w:tcPr>
            <w:tcW w:w="1678" w:type="pct"/>
            <w:hideMark/>
          </w:tcPr>
          <w:p w14:paraId="1FC39018" w14:textId="640B9292" w:rsidR="00DF11F4" w:rsidRPr="008D54A5" w:rsidRDefault="00DF11F4" w:rsidP="00D6031C">
            <w:pPr>
              <w:pStyle w:val="table-bulletLM"/>
              <w:rPr>
                <w:sz w:val="20"/>
              </w:rPr>
            </w:pPr>
            <w:r w:rsidRPr="008D54A5">
              <w:rPr>
                <w:sz w:val="20"/>
              </w:rPr>
              <w:t>ER events that fall on the first day or preceding day of an inpatient HS are rolled with the HS</w:t>
            </w:r>
          </w:p>
          <w:p w14:paraId="2C7B9B26" w14:textId="11442E51" w:rsidR="00DF11F4" w:rsidRPr="008D54A5" w:rsidRDefault="00DF11F4" w:rsidP="00D6031C">
            <w:pPr>
              <w:pStyle w:val="table-bulletLM"/>
              <w:rPr>
                <w:sz w:val="20"/>
              </w:rPr>
            </w:pPr>
            <w:r w:rsidRPr="008D54A5">
              <w:rPr>
                <w:color w:val="000000"/>
                <w:sz w:val="20"/>
              </w:rPr>
              <w:t xml:space="preserve">Rollup </w:t>
            </w:r>
            <w:r>
              <w:rPr>
                <w:color w:val="000000"/>
                <w:sz w:val="20"/>
              </w:rPr>
              <w:t>G</w:t>
            </w:r>
            <w:r w:rsidRPr="008D54A5">
              <w:rPr>
                <w:color w:val="000000"/>
                <w:sz w:val="20"/>
              </w:rPr>
              <w:t xml:space="preserve">roup 3 excludes ER events where the person was admitted from the ER and the ER charge was included in the inpatient stay amount </w:t>
            </w:r>
          </w:p>
          <w:p w14:paraId="1CFBBDA6" w14:textId="77777777" w:rsidR="00DF11F4" w:rsidRPr="008D54A5" w:rsidRDefault="00DF11F4" w:rsidP="00D6031C">
            <w:pPr>
              <w:pStyle w:val="table-bulletLM"/>
              <w:rPr>
                <w:sz w:val="20"/>
              </w:rPr>
            </w:pPr>
            <w:r w:rsidRPr="008D54A5">
              <w:rPr>
                <w:sz w:val="20"/>
              </w:rPr>
              <w:t>A small number of ER events with more than 1-day gap before an inpatient stay were rolled with the inpatient stay in situations where the patient was classified as admitted to the hospital from observation</w:t>
            </w:r>
          </w:p>
        </w:tc>
        <w:tc>
          <w:tcPr>
            <w:tcW w:w="1288" w:type="pct"/>
            <w:hideMark/>
          </w:tcPr>
          <w:p w14:paraId="00A74FAB" w14:textId="2B02D178" w:rsidR="00DF11F4" w:rsidRPr="008D54A5" w:rsidRDefault="00DF11F4" w:rsidP="00E47419">
            <w:pPr>
              <w:pStyle w:val="TableText-10"/>
            </w:pPr>
            <w:r w:rsidRPr="008D54A5">
              <w:t>HS</w:t>
            </w:r>
          </w:p>
        </w:tc>
        <w:tc>
          <w:tcPr>
            <w:tcW w:w="667" w:type="pct"/>
            <w:hideMark/>
          </w:tcPr>
          <w:p w14:paraId="2DA7F5BD" w14:textId="262AA7AF" w:rsidR="00DF11F4" w:rsidRPr="008D54A5" w:rsidRDefault="00DF11F4" w:rsidP="00E47419">
            <w:pPr>
              <w:pStyle w:val="TableText-10"/>
            </w:pPr>
            <w:r w:rsidRPr="008D54A5">
              <w:t>All (both ER and HS)</w:t>
            </w:r>
          </w:p>
        </w:tc>
      </w:tr>
    </w:tbl>
    <w:p w14:paraId="0FF23123" w14:textId="04EB3A45" w:rsidR="006B30EC" w:rsidRPr="008D54A5" w:rsidRDefault="006B30EC" w:rsidP="006B30EC">
      <w:pPr>
        <w:pStyle w:val="tablecont"/>
      </w:pPr>
      <w:r w:rsidRPr="008D54A5">
        <w:t>(continued)</w:t>
      </w:r>
    </w:p>
    <w:p w14:paraId="7C59324A" w14:textId="77777777" w:rsidR="006B30EC" w:rsidRPr="008D54A5" w:rsidRDefault="006B30EC"/>
    <w:p w14:paraId="025C8253" w14:textId="08064247" w:rsidR="006B30EC" w:rsidRPr="008D54A5" w:rsidRDefault="006B30EC" w:rsidP="00FD4A4F">
      <w:pPr>
        <w:pStyle w:val="ExhibitTitlecontinued"/>
      </w:pPr>
      <w:r w:rsidRPr="00404E1F">
        <w:lastRenderedPageBreak/>
        <w:t>Exhibit </w:t>
      </w:r>
      <w:r w:rsidRPr="008D54A5">
        <w:t>6.1</w:t>
      </w:r>
      <w:r w:rsidRPr="008D54A5">
        <w:tab/>
        <w:t xml:space="preserve">Summary of the Rollup Groups Created for the </w:t>
      </w:r>
      <w:r w:rsidR="00D6031C" w:rsidRPr="008D54A5">
        <w:t>202</w:t>
      </w:r>
      <w:r w:rsidR="007726FF" w:rsidRPr="008D54A5">
        <w:t>2</w:t>
      </w:r>
      <w:r w:rsidR="00D6031C" w:rsidRPr="008D54A5">
        <w:t xml:space="preserve"> </w:t>
      </w:r>
      <w:r w:rsidRPr="008D54A5">
        <w:t>MEPS Matching (continued)</w:t>
      </w:r>
    </w:p>
    <w:tbl>
      <w:tblPr>
        <w:tblStyle w:val="TableGrid"/>
        <w:tblW w:w="4448" w:type="pct"/>
        <w:tblLook w:val="04A0" w:firstRow="1" w:lastRow="0" w:firstColumn="1" w:lastColumn="0" w:noHBand="0" w:noVBand="1"/>
      </w:tblPr>
      <w:tblGrid>
        <w:gridCol w:w="896"/>
        <w:gridCol w:w="2253"/>
        <w:gridCol w:w="3866"/>
        <w:gridCol w:w="2968"/>
        <w:gridCol w:w="1537"/>
      </w:tblGrid>
      <w:tr w:rsidR="00415D81" w:rsidRPr="008D54A5" w14:paraId="29923BD6" w14:textId="77777777" w:rsidTr="00B4238F">
        <w:trPr>
          <w:cnfStyle w:val="100000000000" w:firstRow="1" w:lastRow="0" w:firstColumn="0" w:lastColumn="0" w:oddVBand="0" w:evenVBand="0" w:oddHBand="0" w:evenHBand="0" w:firstRowFirstColumn="0" w:firstRowLastColumn="0" w:lastRowFirstColumn="0" w:lastRowLastColumn="0"/>
          <w:trHeight w:val="20"/>
          <w:tblHeader/>
        </w:trPr>
        <w:tc>
          <w:tcPr>
            <w:tcW w:w="389" w:type="pct"/>
            <w:hideMark/>
          </w:tcPr>
          <w:p w14:paraId="32005A08" w14:textId="77777777" w:rsidR="00415D81" w:rsidRPr="008D54A5" w:rsidRDefault="00415D81" w:rsidP="00345F85">
            <w:pPr>
              <w:pStyle w:val="TableHeading-10"/>
            </w:pPr>
            <w:r w:rsidRPr="008D54A5">
              <w:t>Rollup Group</w:t>
            </w:r>
          </w:p>
        </w:tc>
        <w:tc>
          <w:tcPr>
            <w:tcW w:w="978" w:type="pct"/>
            <w:hideMark/>
          </w:tcPr>
          <w:p w14:paraId="528AC15F" w14:textId="77777777" w:rsidR="00415D81" w:rsidRPr="008D54A5" w:rsidRDefault="00415D81" w:rsidP="00345F85">
            <w:pPr>
              <w:pStyle w:val="TableHeading-10"/>
            </w:pPr>
            <w:r w:rsidRPr="008D54A5">
              <w:t>Types of Events Included in Rollup Group</w:t>
            </w:r>
          </w:p>
        </w:tc>
        <w:tc>
          <w:tcPr>
            <w:tcW w:w="1678" w:type="pct"/>
            <w:hideMark/>
          </w:tcPr>
          <w:p w14:paraId="30292989" w14:textId="77777777" w:rsidR="00415D81" w:rsidRPr="008D54A5" w:rsidRDefault="00415D81" w:rsidP="00345F85">
            <w:pPr>
              <w:pStyle w:val="TableHeading-10"/>
            </w:pPr>
            <w:r w:rsidRPr="008D54A5">
              <w:t>Description of Group</w:t>
            </w:r>
          </w:p>
        </w:tc>
        <w:tc>
          <w:tcPr>
            <w:tcW w:w="1288" w:type="pct"/>
            <w:hideMark/>
          </w:tcPr>
          <w:p w14:paraId="362B464F" w14:textId="52927E0F" w:rsidR="00415D81" w:rsidRPr="008D54A5" w:rsidRDefault="00415D81" w:rsidP="00345F85">
            <w:pPr>
              <w:pStyle w:val="TableHeading-10"/>
            </w:pPr>
            <w:r w:rsidRPr="008D54A5">
              <w:t>Event in the Rollup That Is Considered the Master Rollup Event</w:t>
            </w:r>
          </w:p>
        </w:tc>
        <w:tc>
          <w:tcPr>
            <w:tcW w:w="667" w:type="pct"/>
            <w:hideMark/>
          </w:tcPr>
          <w:p w14:paraId="353520DD" w14:textId="5F7AD0C8" w:rsidR="00415D81" w:rsidRPr="008D54A5" w:rsidRDefault="00415D81" w:rsidP="00345F85">
            <w:pPr>
              <w:pStyle w:val="TableHeading-10"/>
            </w:pPr>
            <w:r w:rsidRPr="008D54A5">
              <w:t>Events That Are Eligible for Matching</w:t>
            </w:r>
          </w:p>
        </w:tc>
      </w:tr>
      <w:tr w:rsidR="00415D81" w:rsidRPr="008D54A5" w14:paraId="3BA48716" w14:textId="77777777" w:rsidTr="00B4238F">
        <w:trPr>
          <w:trHeight w:val="20"/>
        </w:trPr>
        <w:tc>
          <w:tcPr>
            <w:tcW w:w="389" w:type="pct"/>
            <w:tcBorders>
              <w:bottom w:val="single" w:sz="4" w:space="0" w:color="auto"/>
            </w:tcBorders>
            <w:hideMark/>
          </w:tcPr>
          <w:p w14:paraId="375EA31E" w14:textId="77777777" w:rsidR="00415D81" w:rsidRPr="008D54A5" w:rsidRDefault="00415D81" w:rsidP="00E47419">
            <w:pPr>
              <w:pStyle w:val="TableText-center-10"/>
            </w:pPr>
            <w:r w:rsidRPr="008D54A5">
              <w:t>4</w:t>
            </w:r>
          </w:p>
        </w:tc>
        <w:tc>
          <w:tcPr>
            <w:tcW w:w="978" w:type="pct"/>
            <w:tcBorders>
              <w:bottom w:val="single" w:sz="4" w:space="0" w:color="auto"/>
            </w:tcBorders>
            <w:hideMark/>
          </w:tcPr>
          <w:p w14:paraId="44A474D7" w14:textId="13073E7C" w:rsidR="00415D81" w:rsidRPr="008D54A5" w:rsidRDefault="00415D81" w:rsidP="00E47419">
            <w:pPr>
              <w:pStyle w:val="TableText-10"/>
            </w:pPr>
            <w:r w:rsidRPr="008D54A5">
              <w:t xml:space="preserve"> MV and OP visits</w:t>
            </w:r>
          </w:p>
        </w:tc>
        <w:tc>
          <w:tcPr>
            <w:tcW w:w="1678" w:type="pct"/>
            <w:tcBorders>
              <w:bottom w:val="single" w:sz="4" w:space="0" w:color="auto"/>
            </w:tcBorders>
            <w:hideMark/>
          </w:tcPr>
          <w:p w14:paraId="50C19DED" w14:textId="4B2FA6AE" w:rsidR="00415D81" w:rsidRPr="008D54A5" w:rsidRDefault="00415D81" w:rsidP="00E47419">
            <w:pPr>
              <w:pStyle w:val="TableText-10"/>
            </w:pPr>
            <w:r w:rsidRPr="008D54A5">
              <w:t xml:space="preserve">Multiple MV and OP events on the same day (there must be at least one MV and at least one OP to be a part of </w:t>
            </w:r>
            <w:r>
              <w:t>R</w:t>
            </w:r>
            <w:r w:rsidRPr="008D54A5">
              <w:t xml:space="preserve">ollup </w:t>
            </w:r>
            <w:r>
              <w:t>G</w:t>
            </w:r>
            <w:r w:rsidRPr="008D54A5">
              <w:t>roup 4)</w:t>
            </w:r>
          </w:p>
          <w:p w14:paraId="7C9C4D20" w14:textId="77777777" w:rsidR="00415D81" w:rsidRPr="008D54A5" w:rsidRDefault="00415D81" w:rsidP="00E47419">
            <w:pPr>
              <w:pStyle w:val="TableText-10"/>
            </w:pPr>
          </w:p>
          <w:p w14:paraId="742325C2" w14:textId="1DD8C51D" w:rsidR="00415D81" w:rsidRPr="008D54A5" w:rsidRDefault="00415D81" w:rsidP="00E47419">
            <w:pPr>
              <w:pStyle w:val="TableText-10"/>
            </w:pPr>
            <w:r w:rsidRPr="008D54A5">
              <w:t xml:space="preserve">Note: </w:t>
            </w:r>
            <w:r>
              <w:t xml:space="preserve">beginning with the 2020 MPC, </w:t>
            </w:r>
            <w:r w:rsidRPr="008D54A5">
              <w:t>Rollup Group 4 excludes VA events.</w:t>
            </w:r>
          </w:p>
        </w:tc>
        <w:tc>
          <w:tcPr>
            <w:tcW w:w="1288" w:type="pct"/>
            <w:tcBorders>
              <w:bottom w:val="single" w:sz="4" w:space="0" w:color="auto"/>
            </w:tcBorders>
            <w:hideMark/>
          </w:tcPr>
          <w:p w14:paraId="036C7286" w14:textId="3C8DA45E" w:rsidR="00415D81" w:rsidRPr="008D54A5" w:rsidRDefault="00415D81" w:rsidP="00D6031C">
            <w:pPr>
              <w:pStyle w:val="table-bulletLM"/>
              <w:rPr>
                <w:sz w:val="20"/>
              </w:rPr>
            </w:pPr>
            <w:r w:rsidRPr="008D54A5">
              <w:rPr>
                <w:sz w:val="20"/>
              </w:rPr>
              <w:t>One of the capitated events (if both capitated and FFS events in the rollup), otherwise</w:t>
            </w:r>
          </w:p>
          <w:p w14:paraId="727239A5" w14:textId="77777777" w:rsidR="00415D81" w:rsidRPr="008D54A5" w:rsidRDefault="00415D81" w:rsidP="00D6031C">
            <w:pPr>
              <w:pStyle w:val="table-bulletLM"/>
              <w:rPr>
                <w:sz w:val="20"/>
              </w:rPr>
            </w:pPr>
            <w:r w:rsidRPr="008D54A5">
              <w:rPr>
                <w:sz w:val="20"/>
              </w:rPr>
              <w:t>One of the events</w:t>
            </w:r>
          </w:p>
          <w:p w14:paraId="231A6D46" w14:textId="5FB54E38" w:rsidR="00415D81" w:rsidRPr="008D54A5" w:rsidRDefault="00415D81" w:rsidP="00D6031C">
            <w:pPr>
              <w:pStyle w:val="table-bulletLM"/>
              <w:rPr>
                <w:sz w:val="20"/>
              </w:rPr>
            </w:pPr>
            <w:r w:rsidRPr="008D54A5">
              <w:rPr>
                <w:sz w:val="20"/>
              </w:rPr>
              <w:t>Event with earliest date (if all events in the rollup are capitated or all events are FFS), or</w:t>
            </w:r>
          </w:p>
          <w:p w14:paraId="47DED37F" w14:textId="3C256AAE" w:rsidR="00415D81" w:rsidRPr="008D54A5" w:rsidRDefault="00415D81" w:rsidP="00D6031C">
            <w:pPr>
              <w:pStyle w:val="table-bulletLM"/>
              <w:rPr>
                <w:sz w:val="20"/>
              </w:rPr>
            </w:pPr>
            <w:r w:rsidRPr="008D54A5">
              <w:rPr>
                <w:sz w:val="20"/>
              </w:rPr>
              <w:t>Capitated event with the earliest date (if both capitated and FFS events in the rollup).</w:t>
            </w:r>
          </w:p>
        </w:tc>
        <w:tc>
          <w:tcPr>
            <w:tcW w:w="667" w:type="pct"/>
            <w:tcBorders>
              <w:bottom w:val="single" w:sz="4" w:space="0" w:color="auto"/>
            </w:tcBorders>
            <w:hideMark/>
          </w:tcPr>
          <w:p w14:paraId="4A648A66" w14:textId="77777777" w:rsidR="00415D81" w:rsidRPr="008D54A5" w:rsidRDefault="00415D81" w:rsidP="00E47419">
            <w:pPr>
              <w:pStyle w:val="TableText-10"/>
            </w:pPr>
            <w:r w:rsidRPr="008D54A5">
              <w:t>All</w:t>
            </w:r>
          </w:p>
        </w:tc>
      </w:tr>
      <w:tr w:rsidR="00415D81" w:rsidRPr="008D54A5" w14:paraId="2417D3C8" w14:textId="77777777" w:rsidTr="00B4238F">
        <w:trPr>
          <w:trHeight w:val="20"/>
        </w:trPr>
        <w:tc>
          <w:tcPr>
            <w:tcW w:w="389" w:type="pct"/>
            <w:tcBorders>
              <w:bottom w:val="single" w:sz="4" w:space="0" w:color="auto"/>
            </w:tcBorders>
            <w:hideMark/>
          </w:tcPr>
          <w:p w14:paraId="31DF2C56" w14:textId="77777777" w:rsidR="00415D81" w:rsidRPr="008D54A5" w:rsidRDefault="00415D81" w:rsidP="00E47419">
            <w:pPr>
              <w:pStyle w:val="TableText-center-10"/>
            </w:pPr>
            <w:r w:rsidRPr="008D54A5">
              <w:t>5</w:t>
            </w:r>
          </w:p>
        </w:tc>
        <w:tc>
          <w:tcPr>
            <w:tcW w:w="978" w:type="pct"/>
            <w:tcBorders>
              <w:bottom w:val="single" w:sz="4" w:space="0" w:color="auto"/>
            </w:tcBorders>
            <w:hideMark/>
          </w:tcPr>
          <w:p w14:paraId="59B4B4CF" w14:textId="77777777" w:rsidR="00415D81" w:rsidRPr="008D54A5" w:rsidRDefault="00415D81" w:rsidP="00E47419">
            <w:pPr>
              <w:pStyle w:val="TableText-10"/>
            </w:pPr>
            <w:r w:rsidRPr="008D54A5">
              <w:t>Hospital inpatient</w:t>
            </w:r>
          </w:p>
        </w:tc>
        <w:tc>
          <w:tcPr>
            <w:tcW w:w="1678" w:type="pct"/>
            <w:tcBorders>
              <w:bottom w:val="single" w:sz="4" w:space="0" w:color="auto"/>
            </w:tcBorders>
            <w:hideMark/>
          </w:tcPr>
          <w:p w14:paraId="048953AD" w14:textId="4986B6B9" w:rsidR="00415D81" w:rsidRPr="008D54A5" w:rsidRDefault="00415D81" w:rsidP="00E47419">
            <w:pPr>
              <w:pStyle w:val="TableText-10"/>
            </w:pPr>
            <w:r w:rsidRPr="008D54A5">
              <w:t>Inpatient HS events with stay periods that are 1 day apart (i.e., the end date of one stay and the begin day of the next stay have a 1-day gap)</w:t>
            </w:r>
          </w:p>
        </w:tc>
        <w:tc>
          <w:tcPr>
            <w:tcW w:w="1288" w:type="pct"/>
            <w:tcBorders>
              <w:bottom w:val="single" w:sz="4" w:space="0" w:color="auto"/>
            </w:tcBorders>
            <w:hideMark/>
          </w:tcPr>
          <w:p w14:paraId="235BCB99" w14:textId="77777777" w:rsidR="00415D81" w:rsidRPr="008D54A5" w:rsidRDefault="00415D81" w:rsidP="00E47419">
            <w:pPr>
              <w:pStyle w:val="TableText-10"/>
            </w:pPr>
          </w:p>
        </w:tc>
        <w:tc>
          <w:tcPr>
            <w:tcW w:w="667" w:type="pct"/>
            <w:tcBorders>
              <w:bottom w:val="single" w:sz="4" w:space="0" w:color="auto"/>
            </w:tcBorders>
            <w:hideMark/>
          </w:tcPr>
          <w:p w14:paraId="139E6575" w14:textId="77777777" w:rsidR="00415D81" w:rsidRPr="008D54A5" w:rsidRDefault="00415D81" w:rsidP="00E47419">
            <w:pPr>
              <w:pStyle w:val="TableText-10"/>
            </w:pPr>
            <w:r w:rsidRPr="008D54A5">
              <w:t>All</w:t>
            </w:r>
          </w:p>
        </w:tc>
      </w:tr>
      <w:tr w:rsidR="00415D81" w:rsidRPr="008D54A5" w14:paraId="061FF696" w14:textId="77777777" w:rsidTr="00B4238F">
        <w:trPr>
          <w:trHeight w:val="20"/>
        </w:trPr>
        <w:tc>
          <w:tcPr>
            <w:tcW w:w="389" w:type="pct"/>
            <w:hideMark/>
          </w:tcPr>
          <w:p w14:paraId="4124627E" w14:textId="77777777" w:rsidR="00415D81" w:rsidRPr="008D54A5" w:rsidRDefault="00415D81" w:rsidP="00E47419">
            <w:pPr>
              <w:pStyle w:val="TableText-center-10"/>
            </w:pPr>
            <w:r w:rsidRPr="008D54A5">
              <w:t>6</w:t>
            </w:r>
          </w:p>
        </w:tc>
        <w:tc>
          <w:tcPr>
            <w:tcW w:w="978" w:type="pct"/>
            <w:hideMark/>
          </w:tcPr>
          <w:p w14:paraId="2BE35683" w14:textId="7AC3485E" w:rsidR="00415D81" w:rsidRPr="008D54A5" w:rsidRDefault="00415D81" w:rsidP="00E47419">
            <w:pPr>
              <w:pStyle w:val="TableText-10"/>
            </w:pPr>
            <w:r w:rsidRPr="008D54A5">
              <w:t>Hospital OP and Hospital inpatient</w:t>
            </w:r>
          </w:p>
        </w:tc>
        <w:tc>
          <w:tcPr>
            <w:tcW w:w="1678" w:type="pct"/>
            <w:hideMark/>
          </w:tcPr>
          <w:p w14:paraId="4B7AB828" w14:textId="4AE10442" w:rsidR="00415D81" w:rsidRPr="008D54A5" w:rsidRDefault="00415D81" w:rsidP="00D6031C">
            <w:pPr>
              <w:pStyle w:val="TableText"/>
              <w:spacing w:after="60"/>
            </w:pPr>
            <w:r w:rsidRPr="008D54A5">
              <w:t>One or more hospital OP events for the same person fall in the period of an inpatient HS (excluding the first day of the stay but including the last day of the HS) (either same or different providers)</w:t>
            </w:r>
          </w:p>
          <w:p w14:paraId="3DF7A4D5" w14:textId="456AA038" w:rsidR="00415D81" w:rsidRPr="008D54A5" w:rsidRDefault="00415D81" w:rsidP="00E47419">
            <w:pPr>
              <w:pStyle w:val="TableText-10"/>
            </w:pPr>
            <w:r w:rsidRPr="008D54A5">
              <w:t xml:space="preserve">Rollup </w:t>
            </w:r>
            <w:r>
              <w:t>G</w:t>
            </w:r>
            <w:r w:rsidRPr="008D54A5">
              <w:t xml:space="preserve">roup 6 allows one or more embedded events and excludes the first day of the stay. This change, made in 2014, allows more events to be rolled, and prevents the same OP/HS inpatient events from being a part of </w:t>
            </w:r>
            <w:r>
              <w:t>R</w:t>
            </w:r>
            <w:r w:rsidRPr="008D54A5">
              <w:t xml:space="preserve">ollup </w:t>
            </w:r>
            <w:r>
              <w:t>G</w:t>
            </w:r>
            <w:r w:rsidRPr="008D54A5">
              <w:t>roup 7.</w:t>
            </w:r>
          </w:p>
        </w:tc>
        <w:tc>
          <w:tcPr>
            <w:tcW w:w="1288" w:type="pct"/>
            <w:hideMark/>
          </w:tcPr>
          <w:p w14:paraId="607B5219" w14:textId="356D21EF" w:rsidR="00415D81" w:rsidRPr="008D54A5" w:rsidRDefault="00415D81" w:rsidP="00E47419">
            <w:pPr>
              <w:pStyle w:val="TableText-10"/>
            </w:pPr>
            <w:r w:rsidRPr="008D54A5">
              <w:t>HS</w:t>
            </w:r>
          </w:p>
        </w:tc>
        <w:tc>
          <w:tcPr>
            <w:tcW w:w="667" w:type="pct"/>
            <w:hideMark/>
          </w:tcPr>
          <w:p w14:paraId="7609774C" w14:textId="504B11B2" w:rsidR="00415D81" w:rsidRPr="008D54A5" w:rsidRDefault="00415D81" w:rsidP="00E47419">
            <w:pPr>
              <w:pStyle w:val="TableText-10"/>
            </w:pPr>
            <w:r w:rsidRPr="008D54A5">
              <w:t>Master event (HS)</w:t>
            </w:r>
          </w:p>
        </w:tc>
      </w:tr>
      <w:tr w:rsidR="00415D81" w:rsidRPr="008D54A5" w14:paraId="103C5D13" w14:textId="77777777" w:rsidTr="00B4238F">
        <w:trPr>
          <w:trHeight w:val="20"/>
        </w:trPr>
        <w:tc>
          <w:tcPr>
            <w:tcW w:w="389" w:type="pct"/>
            <w:hideMark/>
          </w:tcPr>
          <w:p w14:paraId="1343811B" w14:textId="77777777" w:rsidR="00415D81" w:rsidRPr="008D54A5" w:rsidRDefault="00415D81" w:rsidP="00E47419">
            <w:pPr>
              <w:pStyle w:val="TableText-center-10"/>
            </w:pPr>
            <w:r w:rsidRPr="008D54A5">
              <w:t>7</w:t>
            </w:r>
          </w:p>
        </w:tc>
        <w:tc>
          <w:tcPr>
            <w:tcW w:w="978" w:type="pct"/>
            <w:hideMark/>
          </w:tcPr>
          <w:p w14:paraId="1FBCAD85" w14:textId="7C672753" w:rsidR="00415D81" w:rsidRPr="008D54A5" w:rsidRDefault="00415D81" w:rsidP="00E47419">
            <w:pPr>
              <w:pStyle w:val="TableText-10"/>
            </w:pPr>
            <w:r w:rsidRPr="008D54A5">
              <w:t>Hospital OP and Hospital inpatient</w:t>
            </w:r>
          </w:p>
        </w:tc>
        <w:tc>
          <w:tcPr>
            <w:tcW w:w="1678" w:type="pct"/>
            <w:hideMark/>
          </w:tcPr>
          <w:p w14:paraId="24599073" w14:textId="1C5C9510" w:rsidR="00415D81" w:rsidRPr="008D54A5" w:rsidRDefault="00415D81" w:rsidP="00E47419">
            <w:pPr>
              <w:pStyle w:val="TableText-10"/>
            </w:pPr>
            <w:r w:rsidRPr="008D54A5">
              <w:t>Hospital OP events that occur on the first day of an inpatient stay or the day before an inpatient stay</w:t>
            </w:r>
          </w:p>
        </w:tc>
        <w:tc>
          <w:tcPr>
            <w:tcW w:w="1288" w:type="pct"/>
            <w:hideMark/>
          </w:tcPr>
          <w:p w14:paraId="1B074A0C" w14:textId="26CF4EAC" w:rsidR="00415D81" w:rsidRPr="008D54A5" w:rsidRDefault="00415D81" w:rsidP="00E47419">
            <w:pPr>
              <w:pStyle w:val="TableText-10"/>
            </w:pPr>
            <w:r w:rsidRPr="008D54A5">
              <w:t>HS</w:t>
            </w:r>
          </w:p>
        </w:tc>
        <w:tc>
          <w:tcPr>
            <w:tcW w:w="667" w:type="pct"/>
            <w:hideMark/>
          </w:tcPr>
          <w:p w14:paraId="01B05FAB" w14:textId="191E5F5A" w:rsidR="00415D81" w:rsidRPr="008D54A5" w:rsidRDefault="00415D81" w:rsidP="00E47419">
            <w:pPr>
              <w:pStyle w:val="TableText-10"/>
            </w:pPr>
            <w:r w:rsidRPr="008D54A5">
              <w:t>All events (HS and OP)</w:t>
            </w:r>
          </w:p>
        </w:tc>
      </w:tr>
    </w:tbl>
    <w:p w14:paraId="2DD803D2" w14:textId="77777777" w:rsidR="006B30EC" w:rsidRPr="008D54A5" w:rsidRDefault="006B30EC" w:rsidP="006B30EC">
      <w:pPr>
        <w:pStyle w:val="tablecont"/>
      </w:pPr>
      <w:r w:rsidRPr="008D54A5">
        <w:t>(continued)</w:t>
      </w:r>
    </w:p>
    <w:p w14:paraId="53176BD3" w14:textId="77777777" w:rsidR="006B30EC" w:rsidRPr="008D54A5" w:rsidRDefault="006B30EC" w:rsidP="006B30EC"/>
    <w:p w14:paraId="44906401" w14:textId="2684192F" w:rsidR="006B30EC" w:rsidRPr="008D54A5" w:rsidRDefault="006B30EC" w:rsidP="00FD4A4F">
      <w:pPr>
        <w:pStyle w:val="ExhibitTitlecontinued"/>
      </w:pPr>
      <w:r w:rsidRPr="00404E1F">
        <w:lastRenderedPageBreak/>
        <w:t>Exhibit </w:t>
      </w:r>
      <w:r w:rsidRPr="008D54A5">
        <w:t>6.1</w:t>
      </w:r>
      <w:r w:rsidRPr="008D54A5">
        <w:tab/>
        <w:t xml:space="preserve">Summary of the Rollup Groups Created for the </w:t>
      </w:r>
      <w:r w:rsidR="00D6031C" w:rsidRPr="008D54A5">
        <w:t>202</w:t>
      </w:r>
      <w:r w:rsidR="007726FF" w:rsidRPr="008D54A5">
        <w:t>2</w:t>
      </w:r>
      <w:r w:rsidR="00D6031C" w:rsidRPr="008D54A5">
        <w:t xml:space="preserve"> </w:t>
      </w:r>
      <w:r w:rsidRPr="008D54A5">
        <w:t>MEPS Matching (continued)</w:t>
      </w:r>
    </w:p>
    <w:tbl>
      <w:tblPr>
        <w:tblStyle w:val="TableGrid"/>
        <w:tblW w:w="4448" w:type="pct"/>
        <w:tblLook w:val="04A0" w:firstRow="1" w:lastRow="0" w:firstColumn="1" w:lastColumn="0" w:noHBand="0" w:noVBand="1"/>
      </w:tblPr>
      <w:tblGrid>
        <w:gridCol w:w="896"/>
        <w:gridCol w:w="2253"/>
        <w:gridCol w:w="3866"/>
        <w:gridCol w:w="2968"/>
        <w:gridCol w:w="1537"/>
      </w:tblGrid>
      <w:tr w:rsidR="00415D81" w:rsidRPr="008D54A5" w14:paraId="6903EAC5" w14:textId="77777777" w:rsidTr="00B4238F">
        <w:trPr>
          <w:cnfStyle w:val="100000000000" w:firstRow="1" w:lastRow="0" w:firstColumn="0" w:lastColumn="0" w:oddVBand="0" w:evenVBand="0" w:oddHBand="0" w:evenHBand="0" w:firstRowFirstColumn="0" w:firstRowLastColumn="0" w:lastRowFirstColumn="0" w:lastRowLastColumn="0"/>
          <w:trHeight w:val="20"/>
          <w:tblHeader/>
        </w:trPr>
        <w:tc>
          <w:tcPr>
            <w:tcW w:w="389" w:type="pct"/>
            <w:hideMark/>
          </w:tcPr>
          <w:p w14:paraId="725958D8" w14:textId="77777777" w:rsidR="00415D81" w:rsidRPr="008D54A5" w:rsidRDefault="00415D81" w:rsidP="00345F85">
            <w:pPr>
              <w:pStyle w:val="TableHeading-10"/>
            </w:pPr>
            <w:r w:rsidRPr="008D54A5">
              <w:t>Rollup Group</w:t>
            </w:r>
          </w:p>
        </w:tc>
        <w:tc>
          <w:tcPr>
            <w:tcW w:w="978" w:type="pct"/>
            <w:hideMark/>
          </w:tcPr>
          <w:p w14:paraId="68B2588B" w14:textId="77777777" w:rsidR="00415D81" w:rsidRPr="008D54A5" w:rsidRDefault="00415D81" w:rsidP="00345F85">
            <w:pPr>
              <w:pStyle w:val="TableHeading-10"/>
            </w:pPr>
            <w:r w:rsidRPr="008D54A5">
              <w:t>Types of Events Included in Rollup Group</w:t>
            </w:r>
          </w:p>
        </w:tc>
        <w:tc>
          <w:tcPr>
            <w:tcW w:w="1678" w:type="pct"/>
            <w:hideMark/>
          </w:tcPr>
          <w:p w14:paraId="1CFBB2ED" w14:textId="77777777" w:rsidR="00415D81" w:rsidRPr="008D54A5" w:rsidRDefault="00415D81" w:rsidP="00345F85">
            <w:pPr>
              <w:pStyle w:val="TableHeading-10"/>
            </w:pPr>
            <w:r w:rsidRPr="008D54A5">
              <w:t>Description of Group</w:t>
            </w:r>
          </w:p>
        </w:tc>
        <w:tc>
          <w:tcPr>
            <w:tcW w:w="1288" w:type="pct"/>
            <w:hideMark/>
          </w:tcPr>
          <w:p w14:paraId="7F0BED2F" w14:textId="5F366AB0" w:rsidR="00415D81" w:rsidRPr="008D54A5" w:rsidRDefault="00415D81" w:rsidP="00345F85">
            <w:pPr>
              <w:pStyle w:val="TableHeading-10"/>
            </w:pPr>
            <w:r w:rsidRPr="008D54A5">
              <w:t>Event in the Rollup That Is Considered the Master Rollup Event</w:t>
            </w:r>
          </w:p>
        </w:tc>
        <w:tc>
          <w:tcPr>
            <w:tcW w:w="667" w:type="pct"/>
            <w:hideMark/>
          </w:tcPr>
          <w:p w14:paraId="07972208" w14:textId="2247BFF9" w:rsidR="00415D81" w:rsidRPr="008D54A5" w:rsidRDefault="00415D81" w:rsidP="00345F85">
            <w:pPr>
              <w:pStyle w:val="TableHeading-10"/>
            </w:pPr>
            <w:r w:rsidRPr="008D54A5">
              <w:t>Events That Are Eligible for Matching</w:t>
            </w:r>
          </w:p>
        </w:tc>
      </w:tr>
      <w:tr w:rsidR="00415D81" w:rsidRPr="008D54A5" w14:paraId="7DFA03F6" w14:textId="77777777" w:rsidTr="00B4238F">
        <w:trPr>
          <w:trHeight w:val="20"/>
        </w:trPr>
        <w:tc>
          <w:tcPr>
            <w:tcW w:w="389" w:type="pct"/>
            <w:hideMark/>
          </w:tcPr>
          <w:p w14:paraId="76CB55E6" w14:textId="77777777" w:rsidR="00415D81" w:rsidRPr="008D54A5" w:rsidRDefault="00415D81" w:rsidP="00E47419">
            <w:pPr>
              <w:pStyle w:val="TableText-center-10"/>
            </w:pPr>
            <w:r w:rsidRPr="008D54A5">
              <w:t>8</w:t>
            </w:r>
          </w:p>
        </w:tc>
        <w:tc>
          <w:tcPr>
            <w:tcW w:w="978" w:type="pct"/>
            <w:hideMark/>
          </w:tcPr>
          <w:p w14:paraId="71AB5B01" w14:textId="52D24550" w:rsidR="00415D81" w:rsidRPr="008D54A5" w:rsidRDefault="00415D81" w:rsidP="00E47419">
            <w:pPr>
              <w:pStyle w:val="TableText-10"/>
            </w:pPr>
            <w:r w:rsidRPr="008D54A5">
              <w:t>Hospital ER and Hospital OP</w:t>
            </w:r>
          </w:p>
        </w:tc>
        <w:tc>
          <w:tcPr>
            <w:tcW w:w="1678" w:type="pct"/>
            <w:hideMark/>
          </w:tcPr>
          <w:p w14:paraId="55CF1858" w14:textId="67B9EA86" w:rsidR="00415D81" w:rsidRPr="008D54A5" w:rsidRDefault="00415D81" w:rsidP="00E47419">
            <w:pPr>
              <w:pStyle w:val="TableText-10"/>
            </w:pPr>
            <w:r w:rsidRPr="008D54A5">
              <w:t>Hospital ER events that occur on the same day as one or more OP events</w:t>
            </w:r>
          </w:p>
        </w:tc>
        <w:tc>
          <w:tcPr>
            <w:tcW w:w="1288" w:type="pct"/>
            <w:hideMark/>
          </w:tcPr>
          <w:p w14:paraId="04E5BFDD" w14:textId="6266F610" w:rsidR="00415D81" w:rsidRPr="008D54A5" w:rsidRDefault="00415D81" w:rsidP="00D6031C">
            <w:pPr>
              <w:pStyle w:val="table-bulletLM"/>
              <w:rPr>
                <w:sz w:val="20"/>
              </w:rPr>
            </w:pPr>
            <w:r w:rsidRPr="008D54A5">
              <w:rPr>
                <w:sz w:val="20"/>
              </w:rPr>
              <w:t>ER event (if all events in the rollup are capitated or all events are FFS), or</w:t>
            </w:r>
          </w:p>
          <w:p w14:paraId="7CFE373B" w14:textId="2AA1DE53" w:rsidR="00415D81" w:rsidRPr="008D54A5" w:rsidRDefault="00415D81" w:rsidP="00D6031C">
            <w:pPr>
              <w:pStyle w:val="table-bulletLM"/>
              <w:rPr>
                <w:sz w:val="20"/>
              </w:rPr>
            </w:pPr>
            <w:r w:rsidRPr="008D54A5">
              <w:rPr>
                <w:sz w:val="20"/>
              </w:rPr>
              <w:t>Capitated ER event (if there are both capitated and FFS events in the rollup), or</w:t>
            </w:r>
          </w:p>
          <w:p w14:paraId="3F99CA3F" w14:textId="027A5880" w:rsidR="00415D81" w:rsidRPr="008D54A5" w:rsidRDefault="00415D81" w:rsidP="00D6031C">
            <w:pPr>
              <w:pStyle w:val="table-bulletLM"/>
              <w:rPr>
                <w:sz w:val="20"/>
              </w:rPr>
            </w:pPr>
            <w:r w:rsidRPr="008D54A5">
              <w:rPr>
                <w:sz w:val="20"/>
              </w:rPr>
              <w:t>One of the capitated events (if there are both capitated and FFS events in the rollup).</w:t>
            </w:r>
          </w:p>
        </w:tc>
        <w:tc>
          <w:tcPr>
            <w:tcW w:w="667" w:type="pct"/>
            <w:hideMark/>
          </w:tcPr>
          <w:p w14:paraId="09F09773" w14:textId="77777777" w:rsidR="00415D81" w:rsidRPr="008D54A5" w:rsidRDefault="00415D81" w:rsidP="00E47419">
            <w:pPr>
              <w:pStyle w:val="TableText-10"/>
            </w:pPr>
            <w:r w:rsidRPr="008D54A5">
              <w:t>All events</w:t>
            </w:r>
          </w:p>
        </w:tc>
      </w:tr>
      <w:tr w:rsidR="00415D81" w:rsidRPr="008D54A5" w14:paraId="52F41EE9" w14:textId="77777777" w:rsidTr="00B4238F">
        <w:trPr>
          <w:trHeight w:val="20"/>
        </w:trPr>
        <w:tc>
          <w:tcPr>
            <w:tcW w:w="389" w:type="pct"/>
            <w:vMerge w:val="restart"/>
            <w:hideMark/>
          </w:tcPr>
          <w:p w14:paraId="7B76F1B8" w14:textId="77777777" w:rsidR="00415D81" w:rsidRPr="008D54A5" w:rsidRDefault="00415D81" w:rsidP="00E47419">
            <w:pPr>
              <w:pStyle w:val="TableText-center-10"/>
            </w:pPr>
            <w:r w:rsidRPr="008D54A5">
              <w:t>9</w:t>
            </w:r>
          </w:p>
        </w:tc>
        <w:tc>
          <w:tcPr>
            <w:tcW w:w="978" w:type="pct"/>
            <w:hideMark/>
          </w:tcPr>
          <w:p w14:paraId="1D241BB4" w14:textId="77777777" w:rsidR="00415D81" w:rsidRPr="008D54A5" w:rsidRDefault="00415D81" w:rsidP="00E47419">
            <w:pPr>
              <w:pStyle w:val="TableText-10"/>
            </w:pPr>
            <w:r w:rsidRPr="008D54A5">
              <w:t>ER events, or</w:t>
            </w:r>
          </w:p>
        </w:tc>
        <w:tc>
          <w:tcPr>
            <w:tcW w:w="1678" w:type="pct"/>
            <w:hideMark/>
          </w:tcPr>
          <w:p w14:paraId="0D47859C" w14:textId="77777777" w:rsidR="00415D81" w:rsidRPr="008D54A5" w:rsidRDefault="00415D81" w:rsidP="00E47419">
            <w:pPr>
              <w:pStyle w:val="TableText-10"/>
            </w:pPr>
            <w:r w:rsidRPr="008D54A5">
              <w:t>ER events for the same person on the same day with the same provider, or</w:t>
            </w:r>
          </w:p>
        </w:tc>
        <w:tc>
          <w:tcPr>
            <w:tcW w:w="1288" w:type="pct"/>
            <w:vMerge w:val="restart"/>
            <w:hideMark/>
          </w:tcPr>
          <w:p w14:paraId="0BDD7483" w14:textId="77777777" w:rsidR="00415D81" w:rsidRPr="008D54A5" w:rsidRDefault="00415D81" w:rsidP="00E47419">
            <w:pPr>
              <w:pStyle w:val="TableText-10"/>
            </w:pPr>
            <w:r w:rsidRPr="008D54A5">
              <w:t>Capitated event</w:t>
            </w:r>
          </w:p>
        </w:tc>
        <w:tc>
          <w:tcPr>
            <w:tcW w:w="667" w:type="pct"/>
            <w:vMerge w:val="restart"/>
            <w:hideMark/>
          </w:tcPr>
          <w:p w14:paraId="49CB79F7" w14:textId="77777777" w:rsidR="00415D81" w:rsidRPr="008D54A5" w:rsidRDefault="00415D81" w:rsidP="00E47419">
            <w:pPr>
              <w:pStyle w:val="TableText-10"/>
            </w:pPr>
            <w:r w:rsidRPr="008D54A5">
              <w:t>Master event</w:t>
            </w:r>
          </w:p>
        </w:tc>
      </w:tr>
      <w:tr w:rsidR="00415D81" w:rsidRPr="008D54A5" w14:paraId="04C3F70E" w14:textId="77777777" w:rsidTr="00B4238F">
        <w:trPr>
          <w:trHeight w:val="20"/>
        </w:trPr>
        <w:tc>
          <w:tcPr>
            <w:tcW w:w="389" w:type="pct"/>
            <w:vMerge/>
            <w:hideMark/>
          </w:tcPr>
          <w:p w14:paraId="7A52A35D" w14:textId="77777777" w:rsidR="00415D81" w:rsidRPr="008D54A5" w:rsidRDefault="00415D81" w:rsidP="00E47419">
            <w:pPr>
              <w:pStyle w:val="TableText-center-10"/>
            </w:pPr>
          </w:p>
        </w:tc>
        <w:tc>
          <w:tcPr>
            <w:tcW w:w="978" w:type="pct"/>
            <w:hideMark/>
          </w:tcPr>
          <w:p w14:paraId="4F521501" w14:textId="77777777" w:rsidR="00415D81" w:rsidRPr="008D54A5" w:rsidRDefault="00415D81" w:rsidP="00E47419">
            <w:pPr>
              <w:pStyle w:val="TableText-10"/>
            </w:pPr>
            <w:r w:rsidRPr="008D54A5">
              <w:t>MV events, or</w:t>
            </w:r>
          </w:p>
        </w:tc>
        <w:tc>
          <w:tcPr>
            <w:tcW w:w="1678" w:type="pct"/>
            <w:hideMark/>
          </w:tcPr>
          <w:p w14:paraId="1AFCA8B3" w14:textId="78C25F30" w:rsidR="00415D81" w:rsidRPr="008D54A5" w:rsidRDefault="00415D81" w:rsidP="00E47419">
            <w:pPr>
              <w:pStyle w:val="TableText-10"/>
            </w:pPr>
            <w:r w:rsidRPr="008D54A5">
              <w:t>MV events for the same person on the same day with the same provider, or</w:t>
            </w:r>
          </w:p>
        </w:tc>
        <w:tc>
          <w:tcPr>
            <w:tcW w:w="1288" w:type="pct"/>
            <w:vMerge/>
            <w:hideMark/>
          </w:tcPr>
          <w:p w14:paraId="69E08CA1" w14:textId="77777777" w:rsidR="00415D81" w:rsidRPr="008D54A5" w:rsidRDefault="00415D81" w:rsidP="00E47419">
            <w:pPr>
              <w:pStyle w:val="TableText-10"/>
            </w:pPr>
          </w:p>
        </w:tc>
        <w:tc>
          <w:tcPr>
            <w:tcW w:w="667" w:type="pct"/>
            <w:vMerge/>
            <w:hideMark/>
          </w:tcPr>
          <w:p w14:paraId="667FDFC4" w14:textId="77777777" w:rsidR="00415D81" w:rsidRPr="008D54A5" w:rsidRDefault="00415D81" w:rsidP="00E47419">
            <w:pPr>
              <w:pStyle w:val="TableText-10"/>
            </w:pPr>
          </w:p>
        </w:tc>
      </w:tr>
      <w:tr w:rsidR="00415D81" w:rsidRPr="008D54A5" w14:paraId="7E04EF90" w14:textId="77777777" w:rsidTr="00B4238F">
        <w:trPr>
          <w:trHeight w:val="20"/>
        </w:trPr>
        <w:tc>
          <w:tcPr>
            <w:tcW w:w="389" w:type="pct"/>
            <w:vMerge/>
            <w:hideMark/>
          </w:tcPr>
          <w:p w14:paraId="6CE984C9" w14:textId="77777777" w:rsidR="00415D81" w:rsidRPr="008D54A5" w:rsidRDefault="00415D81" w:rsidP="00E47419">
            <w:pPr>
              <w:pStyle w:val="TableText-center-10"/>
            </w:pPr>
          </w:p>
        </w:tc>
        <w:tc>
          <w:tcPr>
            <w:tcW w:w="978" w:type="pct"/>
            <w:hideMark/>
          </w:tcPr>
          <w:p w14:paraId="559815C5" w14:textId="77777777" w:rsidR="00415D81" w:rsidRPr="008D54A5" w:rsidRDefault="00415D81" w:rsidP="00E47419">
            <w:pPr>
              <w:pStyle w:val="TableText-10"/>
            </w:pPr>
            <w:r w:rsidRPr="008D54A5">
              <w:t>OP events</w:t>
            </w:r>
          </w:p>
          <w:p w14:paraId="4687FF0F" w14:textId="77777777" w:rsidR="00415D81" w:rsidRPr="008D54A5" w:rsidRDefault="00415D81" w:rsidP="00E47419">
            <w:pPr>
              <w:pStyle w:val="TableText-10"/>
            </w:pPr>
            <w:r w:rsidRPr="008D54A5">
              <w:t> </w:t>
            </w:r>
          </w:p>
        </w:tc>
        <w:tc>
          <w:tcPr>
            <w:tcW w:w="1678" w:type="pct"/>
            <w:hideMark/>
          </w:tcPr>
          <w:p w14:paraId="6A50A9C7" w14:textId="77777777" w:rsidR="00415D81" w:rsidRPr="008D54A5" w:rsidRDefault="00415D81" w:rsidP="00D6031C">
            <w:pPr>
              <w:pStyle w:val="table-bulletLM"/>
              <w:keepNext/>
              <w:keepLines/>
              <w:rPr>
                <w:sz w:val="20"/>
              </w:rPr>
            </w:pPr>
            <w:r w:rsidRPr="008D54A5">
              <w:rPr>
                <w:sz w:val="20"/>
              </w:rPr>
              <w:t>OP events for the same person on the same day with the same provider.</w:t>
            </w:r>
          </w:p>
          <w:p w14:paraId="338E3480" w14:textId="17A798A2" w:rsidR="00415D81" w:rsidRPr="008D54A5" w:rsidRDefault="00415D81" w:rsidP="00D6031C">
            <w:pPr>
              <w:pStyle w:val="table-bulletLM"/>
              <w:keepNext/>
              <w:keepLines/>
              <w:rPr>
                <w:sz w:val="20"/>
              </w:rPr>
            </w:pPr>
            <w:r w:rsidRPr="008D54A5">
              <w:rPr>
                <w:sz w:val="20"/>
              </w:rPr>
              <w:t>Events of different provider types are not rolled as a part of this rollup group.</w:t>
            </w:r>
          </w:p>
        </w:tc>
        <w:tc>
          <w:tcPr>
            <w:tcW w:w="1288" w:type="pct"/>
            <w:vMerge/>
            <w:hideMark/>
          </w:tcPr>
          <w:p w14:paraId="7180D9FB" w14:textId="77777777" w:rsidR="00415D81" w:rsidRPr="008D54A5" w:rsidRDefault="00415D81" w:rsidP="00E47419">
            <w:pPr>
              <w:pStyle w:val="TableText-10"/>
            </w:pPr>
          </w:p>
        </w:tc>
        <w:tc>
          <w:tcPr>
            <w:tcW w:w="667" w:type="pct"/>
            <w:vMerge/>
            <w:hideMark/>
          </w:tcPr>
          <w:p w14:paraId="773756F6" w14:textId="77777777" w:rsidR="00415D81" w:rsidRPr="008D54A5" w:rsidRDefault="00415D81" w:rsidP="00E47419">
            <w:pPr>
              <w:pStyle w:val="TableText-10"/>
            </w:pPr>
          </w:p>
        </w:tc>
      </w:tr>
    </w:tbl>
    <w:p w14:paraId="4E96E7E9" w14:textId="77777777" w:rsidR="00245172" w:rsidRPr="008D54A5" w:rsidRDefault="00245172" w:rsidP="00245172">
      <w:pPr>
        <w:pStyle w:val="tablecont"/>
      </w:pPr>
      <w:r w:rsidRPr="008D54A5">
        <w:t>(continued)</w:t>
      </w:r>
    </w:p>
    <w:p w14:paraId="0E4BBF12" w14:textId="77777777" w:rsidR="00245172" w:rsidRPr="008D54A5" w:rsidRDefault="00245172" w:rsidP="00245172"/>
    <w:p w14:paraId="0AEDDED3" w14:textId="5B2DE770" w:rsidR="00245172" w:rsidRPr="008D54A5" w:rsidRDefault="00245172" w:rsidP="00245172">
      <w:pPr>
        <w:pStyle w:val="ExhibitTitlecontinued"/>
      </w:pPr>
      <w:r w:rsidRPr="00404E1F">
        <w:lastRenderedPageBreak/>
        <w:t>Exhibit </w:t>
      </w:r>
      <w:r w:rsidRPr="008D54A5">
        <w:t>6.1</w:t>
      </w:r>
      <w:r w:rsidRPr="008D54A5">
        <w:tab/>
        <w:t>Summary of the Rollup Groups Created for the 2022 MEPS Matching (continued)</w:t>
      </w:r>
    </w:p>
    <w:tbl>
      <w:tblPr>
        <w:tblStyle w:val="TableGrid"/>
        <w:tblW w:w="4448" w:type="pct"/>
        <w:tblLook w:val="04A0" w:firstRow="1" w:lastRow="0" w:firstColumn="1" w:lastColumn="0" w:noHBand="0" w:noVBand="1"/>
      </w:tblPr>
      <w:tblGrid>
        <w:gridCol w:w="896"/>
        <w:gridCol w:w="2253"/>
        <w:gridCol w:w="3866"/>
        <w:gridCol w:w="2968"/>
        <w:gridCol w:w="1537"/>
      </w:tblGrid>
      <w:tr w:rsidR="00415D81" w:rsidRPr="008D54A5" w14:paraId="75D84B23" w14:textId="77777777" w:rsidTr="00B4238F">
        <w:trPr>
          <w:cnfStyle w:val="100000000000" w:firstRow="1" w:lastRow="0" w:firstColumn="0" w:lastColumn="0" w:oddVBand="0" w:evenVBand="0" w:oddHBand="0" w:evenHBand="0" w:firstRowFirstColumn="0" w:firstRowLastColumn="0" w:lastRowFirstColumn="0" w:lastRowLastColumn="0"/>
          <w:trHeight w:val="20"/>
          <w:tblHeader/>
        </w:trPr>
        <w:tc>
          <w:tcPr>
            <w:tcW w:w="389" w:type="pct"/>
            <w:hideMark/>
          </w:tcPr>
          <w:p w14:paraId="6289EA7D" w14:textId="77777777" w:rsidR="00415D81" w:rsidRPr="008D54A5" w:rsidRDefault="00415D81" w:rsidP="00B26FC1">
            <w:pPr>
              <w:pStyle w:val="TableHeading-10"/>
            </w:pPr>
            <w:r w:rsidRPr="008D54A5">
              <w:t>Rollup Group</w:t>
            </w:r>
          </w:p>
        </w:tc>
        <w:tc>
          <w:tcPr>
            <w:tcW w:w="978" w:type="pct"/>
            <w:hideMark/>
          </w:tcPr>
          <w:p w14:paraId="5FF5B332" w14:textId="77777777" w:rsidR="00415D81" w:rsidRPr="008D54A5" w:rsidRDefault="00415D81" w:rsidP="00B26FC1">
            <w:pPr>
              <w:pStyle w:val="TableHeading-10"/>
            </w:pPr>
            <w:r w:rsidRPr="008D54A5">
              <w:t>Types of Events Included in Rollup Group</w:t>
            </w:r>
          </w:p>
        </w:tc>
        <w:tc>
          <w:tcPr>
            <w:tcW w:w="1678" w:type="pct"/>
            <w:hideMark/>
          </w:tcPr>
          <w:p w14:paraId="6FE873AE" w14:textId="77777777" w:rsidR="00415D81" w:rsidRPr="008D54A5" w:rsidRDefault="00415D81" w:rsidP="00B26FC1">
            <w:pPr>
              <w:pStyle w:val="TableHeading-10"/>
            </w:pPr>
            <w:r w:rsidRPr="008D54A5">
              <w:t>Description of Group</w:t>
            </w:r>
          </w:p>
        </w:tc>
        <w:tc>
          <w:tcPr>
            <w:tcW w:w="1288" w:type="pct"/>
            <w:hideMark/>
          </w:tcPr>
          <w:p w14:paraId="43AAD757" w14:textId="77777777" w:rsidR="00415D81" w:rsidRPr="008D54A5" w:rsidRDefault="00415D81" w:rsidP="00B26FC1">
            <w:pPr>
              <w:pStyle w:val="TableHeading-10"/>
            </w:pPr>
            <w:r w:rsidRPr="008D54A5">
              <w:t>Event in the Rollup That Is Considered the Master Rollup Event</w:t>
            </w:r>
          </w:p>
        </w:tc>
        <w:tc>
          <w:tcPr>
            <w:tcW w:w="667" w:type="pct"/>
            <w:hideMark/>
          </w:tcPr>
          <w:p w14:paraId="0C140BA3" w14:textId="77777777" w:rsidR="00415D81" w:rsidRPr="008D54A5" w:rsidRDefault="00415D81" w:rsidP="00B26FC1">
            <w:pPr>
              <w:pStyle w:val="TableHeading-10"/>
            </w:pPr>
            <w:r w:rsidRPr="008D54A5">
              <w:t>Events That Are Eligible for Matching</w:t>
            </w:r>
          </w:p>
        </w:tc>
      </w:tr>
      <w:tr w:rsidR="00415D81" w:rsidRPr="008D54A5" w14:paraId="3D288F7E" w14:textId="77777777" w:rsidTr="00B4238F">
        <w:trPr>
          <w:trHeight w:val="20"/>
        </w:trPr>
        <w:tc>
          <w:tcPr>
            <w:tcW w:w="389" w:type="pct"/>
            <w:noWrap/>
            <w:hideMark/>
          </w:tcPr>
          <w:p w14:paraId="1E676F16" w14:textId="77777777" w:rsidR="00415D81" w:rsidRPr="008D54A5" w:rsidRDefault="00415D81" w:rsidP="00E47419">
            <w:pPr>
              <w:pStyle w:val="TableText-center-10"/>
            </w:pPr>
            <w:r w:rsidRPr="008D54A5">
              <w:t>10</w:t>
            </w:r>
          </w:p>
        </w:tc>
        <w:tc>
          <w:tcPr>
            <w:tcW w:w="978" w:type="pct"/>
            <w:hideMark/>
          </w:tcPr>
          <w:p w14:paraId="011D5791" w14:textId="4329AD7D" w:rsidR="00415D81" w:rsidRPr="008D54A5" w:rsidRDefault="00415D81" w:rsidP="00E47419">
            <w:pPr>
              <w:pStyle w:val="TableText-10"/>
            </w:pPr>
            <w:r w:rsidRPr="008D54A5">
              <w:t>HS events</w:t>
            </w:r>
          </w:p>
        </w:tc>
        <w:tc>
          <w:tcPr>
            <w:tcW w:w="1678" w:type="pct"/>
            <w:hideMark/>
          </w:tcPr>
          <w:p w14:paraId="5DB50E78" w14:textId="77777777" w:rsidR="00415D81" w:rsidRPr="008D54A5" w:rsidRDefault="00415D81" w:rsidP="00D6031C">
            <w:pPr>
              <w:pStyle w:val="table-bulletLM"/>
              <w:rPr>
                <w:sz w:val="20"/>
              </w:rPr>
            </w:pPr>
            <w:r w:rsidRPr="008D54A5">
              <w:rPr>
                <w:sz w:val="20"/>
              </w:rPr>
              <w:t>Unmatched MPC inpatient events are rolled with matched MPC inpatient events when the beginning or ending date of the unmatched inpatient event is within 60 days of the ending or beginning date of a matched HC inpatient stay or the unmatched MPC inpatient stay overlaps the dates of a matched HC inpatient stay.</w:t>
            </w:r>
          </w:p>
          <w:p w14:paraId="20105B47" w14:textId="2E49E86F" w:rsidR="00415D81" w:rsidRPr="008D54A5" w:rsidRDefault="00415D81" w:rsidP="00D6031C">
            <w:pPr>
              <w:pStyle w:val="table-bulletLM"/>
              <w:rPr>
                <w:sz w:val="20"/>
              </w:rPr>
            </w:pPr>
            <w:r w:rsidRPr="008D54A5">
              <w:rPr>
                <w:sz w:val="20"/>
              </w:rPr>
              <w:t xml:space="preserve">Rollup </w:t>
            </w:r>
            <w:r>
              <w:rPr>
                <w:sz w:val="20"/>
              </w:rPr>
              <w:t>G</w:t>
            </w:r>
            <w:r w:rsidRPr="008D54A5">
              <w:rPr>
                <w:sz w:val="20"/>
              </w:rPr>
              <w:t>roup 10 was new for the 2014 MPC.</w:t>
            </w:r>
          </w:p>
          <w:p w14:paraId="05F905AA" w14:textId="6FD97185" w:rsidR="00415D81" w:rsidRPr="008D54A5" w:rsidRDefault="00415D81" w:rsidP="00D6031C">
            <w:pPr>
              <w:pStyle w:val="table-bulletLM"/>
              <w:rPr>
                <w:sz w:val="20"/>
              </w:rPr>
            </w:pPr>
            <w:r w:rsidRPr="008D54A5">
              <w:rPr>
                <w:sz w:val="20"/>
              </w:rPr>
              <w:t>MPC inpatient events that match an HC OP event were disallowed from rolling with unmatched MPC inpatient events beginning with the 2022 cycle.</w:t>
            </w:r>
          </w:p>
        </w:tc>
        <w:tc>
          <w:tcPr>
            <w:tcW w:w="1288" w:type="pct"/>
            <w:hideMark/>
          </w:tcPr>
          <w:p w14:paraId="3D5AF132" w14:textId="77777777" w:rsidR="00415D81" w:rsidRPr="008D54A5" w:rsidRDefault="00415D81" w:rsidP="00E47419">
            <w:pPr>
              <w:pStyle w:val="TableText-10"/>
            </w:pPr>
            <w:r w:rsidRPr="008D54A5">
              <w:t>Matched MPC inpatient stay</w:t>
            </w:r>
          </w:p>
        </w:tc>
        <w:tc>
          <w:tcPr>
            <w:tcW w:w="667" w:type="pct"/>
            <w:hideMark/>
          </w:tcPr>
          <w:p w14:paraId="64E3EBF8" w14:textId="77777777" w:rsidR="00415D81" w:rsidRPr="008D54A5" w:rsidRDefault="00415D81" w:rsidP="00E47419">
            <w:pPr>
              <w:pStyle w:val="TableText-10"/>
            </w:pPr>
            <w:r w:rsidRPr="008D54A5">
              <w:t>NA</w:t>
            </w:r>
          </w:p>
        </w:tc>
      </w:tr>
    </w:tbl>
    <w:p w14:paraId="4A5FC7BB" w14:textId="16C26F97" w:rsidR="002D4D78" w:rsidRPr="008D54A5" w:rsidRDefault="00AA33DE" w:rsidP="002D4D78">
      <w:pPr>
        <w:pStyle w:val="Source-9-1"/>
      </w:pPr>
      <w:r w:rsidRPr="008D54A5">
        <w:t xml:space="preserve">ER = </w:t>
      </w:r>
      <w:r w:rsidR="00FA4EBE" w:rsidRPr="008D54A5">
        <w:t>e</w:t>
      </w:r>
      <w:r w:rsidRPr="008D54A5">
        <w:t xml:space="preserve">mergency room; FFS = </w:t>
      </w:r>
      <w:r w:rsidR="00FA4EBE" w:rsidRPr="008D54A5">
        <w:t>f</w:t>
      </w:r>
      <w:r w:rsidRPr="008D54A5">
        <w:t>ee for service;</w:t>
      </w:r>
      <w:r w:rsidR="007F533B" w:rsidRPr="008D54A5">
        <w:t xml:space="preserve"> HC = Household Component; HS = hospital stay;</w:t>
      </w:r>
      <w:r w:rsidRPr="008D54A5">
        <w:t xml:space="preserve"> MPC = </w:t>
      </w:r>
      <w:r w:rsidR="009B294F" w:rsidRPr="008D54A5">
        <w:t>Medical Provider Component</w:t>
      </w:r>
      <w:r w:rsidRPr="008D54A5">
        <w:t xml:space="preserve">; MV = </w:t>
      </w:r>
      <w:r w:rsidR="00FA4EBE" w:rsidRPr="008D54A5">
        <w:t>m</w:t>
      </w:r>
      <w:r w:rsidRPr="008D54A5">
        <w:t xml:space="preserve">edical visit; OP = </w:t>
      </w:r>
      <w:r w:rsidR="00FA4EBE" w:rsidRPr="008D54A5">
        <w:t>o</w:t>
      </w:r>
      <w:r w:rsidRPr="008D54A5">
        <w:t>utpatient</w:t>
      </w:r>
      <w:r w:rsidR="002D4D78" w:rsidRPr="008D54A5">
        <w:t>.</w:t>
      </w:r>
    </w:p>
    <w:p w14:paraId="0AB49F2F" w14:textId="0F8B9932" w:rsidR="002C4CEC" w:rsidRPr="008D54A5" w:rsidRDefault="002C4CEC" w:rsidP="002D4D78">
      <w:pPr>
        <w:pStyle w:val="Source-9-1"/>
      </w:pPr>
      <w:r w:rsidRPr="008D54A5">
        <w:rPr>
          <w:vertAlign w:val="superscript"/>
        </w:rPr>
        <w:t>1</w:t>
      </w:r>
      <w:r w:rsidRPr="008D54A5">
        <w:t xml:space="preserve"> </w:t>
      </w:r>
      <w:r w:rsidR="00E53000" w:rsidRPr="008D54A5">
        <w:t>Starting in 202</w:t>
      </w:r>
      <w:r w:rsidR="00D6031C" w:rsidRPr="008D54A5">
        <w:t>0</w:t>
      </w:r>
      <w:r w:rsidR="00E53000" w:rsidRPr="008D54A5">
        <w:t>, t</w:t>
      </w:r>
      <w:r w:rsidRPr="008D54A5">
        <w:t xml:space="preserve">he collapsed contact group used for matching (GID2) was used </w:t>
      </w:r>
      <w:r w:rsidR="00FF7E4B" w:rsidRPr="008D54A5">
        <w:t xml:space="preserve">to define </w:t>
      </w:r>
      <w:r w:rsidRPr="008D54A5">
        <w:t>the “provider”</w:t>
      </w:r>
      <w:r w:rsidR="00FF7E4B" w:rsidRPr="008D54A5">
        <w:t xml:space="preserve"> for the rollup types</w:t>
      </w:r>
      <w:r w:rsidRPr="008D54A5">
        <w:t>.</w:t>
      </w:r>
    </w:p>
    <w:p w14:paraId="05446137" w14:textId="5127E2FA" w:rsidR="00D6031C" w:rsidRPr="008D54A5" w:rsidRDefault="002C4CEC" w:rsidP="00950102">
      <w:pPr>
        <w:pStyle w:val="Source-9-1"/>
      </w:pPr>
      <w:r w:rsidRPr="008D54A5">
        <w:rPr>
          <w:vertAlign w:val="superscript"/>
        </w:rPr>
        <w:t>2</w:t>
      </w:r>
      <w:r w:rsidR="00755D18" w:rsidRPr="008D54A5">
        <w:rPr>
          <w:vertAlign w:val="superscript"/>
        </w:rPr>
        <w:t xml:space="preserve"> </w:t>
      </w:r>
      <w:r w:rsidR="00A12CE0" w:rsidRPr="008D54A5">
        <w:t xml:space="preserve">Starting in 2019, </w:t>
      </w:r>
      <w:r w:rsidR="00EC4194" w:rsidRPr="008D54A5">
        <w:t>a</w:t>
      </w:r>
      <w:r w:rsidR="001F29C9" w:rsidRPr="008D54A5">
        <w:t xml:space="preserve">ll events in </w:t>
      </w:r>
      <w:r w:rsidR="00202132">
        <w:t>R</w:t>
      </w:r>
      <w:r w:rsidR="00202132" w:rsidRPr="008D54A5">
        <w:t xml:space="preserve">ollup </w:t>
      </w:r>
      <w:r w:rsidR="00202132">
        <w:t>G</w:t>
      </w:r>
      <w:r w:rsidR="00202132" w:rsidRPr="008D54A5">
        <w:t xml:space="preserve">roups </w:t>
      </w:r>
      <w:r w:rsidR="001F29C9" w:rsidRPr="008D54A5">
        <w:t xml:space="preserve">1 and 2 </w:t>
      </w:r>
      <w:r w:rsidR="00A12CE0" w:rsidRPr="008D54A5">
        <w:t>are</w:t>
      </w:r>
      <w:r w:rsidR="001F29C9" w:rsidRPr="008D54A5">
        <w:t xml:space="preserve"> eligible for the MPC-HC matching</w:t>
      </w:r>
      <w:r w:rsidR="00A12CE0" w:rsidRPr="008D54A5">
        <w:t>; prior to 2019 only the master event was eligible for matching</w:t>
      </w:r>
      <w:r w:rsidR="001F29C9" w:rsidRPr="008D54A5">
        <w:t>.</w:t>
      </w:r>
      <w:r w:rsidR="002B2330" w:rsidRPr="008D54A5">
        <w:t xml:space="preserve"> </w:t>
      </w:r>
    </w:p>
    <w:p w14:paraId="58159F7A" w14:textId="3FB0A1F3" w:rsidR="006B30EC" w:rsidRPr="008D54A5" w:rsidRDefault="006B30EC" w:rsidP="00950102">
      <w:pPr>
        <w:pStyle w:val="Source-9-1"/>
      </w:pPr>
      <w:r w:rsidRPr="008D54A5">
        <w:t xml:space="preserve">Note: The number of events in the </w:t>
      </w:r>
      <w:r w:rsidR="00202132">
        <w:t>r</w:t>
      </w:r>
      <w:r w:rsidR="00202132" w:rsidRPr="008D54A5">
        <w:t xml:space="preserve">ollup </w:t>
      </w:r>
      <w:r w:rsidR="00202132">
        <w:t>g</w:t>
      </w:r>
      <w:r w:rsidR="00202132" w:rsidRPr="008D54A5">
        <w:t xml:space="preserve">roups </w:t>
      </w:r>
      <w:r w:rsidRPr="008D54A5">
        <w:t>are unique (nonreplicated) MPC events</w:t>
      </w:r>
      <w:r w:rsidR="002C4CEC" w:rsidRPr="008D54A5">
        <w:t xml:space="preserve"> (including events provided by the VA)</w:t>
      </w:r>
      <w:r w:rsidRPr="008D54A5">
        <w:t>.</w:t>
      </w:r>
    </w:p>
    <w:p w14:paraId="2C3403B6" w14:textId="7641C72F" w:rsidR="006B30EC" w:rsidRPr="008D54A5" w:rsidRDefault="006B30EC" w:rsidP="007F5DC8">
      <w:pPr>
        <w:pStyle w:val="Source-9-1"/>
      </w:pPr>
      <w:r w:rsidRPr="008D54A5">
        <w:t xml:space="preserve">Source: </w:t>
      </w:r>
      <w:r w:rsidR="00CB3A1F" w:rsidRPr="008D54A5">
        <w:t>20</w:t>
      </w:r>
      <w:r w:rsidR="00E53000" w:rsidRPr="008D54A5">
        <w:t>2</w:t>
      </w:r>
      <w:r w:rsidR="007726FF" w:rsidRPr="008D54A5">
        <w:t>2</w:t>
      </w:r>
      <w:r w:rsidRPr="008D54A5">
        <w:t xml:space="preserve"> Medical Expenditure Panel Survey</w:t>
      </w:r>
      <w:r w:rsidR="00B13B65" w:rsidRPr="008D54A5">
        <w:t xml:space="preserve"> – </w:t>
      </w:r>
      <w:r w:rsidRPr="008D54A5">
        <w:t>Medical Provider Component.</w:t>
      </w:r>
    </w:p>
    <w:p w14:paraId="627F1756" w14:textId="77777777" w:rsidR="006B30EC" w:rsidRPr="008D54A5" w:rsidRDefault="006B30EC" w:rsidP="006B30EC">
      <w:pPr>
        <w:sectPr w:rsidR="006B30EC" w:rsidRPr="008D54A5" w:rsidSect="006B30EC">
          <w:headerReference w:type="default" r:id="rId25"/>
          <w:footerReference w:type="default" r:id="rId26"/>
          <w:pgSz w:w="15840" w:h="12240" w:orient="landscape"/>
          <w:pgMar w:top="1440" w:right="1440" w:bottom="1440" w:left="1440" w:header="576" w:footer="576" w:gutter="0"/>
          <w:cols w:space="720"/>
          <w:docGrid w:linePitch="360"/>
        </w:sectPr>
      </w:pPr>
    </w:p>
    <w:p w14:paraId="7A737458" w14:textId="60DDD104" w:rsidR="0007615A" w:rsidRPr="008D54A5" w:rsidRDefault="0007615A" w:rsidP="00245172">
      <w:pPr>
        <w:pStyle w:val="Heading3"/>
      </w:pPr>
      <w:bookmarkStart w:id="208" w:name="_Toc127287289"/>
      <w:bookmarkStart w:id="209" w:name="_Toc160529615"/>
      <w:bookmarkStart w:id="210" w:name="_Toc189128102"/>
      <w:r w:rsidRPr="008D54A5">
        <w:lastRenderedPageBreak/>
        <w:t>Variables Created for Selected Rollup Groups</w:t>
      </w:r>
      <w:bookmarkEnd w:id="208"/>
      <w:bookmarkEnd w:id="209"/>
      <w:bookmarkEnd w:id="210"/>
    </w:p>
    <w:p w14:paraId="3C63ED16" w14:textId="7B8750A3" w:rsidR="00DF67B5" w:rsidRPr="008D54A5" w:rsidRDefault="0007615A" w:rsidP="00245172">
      <w:pPr>
        <w:pStyle w:val="Heading3"/>
      </w:pPr>
      <w:bookmarkStart w:id="211" w:name="_Toc189128103"/>
      <w:r w:rsidRPr="008D54A5">
        <w:t xml:space="preserve">After the rollup groups are constructed, selected variables are created that identify rollup group linkages for some of the groups. </w:t>
      </w:r>
      <w:bookmarkStart w:id="212" w:name="_Toc127287290"/>
      <w:bookmarkStart w:id="213" w:name="_Toc160529616"/>
      <w:r w:rsidR="00DF67B5" w:rsidRPr="008D54A5">
        <w:rPr>
          <w:rFonts w:cs="Arial"/>
          <w:szCs w:val="24"/>
        </w:rPr>
        <w:t>Compound Rollups</w:t>
      </w:r>
      <w:bookmarkEnd w:id="211"/>
      <w:bookmarkEnd w:id="212"/>
      <w:bookmarkEnd w:id="213"/>
    </w:p>
    <w:p w14:paraId="608B389C" w14:textId="30C56BFF" w:rsidR="00D365D9" w:rsidRPr="008D54A5" w:rsidRDefault="000B75E0" w:rsidP="00D05D15">
      <w:pPr>
        <w:pStyle w:val="BodyText"/>
      </w:pPr>
      <w:r w:rsidRPr="008D54A5">
        <w:t xml:space="preserve">Events can belong to more than one rollup group. </w:t>
      </w:r>
      <w:r w:rsidR="00D365D9" w:rsidRPr="008D54A5">
        <w:t>A compound rollup group is one that is formed by combining multiple rollup groups</w:t>
      </w:r>
      <w:r w:rsidRPr="008D54A5">
        <w:t xml:space="preserve"> with events in common</w:t>
      </w:r>
      <w:r w:rsidR="00D365D9" w:rsidRPr="008D54A5">
        <w:t xml:space="preserve">. </w:t>
      </w:r>
      <w:r w:rsidR="00465FBE" w:rsidRPr="008D54A5">
        <w:t>An event can be a child in multiple rollup groups (i.e., it could have multiple master events)</w:t>
      </w:r>
      <w:r w:rsidR="00D365D9" w:rsidRPr="008D54A5">
        <w:t xml:space="preserve">, or an event can be a master in one rollup group and a child in another rollup group. </w:t>
      </w:r>
    </w:p>
    <w:p w14:paraId="5807ADC9" w14:textId="04E1181C" w:rsidR="00443422" w:rsidRPr="008D54A5" w:rsidRDefault="00DF67B5" w:rsidP="00DC7DA0">
      <w:pPr>
        <w:pStyle w:val="BodyText"/>
      </w:pPr>
      <w:r w:rsidRPr="008D54A5">
        <w:t>If the event is a child in multiple rollup groups</w:t>
      </w:r>
      <w:r w:rsidR="00465FBE" w:rsidRPr="008D54A5">
        <w:t xml:space="preserve"> the </w:t>
      </w:r>
      <w:r w:rsidR="00356CD1" w:rsidRPr="008D54A5">
        <w:t>“</w:t>
      </w:r>
      <w:r w:rsidR="00465FBE" w:rsidRPr="008D54A5">
        <w:t>original</w:t>
      </w:r>
      <w:r w:rsidR="00356CD1" w:rsidRPr="008D54A5">
        <w:t>”</w:t>
      </w:r>
      <w:r w:rsidR="00465FBE" w:rsidRPr="008D54A5">
        <w:t xml:space="preserve"> master </w:t>
      </w:r>
      <w:r w:rsidR="00465FBE" w:rsidRPr="002B08C8">
        <w:t>event</w:t>
      </w:r>
      <w:r w:rsidRPr="002B08C8">
        <w:t>,</w:t>
      </w:r>
      <w:r w:rsidR="00465FBE" w:rsidRPr="002B08C8">
        <w:t xml:space="preserve"> </w:t>
      </w:r>
      <w:r w:rsidR="00465FBE" w:rsidRPr="00B4238F">
        <w:t>MPSIDOLD</w:t>
      </w:r>
      <w:r w:rsidRPr="00B4238F">
        <w:t>,</w:t>
      </w:r>
      <w:r w:rsidR="00465FBE" w:rsidRPr="002B08C8">
        <w:t xml:space="preserve"> </w:t>
      </w:r>
      <w:r w:rsidRPr="002B08C8">
        <w:t>is</w:t>
      </w:r>
      <w:r w:rsidRPr="008D54A5">
        <w:t xml:space="preserve"> </w:t>
      </w:r>
      <w:r w:rsidR="00465FBE" w:rsidRPr="008D54A5">
        <w:t>created and defined to identify the single master event.</w:t>
      </w:r>
      <w:r w:rsidR="00F66AD2" w:rsidRPr="008D54A5">
        <w:t xml:space="preserve"> For child events, MPSIDOLD is set to the MPSID of the original master event. The original master event is the one identified in the </w:t>
      </w:r>
      <w:proofErr w:type="spellStart"/>
      <w:r w:rsidR="00F66AD2" w:rsidRPr="008D54A5">
        <w:t>ROLLUP_MPSIDi</w:t>
      </w:r>
      <w:proofErr w:type="spellEnd"/>
      <w:r w:rsidR="00F66AD2" w:rsidRPr="008D54A5">
        <w:t xml:space="preserve"> variables</w:t>
      </w:r>
      <w:r w:rsidR="0045278C" w:rsidRPr="008D54A5">
        <w:t xml:space="preserve"> (where </w:t>
      </w:r>
      <w:proofErr w:type="spellStart"/>
      <w:r w:rsidR="0045278C" w:rsidRPr="008D54A5">
        <w:t>i</w:t>
      </w:r>
      <w:proofErr w:type="spellEnd"/>
      <w:r w:rsidR="0045278C" w:rsidRPr="008D54A5">
        <w:t xml:space="preserve"> represents each of the rollup groups 1 to 10)</w:t>
      </w:r>
      <w:r w:rsidR="00F66AD2" w:rsidRPr="008D54A5">
        <w:t xml:space="preserve">. For example, the original master event for a child of rollup type 6 is in the variable ROLLUP_MPSID6. When an event is a child in multiple rollup groups, the master </w:t>
      </w:r>
      <w:r w:rsidR="00455022" w:rsidRPr="008D54A5">
        <w:t>is</w:t>
      </w:r>
      <w:r w:rsidR="00F66AD2" w:rsidRPr="008D54A5">
        <w:t xml:space="preserve"> chosen from exactly one of the groups to serve as the original master event. </w:t>
      </w:r>
      <w:r w:rsidR="00356CD1" w:rsidRPr="00404E1F">
        <w:rPr>
          <w:b/>
        </w:rPr>
        <w:t>Exhibit </w:t>
      </w:r>
      <w:r w:rsidR="00F66AD2" w:rsidRPr="008D54A5">
        <w:rPr>
          <w:b/>
        </w:rPr>
        <w:t>6.2</w:t>
      </w:r>
      <w:r w:rsidR="00F66AD2" w:rsidRPr="008D54A5">
        <w:t xml:space="preserve"> shows the source of MPSIDOLD when an event is a child in multiple rollup groups. In general, the source of MPSIDOLD </w:t>
      </w:r>
      <w:r w:rsidR="00455022" w:rsidRPr="008D54A5">
        <w:t>is</w:t>
      </w:r>
      <w:r w:rsidR="00F66AD2" w:rsidRPr="008D54A5">
        <w:t xml:space="preserve"> the ID whose master was an HS event, ER event, OP event, or MV event, in that order.</w:t>
      </w:r>
      <w:r w:rsidR="00EE4FDC" w:rsidRPr="008D54A5">
        <w:t xml:space="preserve"> The variable MPSIDOLD identifies the </w:t>
      </w:r>
      <w:r w:rsidR="00356CD1" w:rsidRPr="008D54A5">
        <w:t>“</w:t>
      </w:r>
      <w:r w:rsidR="00EE4FDC" w:rsidRPr="008D54A5">
        <w:t>original</w:t>
      </w:r>
      <w:r w:rsidR="00356CD1" w:rsidRPr="008D54A5">
        <w:t>”</w:t>
      </w:r>
      <w:r w:rsidR="00EE4FDC" w:rsidRPr="008D54A5">
        <w:t xml:space="preserve"> master event; the term </w:t>
      </w:r>
      <w:r w:rsidR="00356CD1" w:rsidRPr="008D54A5">
        <w:t>“</w:t>
      </w:r>
      <w:r w:rsidR="00EE4FDC" w:rsidRPr="008D54A5">
        <w:t>original</w:t>
      </w:r>
      <w:r w:rsidR="00356CD1" w:rsidRPr="008D54A5">
        <w:t>”</w:t>
      </w:r>
      <w:r w:rsidR="00EE4FDC" w:rsidRPr="008D54A5">
        <w:t xml:space="preserve"> is used to distinguish it from the </w:t>
      </w:r>
      <w:r w:rsidR="00356CD1" w:rsidRPr="008D54A5">
        <w:t>“</w:t>
      </w:r>
      <w:r w:rsidR="00EE4FDC" w:rsidRPr="008D54A5">
        <w:t>ultimate</w:t>
      </w:r>
      <w:r w:rsidR="00356CD1" w:rsidRPr="008D54A5">
        <w:t>”</w:t>
      </w:r>
      <w:r w:rsidR="00EE4FDC" w:rsidRPr="008D54A5">
        <w:t xml:space="preserve"> master event, </w:t>
      </w:r>
      <w:r w:rsidR="001D066B" w:rsidRPr="008D54A5">
        <w:t xml:space="preserve">which is </w:t>
      </w:r>
      <w:r w:rsidR="00EE4FDC" w:rsidRPr="008D54A5">
        <w:t>described below.</w:t>
      </w:r>
      <w:r w:rsidRPr="008D54A5">
        <w:t xml:space="preserve"> This hierarchy is </w:t>
      </w:r>
      <w:r w:rsidR="00D365D9" w:rsidRPr="008D54A5">
        <w:t xml:space="preserve">not </w:t>
      </w:r>
      <w:r w:rsidRPr="008D54A5">
        <w:t xml:space="preserve">relevant to </w:t>
      </w:r>
      <w:r w:rsidR="00D365D9" w:rsidRPr="008D54A5">
        <w:t xml:space="preserve">inpatient stays in </w:t>
      </w:r>
      <w:r w:rsidRPr="008D54A5">
        <w:t xml:space="preserve">rollup group </w:t>
      </w:r>
      <w:r w:rsidR="00D365D9" w:rsidRPr="008D54A5">
        <w:t xml:space="preserve">1 (consecutive inpatient or institution/inpatient stays) and </w:t>
      </w:r>
      <w:r w:rsidR="00424BC2" w:rsidRPr="008D54A5">
        <w:t xml:space="preserve">rollup group </w:t>
      </w:r>
      <w:r w:rsidR="00D365D9" w:rsidRPr="008D54A5">
        <w:t xml:space="preserve">5 (inpatient stays with a </w:t>
      </w:r>
      <w:r w:rsidR="00CB3E04" w:rsidRPr="008D54A5">
        <w:t>1</w:t>
      </w:r>
      <w:r w:rsidR="003B0AFE" w:rsidRPr="008D54A5">
        <w:t>-day</w:t>
      </w:r>
      <w:r w:rsidR="00D365D9" w:rsidRPr="008D54A5">
        <w:t xml:space="preserve"> gap) because by </w:t>
      </w:r>
      <w:r w:rsidR="000B75E0" w:rsidRPr="008D54A5">
        <w:t xml:space="preserve">the </w:t>
      </w:r>
      <w:r w:rsidR="00D365D9" w:rsidRPr="008D54A5">
        <w:t>definition of the</w:t>
      </w:r>
      <w:r w:rsidR="00424BC2" w:rsidRPr="008D54A5">
        <w:t>se</w:t>
      </w:r>
      <w:r w:rsidR="00D365D9" w:rsidRPr="008D54A5">
        <w:t xml:space="preserve"> rollup groups</w:t>
      </w:r>
      <w:r w:rsidR="00424BC2" w:rsidRPr="008D54A5">
        <w:t>,</w:t>
      </w:r>
      <w:r w:rsidR="00D365D9" w:rsidRPr="008D54A5">
        <w:t xml:space="preserve"> a</w:t>
      </w:r>
      <w:r w:rsidR="00424BC2" w:rsidRPr="008D54A5">
        <w:t>n inpatient</w:t>
      </w:r>
      <w:r w:rsidR="00D365D9" w:rsidRPr="008D54A5">
        <w:t xml:space="preserve"> stay would not be a child in both.</w:t>
      </w:r>
      <w:r w:rsidR="00356CD1" w:rsidRPr="008D54A5">
        <w:t xml:space="preserve"> </w:t>
      </w:r>
      <w:r w:rsidR="00D365D9" w:rsidRPr="008D54A5">
        <w:t>It is possible that an institution stay could be a child in both rollup gr</w:t>
      </w:r>
      <w:r w:rsidR="00CB3353" w:rsidRPr="008D54A5">
        <w:t>oup</w:t>
      </w:r>
      <w:r w:rsidR="00D365D9" w:rsidRPr="008D54A5">
        <w:t xml:space="preserve"> 1</w:t>
      </w:r>
      <w:r w:rsidR="00CB3353" w:rsidRPr="008D54A5">
        <w:t xml:space="preserve"> (consecutive inpatient or institution/inpatient stays)</w:t>
      </w:r>
      <w:r w:rsidR="00D365D9" w:rsidRPr="008D54A5">
        <w:t xml:space="preserve"> and </w:t>
      </w:r>
      <w:r w:rsidR="00CB3353" w:rsidRPr="008D54A5">
        <w:t xml:space="preserve">rollup group </w:t>
      </w:r>
      <w:r w:rsidR="00D365D9" w:rsidRPr="008D54A5">
        <w:t>2 (consecutive in</w:t>
      </w:r>
      <w:r w:rsidR="00CB3353" w:rsidRPr="008D54A5">
        <w:t>stitution stays</w:t>
      </w:r>
      <w:r w:rsidR="00D365D9" w:rsidRPr="008D54A5">
        <w:t>), but this</w:t>
      </w:r>
      <w:r w:rsidR="000B75E0" w:rsidRPr="008D54A5">
        <w:t xml:space="preserve"> is</w:t>
      </w:r>
      <w:r w:rsidR="00424BC2" w:rsidRPr="008D54A5">
        <w:t xml:space="preserve"> rare </w:t>
      </w:r>
      <w:r w:rsidR="009313A4" w:rsidRPr="008D54A5">
        <w:t xml:space="preserve">and </w:t>
      </w:r>
      <w:r w:rsidR="00D365D9" w:rsidRPr="008D54A5">
        <w:t xml:space="preserve">has not </w:t>
      </w:r>
      <w:r w:rsidR="00424BC2" w:rsidRPr="008D54A5">
        <w:t xml:space="preserve">yet </w:t>
      </w:r>
      <w:r w:rsidR="00CB3353" w:rsidRPr="008D54A5">
        <w:t>occurred in the data; if this occurred</w:t>
      </w:r>
      <w:r w:rsidR="00AD68DD" w:rsidRPr="008D54A5">
        <w:t>,</w:t>
      </w:r>
      <w:r w:rsidR="00CB3353" w:rsidRPr="008D54A5">
        <w:t xml:space="preserve"> the source would be the group with the earliest event. </w:t>
      </w:r>
    </w:p>
    <w:p w14:paraId="36565924" w14:textId="77777777" w:rsidR="006B30EC" w:rsidRPr="008D54A5" w:rsidRDefault="006B30EC">
      <w:pPr>
        <w:rPr>
          <w:rFonts w:ascii="Arial" w:hAnsi="Arial"/>
          <w:b/>
          <w:bCs/>
        </w:rPr>
      </w:pPr>
      <w:r w:rsidRPr="008D54A5">
        <w:br w:type="page"/>
      </w:r>
    </w:p>
    <w:p w14:paraId="39A2CE30" w14:textId="11AF894B" w:rsidR="00772ECB" w:rsidRPr="008D54A5" w:rsidRDefault="007127B0" w:rsidP="00FD4A4F">
      <w:pPr>
        <w:pStyle w:val="ExhibitTitle"/>
      </w:pPr>
      <w:bookmarkStart w:id="214" w:name="_Toc128574192"/>
      <w:bookmarkStart w:id="215" w:name="_Toc188622349"/>
      <w:r w:rsidRPr="00404E1F">
        <w:lastRenderedPageBreak/>
        <w:t>Exhibit </w:t>
      </w:r>
      <w:r w:rsidRPr="008D54A5">
        <w:rPr>
          <w:noProof/>
        </w:rPr>
        <w:fldChar w:fldCharType="begin"/>
      </w:r>
      <w:r w:rsidRPr="008D54A5">
        <w:rPr>
          <w:noProof/>
        </w:rPr>
        <w:instrText xml:space="preserve"> STYLEREF 1 \s </w:instrText>
      </w:r>
      <w:r w:rsidRPr="008D54A5">
        <w:rPr>
          <w:noProof/>
        </w:rPr>
        <w:fldChar w:fldCharType="separate"/>
      </w:r>
      <w:r w:rsidR="00EC2444" w:rsidRPr="008D54A5">
        <w:rPr>
          <w:noProof/>
        </w:rPr>
        <w:t>6</w:t>
      </w:r>
      <w:r w:rsidRPr="008D54A5">
        <w:rPr>
          <w:noProof/>
        </w:rPr>
        <w:fldChar w:fldCharType="end"/>
      </w:r>
      <w:r w:rsidRPr="008D54A5">
        <w:t>.</w:t>
      </w:r>
      <w:r w:rsidRPr="008D54A5">
        <w:rPr>
          <w:noProof/>
        </w:rPr>
        <w:fldChar w:fldCharType="begin"/>
      </w:r>
      <w:r w:rsidRPr="008D54A5">
        <w:rPr>
          <w:noProof/>
        </w:rPr>
        <w:instrText xml:space="preserve"> SEQ Exhibit \* ARABIC \s 1 </w:instrText>
      </w:r>
      <w:r w:rsidRPr="008D54A5">
        <w:rPr>
          <w:noProof/>
        </w:rPr>
        <w:fldChar w:fldCharType="separate"/>
      </w:r>
      <w:r w:rsidR="00EC2444" w:rsidRPr="008D54A5">
        <w:rPr>
          <w:noProof/>
        </w:rPr>
        <w:t>2</w:t>
      </w:r>
      <w:r w:rsidRPr="008D54A5">
        <w:rPr>
          <w:noProof/>
        </w:rPr>
        <w:fldChar w:fldCharType="end"/>
      </w:r>
      <w:r w:rsidRPr="008D54A5">
        <w:tab/>
      </w:r>
      <w:r w:rsidR="00F66AD2" w:rsidRPr="008D54A5">
        <w:t>Rollup Combinations</w:t>
      </w:r>
      <w:bookmarkEnd w:id="214"/>
      <w:bookmarkEnd w:id="215"/>
    </w:p>
    <w:p w14:paraId="5AE0BA4D" w14:textId="77777777" w:rsidR="00356CD1" w:rsidRPr="008D54A5" w:rsidRDefault="00356CD1" w:rsidP="00FD4A4F">
      <w:pPr>
        <w:pStyle w:val="ExhibitTitle"/>
        <w:sectPr w:rsidR="00356CD1" w:rsidRPr="008D54A5" w:rsidSect="0048711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326"/>
      </w:tblGrid>
      <w:tr w:rsidR="00772ECB" w:rsidRPr="008D54A5" w14:paraId="5107DAF6" w14:textId="77777777" w:rsidTr="00356CD1">
        <w:trPr>
          <w:cantSplit/>
          <w:tblHeader/>
          <w:jc w:val="center"/>
        </w:trPr>
        <w:tc>
          <w:tcPr>
            <w:tcW w:w="2389" w:type="pct"/>
            <w:shd w:val="clear" w:color="auto" w:fill="BFBFBF"/>
          </w:tcPr>
          <w:p w14:paraId="35CCDCEE" w14:textId="77777777" w:rsidR="00772ECB" w:rsidRPr="008D54A5" w:rsidRDefault="00F66AD2" w:rsidP="00356CD1">
            <w:pPr>
              <w:pStyle w:val="TableHeading"/>
              <w:rPr>
                <w:sz w:val="18"/>
                <w:szCs w:val="18"/>
              </w:rPr>
            </w:pPr>
            <w:r w:rsidRPr="008D54A5">
              <w:rPr>
                <w:sz w:val="18"/>
                <w:szCs w:val="18"/>
              </w:rPr>
              <w:t>Rollup Combination</w:t>
            </w:r>
          </w:p>
        </w:tc>
        <w:tc>
          <w:tcPr>
            <w:tcW w:w="2611" w:type="pct"/>
            <w:shd w:val="clear" w:color="auto" w:fill="BFBFBF"/>
          </w:tcPr>
          <w:p w14:paraId="0F4479F8" w14:textId="77777777" w:rsidR="00772ECB" w:rsidRPr="008D54A5" w:rsidRDefault="00F66AD2" w:rsidP="00356CD1">
            <w:pPr>
              <w:pStyle w:val="TableHeading"/>
              <w:rPr>
                <w:sz w:val="18"/>
                <w:szCs w:val="18"/>
              </w:rPr>
            </w:pPr>
            <w:r w:rsidRPr="008D54A5">
              <w:rPr>
                <w:sz w:val="18"/>
                <w:szCs w:val="18"/>
              </w:rPr>
              <w:t>Source of MPSIDOLD</w:t>
            </w:r>
          </w:p>
        </w:tc>
      </w:tr>
      <w:tr w:rsidR="00772ECB" w:rsidRPr="008D54A5" w14:paraId="5F8F7F29" w14:textId="77777777" w:rsidTr="00356CD1">
        <w:trPr>
          <w:cantSplit/>
          <w:jc w:val="center"/>
        </w:trPr>
        <w:tc>
          <w:tcPr>
            <w:tcW w:w="2389" w:type="pct"/>
          </w:tcPr>
          <w:p w14:paraId="3567EE3A" w14:textId="77777777" w:rsidR="00772ECB" w:rsidRPr="008D54A5" w:rsidRDefault="00BC2ED3" w:rsidP="00356CD1">
            <w:pPr>
              <w:pStyle w:val="TableText-center"/>
              <w:spacing w:before="0" w:after="0"/>
              <w:rPr>
                <w:sz w:val="18"/>
              </w:rPr>
            </w:pPr>
            <w:r w:rsidRPr="008D54A5">
              <w:rPr>
                <w:sz w:val="18"/>
              </w:rPr>
              <w:t>4, 6</w:t>
            </w:r>
          </w:p>
        </w:tc>
        <w:tc>
          <w:tcPr>
            <w:tcW w:w="2611" w:type="pct"/>
          </w:tcPr>
          <w:p w14:paraId="6F2AFF42" w14:textId="77777777" w:rsidR="00772ECB" w:rsidRPr="008D54A5" w:rsidRDefault="00BC2ED3" w:rsidP="00356CD1">
            <w:pPr>
              <w:pStyle w:val="TableText"/>
              <w:spacing w:before="0" w:after="0"/>
              <w:rPr>
                <w:sz w:val="18"/>
                <w:szCs w:val="18"/>
              </w:rPr>
            </w:pPr>
            <w:r w:rsidRPr="008D54A5">
              <w:rPr>
                <w:sz w:val="18"/>
                <w:szCs w:val="18"/>
              </w:rPr>
              <w:t>ROLLUP_MPSID6</w:t>
            </w:r>
          </w:p>
        </w:tc>
      </w:tr>
      <w:tr w:rsidR="00772ECB" w:rsidRPr="008D54A5" w14:paraId="079B49CE" w14:textId="77777777" w:rsidTr="00356CD1">
        <w:trPr>
          <w:cantSplit/>
          <w:jc w:val="center"/>
        </w:trPr>
        <w:tc>
          <w:tcPr>
            <w:tcW w:w="2389" w:type="pct"/>
          </w:tcPr>
          <w:p w14:paraId="1F0E2F39" w14:textId="77777777" w:rsidR="00772ECB" w:rsidRPr="008D54A5" w:rsidRDefault="00BC2ED3" w:rsidP="00356CD1">
            <w:pPr>
              <w:pStyle w:val="TableText-center"/>
              <w:spacing w:before="0" w:after="0"/>
              <w:rPr>
                <w:sz w:val="18"/>
              </w:rPr>
            </w:pPr>
            <w:r w:rsidRPr="008D54A5">
              <w:rPr>
                <w:sz w:val="18"/>
              </w:rPr>
              <w:t>4, 7</w:t>
            </w:r>
          </w:p>
        </w:tc>
        <w:tc>
          <w:tcPr>
            <w:tcW w:w="2611" w:type="pct"/>
          </w:tcPr>
          <w:p w14:paraId="7E3663B0" w14:textId="77777777" w:rsidR="00772ECB" w:rsidRPr="008D54A5" w:rsidRDefault="00BC2ED3" w:rsidP="00356CD1">
            <w:pPr>
              <w:pStyle w:val="TableText"/>
              <w:spacing w:before="0" w:after="0"/>
              <w:rPr>
                <w:sz w:val="18"/>
                <w:szCs w:val="18"/>
              </w:rPr>
            </w:pPr>
            <w:r w:rsidRPr="008D54A5">
              <w:rPr>
                <w:sz w:val="18"/>
                <w:szCs w:val="18"/>
              </w:rPr>
              <w:t>ROLLUP_MPSID7</w:t>
            </w:r>
          </w:p>
        </w:tc>
      </w:tr>
      <w:tr w:rsidR="00772ECB" w:rsidRPr="008D54A5" w14:paraId="7E2CB519" w14:textId="77777777" w:rsidTr="00356CD1">
        <w:trPr>
          <w:cantSplit/>
          <w:jc w:val="center"/>
        </w:trPr>
        <w:tc>
          <w:tcPr>
            <w:tcW w:w="2389" w:type="pct"/>
          </w:tcPr>
          <w:p w14:paraId="6B6B28D8" w14:textId="77777777" w:rsidR="00772ECB" w:rsidRPr="008D54A5" w:rsidRDefault="00BC2ED3" w:rsidP="00356CD1">
            <w:pPr>
              <w:pStyle w:val="TableText-center"/>
              <w:spacing w:before="0" w:after="0"/>
              <w:rPr>
                <w:sz w:val="18"/>
              </w:rPr>
            </w:pPr>
            <w:r w:rsidRPr="008D54A5">
              <w:rPr>
                <w:sz w:val="18"/>
              </w:rPr>
              <w:t>4, 6, 7</w:t>
            </w:r>
          </w:p>
        </w:tc>
        <w:tc>
          <w:tcPr>
            <w:tcW w:w="2611" w:type="pct"/>
          </w:tcPr>
          <w:p w14:paraId="090ACB7A" w14:textId="0ABA9879" w:rsidR="00772ECB" w:rsidRPr="008D54A5" w:rsidRDefault="00BC2ED3" w:rsidP="00356CD1">
            <w:pPr>
              <w:pStyle w:val="TableText"/>
              <w:spacing w:before="0" w:after="0"/>
              <w:rPr>
                <w:sz w:val="18"/>
                <w:szCs w:val="18"/>
              </w:rPr>
            </w:pPr>
            <w:r w:rsidRPr="008D54A5">
              <w:rPr>
                <w:sz w:val="18"/>
                <w:szCs w:val="18"/>
              </w:rPr>
              <w:t>ROLLUP_MPSID</w:t>
            </w:r>
            <w:r w:rsidR="00586402" w:rsidRPr="008D54A5">
              <w:rPr>
                <w:sz w:val="18"/>
                <w:szCs w:val="18"/>
              </w:rPr>
              <w:t>6</w:t>
            </w:r>
          </w:p>
        </w:tc>
      </w:tr>
      <w:tr w:rsidR="00586402" w:rsidRPr="008D54A5" w14:paraId="42B4485E" w14:textId="77777777" w:rsidTr="00356CD1">
        <w:trPr>
          <w:cantSplit/>
          <w:jc w:val="center"/>
        </w:trPr>
        <w:tc>
          <w:tcPr>
            <w:tcW w:w="2389" w:type="pct"/>
          </w:tcPr>
          <w:p w14:paraId="65AA51C4" w14:textId="782C6215" w:rsidR="00586402" w:rsidRPr="008D54A5" w:rsidRDefault="00586402" w:rsidP="00356CD1">
            <w:pPr>
              <w:pStyle w:val="TableText-center"/>
              <w:spacing w:before="0" w:after="0"/>
              <w:rPr>
                <w:sz w:val="18"/>
              </w:rPr>
            </w:pPr>
            <w:r w:rsidRPr="008D54A5">
              <w:rPr>
                <w:sz w:val="18"/>
              </w:rPr>
              <w:t>6, 7</w:t>
            </w:r>
          </w:p>
        </w:tc>
        <w:tc>
          <w:tcPr>
            <w:tcW w:w="2611" w:type="pct"/>
          </w:tcPr>
          <w:p w14:paraId="520FC98F" w14:textId="249191EE" w:rsidR="00586402" w:rsidRPr="008D54A5" w:rsidRDefault="00586402" w:rsidP="00356CD1">
            <w:pPr>
              <w:pStyle w:val="TableText"/>
              <w:spacing w:before="0" w:after="0"/>
              <w:rPr>
                <w:sz w:val="18"/>
                <w:szCs w:val="18"/>
              </w:rPr>
            </w:pPr>
            <w:r w:rsidRPr="008D54A5">
              <w:rPr>
                <w:sz w:val="18"/>
                <w:szCs w:val="18"/>
              </w:rPr>
              <w:t>ROLLUP_MPSID7</w:t>
            </w:r>
          </w:p>
        </w:tc>
      </w:tr>
      <w:tr w:rsidR="00772ECB" w:rsidRPr="008D54A5" w14:paraId="4A7E31EA" w14:textId="77777777" w:rsidTr="00356CD1">
        <w:trPr>
          <w:cantSplit/>
          <w:jc w:val="center"/>
        </w:trPr>
        <w:tc>
          <w:tcPr>
            <w:tcW w:w="2389" w:type="pct"/>
          </w:tcPr>
          <w:p w14:paraId="142C7F9D" w14:textId="77777777" w:rsidR="00772ECB" w:rsidRPr="008D54A5" w:rsidRDefault="00BC2ED3" w:rsidP="00356CD1">
            <w:pPr>
              <w:pStyle w:val="TableText-center"/>
              <w:spacing w:before="0" w:after="0"/>
              <w:rPr>
                <w:sz w:val="18"/>
              </w:rPr>
            </w:pPr>
            <w:r w:rsidRPr="008D54A5">
              <w:rPr>
                <w:sz w:val="18"/>
              </w:rPr>
              <w:t>7, 8</w:t>
            </w:r>
          </w:p>
        </w:tc>
        <w:tc>
          <w:tcPr>
            <w:tcW w:w="2611" w:type="pct"/>
          </w:tcPr>
          <w:p w14:paraId="0A286382" w14:textId="77777777" w:rsidR="00772ECB" w:rsidRPr="008D54A5" w:rsidRDefault="00BC2ED3" w:rsidP="00356CD1">
            <w:pPr>
              <w:pStyle w:val="TableText"/>
              <w:spacing w:before="0" w:after="0"/>
              <w:rPr>
                <w:sz w:val="18"/>
                <w:szCs w:val="18"/>
              </w:rPr>
            </w:pPr>
            <w:r w:rsidRPr="008D54A5">
              <w:rPr>
                <w:sz w:val="18"/>
                <w:szCs w:val="18"/>
              </w:rPr>
              <w:t>ROLLUP_MPSID7</w:t>
            </w:r>
          </w:p>
        </w:tc>
      </w:tr>
      <w:tr w:rsidR="00772ECB" w:rsidRPr="008D54A5" w14:paraId="750BA92A" w14:textId="77777777" w:rsidTr="00356CD1">
        <w:trPr>
          <w:cantSplit/>
          <w:jc w:val="center"/>
        </w:trPr>
        <w:tc>
          <w:tcPr>
            <w:tcW w:w="2389" w:type="pct"/>
          </w:tcPr>
          <w:p w14:paraId="664DC6FB" w14:textId="77777777" w:rsidR="00772ECB" w:rsidRPr="008D54A5" w:rsidRDefault="00BC2ED3" w:rsidP="00356CD1">
            <w:pPr>
              <w:pStyle w:val="TableText-center"/>
              <w:spacing w:before="0" w:after="0"/>
              <w:rPr>
                <w:sz w:val="18"/>
              </w:rPr>
            </w:pPr>
            <w:r w:rsidRPr="008D54A5">
              <w:rPr>
                <w:sz w:val="18"/>
              </w:rPr>
              <w:t>6, 7, 8</w:t>
            </w:r>
          </w:p>
        </w:tc>
        <w:tc>
          <w:tcPr>
            <w:tcW w:w="2611" w:type="pct"/>
          </w:tcPr>
          <w:p w14:paraId="50D77761" w14:textId="77777777" w:rsidR="00772ECB" w:rsidRPr="008D54A5" w:rsidRDefault="00BC2ED3" w:rsidP="00356CD1">
            <w:pPr>
              <w:pStyle w:val="TableText"/>
              <w:spacing w:before="0" w:after="0"/>
              <w:rPr>
                <w:sz w:val="18"/>
                <w:szCs w:val="18"/>
              </w:rPr>
            </w:pPr>
            <w:r w:rsidRPr="008D54A5">
              <w:rPr>
                <w:sz w:val="18"/>
                <w:szCs w:val="18"/>
              </w:rPr>
              <w:t>ROLLUP_MPSID6</w:t>
            </w:r>
          </w:p>
        </w:tc>
      </w:tr>
      <w:tr w:rsidR="00772ECB" w:rsidRPr="008D54A5" w14:paraId="55870FBE" w14:textId="77777777" w:rsidTr="00356CD1">
        <w:trPr>
          <w:cantSplit/>
          <w:jc w:val="center"/>
        </w:trPr>
        <w:tc>
          <w:tcPr>
            <w:tcW w:w="2389" w:type="pct"/>
          </w:tcPr>
          <w:p w14:paraId="5B65A3CC" w14:textId="77777777" w:rsidR="00772ECB" w:rsidRPr="008D54A5" w:rsidRDefault="00BC2ED3" w:rsidP="00356CD1">
            <w:pPr>
              <w:pStyle w:val="TableText-center"/>
              <w:spacing w:before="0" w:after="0"/>
              <w:rPr>
                <w:sz w:val="18"/>
              </w:rPr>
            </w:pPr>
            <w:r w:rsidRPr="008D54A5">
              <w:rPr>
                <w:sz w:val="18"/>
              </w:rPr>
              <w:t>4, 8</w:t>
            </w:r>
          </w:p>
        </w:tc>
        <w:tc>
          <w:tcPr>
            <w:tcW w:w="2611" w:type="pct"/>
          </w:tcPr>
          <w:p w14:paraId="6549A68B" w14:textId="77777777" w:rsidR="00772ECB" w:rsidRPr="008D54A5" w:rsidRDefault="00BC2ED3" w:rsidP="00356CD1">
            <w:pPr>
              <w:pStyle w:val="TableText"/>
              <w:spacing w:before="0" w:after="0"/>
              <w:rPr>
                <w:sz w:val="18"/>
                <w:szCs w:val="18"/>
              </w:rPr>
            </w:pPr>
            <w:r w:rsidRPr="008D54A5">
              <w:rPr>
                <w:sz w:val="18"/>
                <w:szCs w:val="18"/>
              </w:rPr>
              <w:t>ROLLUP_MPSID8</w:t>
            </w:r>
          </w:p>
        </w:tc>
      </w:tr>
      <w:tr w:rsidR="00772ECB" w:rsidRPr="008D54A5" w14:paraId="500A7DCC" w14:textId="77777777" w:rsidTr="00356CD1">
        <w:trPr>
          <w:cantSplit/>
          <w:jc w:val="center"/>
        </w:trPr>
        <w:tc>
          <w:tcPr>
            <w:tcW w:w="2389" w:type="pct"/>
          </w:tcPr>
          <w:p w14:paraId="3973BF6B" w14:textId="77777777" w:rsidR="00772ECB" w:rsidRPr="008D54A5" w:rsidRDefault="00BC2ED3" w:rsidP="00356CD1">
            <w:pPr>
              <w:pStyle w:val="TableText-center"/>
              <w:spacing w:before="0" w:after="0"/>
              <w:rPr>
                <w:sz w:val="18"/>
              </w:rPr>
            </w:pPr>
            <w:r w:rsidRPr="008D54A5">
              <w:rPr>
                <w:sz w:val="18"/>
              </w:rPr>
              <w:t>4, 7, 8</w:t>
            </w:r>
          </w:p>
        </w:tc>
        <w:tc>
          <w:tcPr>
            <w:tcW w:w="2611" w:type="pct"/>
          </w:tcPr>
          <w:p w14:paraId="28834C15" w14:textId="77777777" w:rsidR="00772ECB" w:rsidRPr="008D54A5" w:rsidRDefault="00BC2ED3" w:rsidP="00356CD1">
            <w:pPr>
              <w:pStyle w:val="TableText"/>
              <w:spacing w:before="0" w:after="0"/>
              <w:rPr>
                <w:sz w:val="18"/>
                <w:szCs w:val="18"/>
              </w:rPr>
            </w:pPr>
            <w:r w:rsidRPr="008D54A5">
              <w:rPr>
                <w:sz w:val="18"/>
                <w:szCs w:val="18"/>
              </w:rPr>
              <w:t>ROLLUP_MPSID7</w:t>
            </w:r>
          </w:p>
        </w:tc>
      </w:tr>
      <w:tr w:rsidR="00772ECB" w:rsidRPr="008D54A5" w14:paraId="59B3F4A6" w14:textId="77777777" w:rsidTr="00356CD1">
        <w:trPr>
          <w:cantSplit/>
          <w:jc w:val="center"/>
        </w:trPr>
        <w:tc>
          <w:tcPr>
            <w:tcW w:w="2389" w:type="pct"/>
          </w:tcPr>
          <w:p w14:paraId="3D88CF7B" w14:textId="77777777" w:rsidR="00772ECB" w:rsidRPr="008D54A5" w:rsidRDefault="00BC2ED3" w:rsidP="00356CD1">
            <w:pPr>
              <w:pStyle w:val="TableText-center"/>
              <w:spacing w:before="0" w:after="0"/>
              <w:rPr>
                <w:sz w:val="18"/>
              </w:rPr>
            </w:pPr>
            <w:r w:rsidRPr="008D54A5">
              <w:rPr>
                <w:sz w:val="18"/>
              </w:rPr>
              <w:t>3, 8</w:t>
            </w:r>
          </w:p>
        </w:tc>
        <w:tc>
          <w:tcPr>
            <w:tcW w:w="2611" w:type="pct"/>
          </w:tcPr>
          <w:p w14:paraId="448C6964" w14:textId="77777777" w:rsidR="00772ECB" w:rsidRPr="008D54A5" w:rsidRDefault="00BC2ED3" w:rsidP="00356CD1">
            <w:pPr>
              <w:pStyle w:val="TableText"/>
              <w:spacing w:before="0" w:after="0"/>
              <w:rPr>
                <w:sz w:val="18"/>
                <w:szCs w:val="18"/>
              </w:rPr>
            </w:pPr>
            <w:r w:rsidRPr="008D54A5">
              <w:rPr>
                <w:sz w:val="18"/>
                <w:szCs w:val="18"/>
              </w:rPr>
              <w:t>ROLLUP_MPSID8</w:t>
            </w:r>
          </w:p>
        </w:tc>
      </w:tr>
      <w:tr w:rsidR="00772ECB" w:rsidRPr="008D54A5" w14:paraId="1C6C79CD" w14:textId="77777777" w:rsidTr="00356CD1">
        <w:trPr>
          <w:cantSplit/>
          <w:jc w:val="center"/>
        </w:trPr>
        <w:tc>
          <w:tcPr>
            <w:tcW w:w="2389" w:type="pct"/>
          </w:tcPr>
          <w:p w14:paraId="67BD5D8B" w14:textId="77777777" w:rsidR="00772ECB" w:rsidRPr="008D54A5" w:rsidRDefault="00BC2ED3" w:rsidP="00356CD1">
            <w:pPr>
              <w:pStyle w:val="TableText-center"/>
              <w:spacing w:before="0" w:after="0"/>
              <w:rPr>
                <w:sz w:val="18"/>
              </w:rPr>
            </w:pPr>
            <w:r w:rsidRPr="008D54A5">
              <w:rPr>
                <w:sz w:val="18"/>
              </w:rPr>
              <w:t>3, 9</w:t>
            </w:r>
          </w:p>
        </w:tc>
        <w:tc>
          <w:tcPr>
            <w:tcW w:w="2611" w:type="pct"/>
          </w:tcPr>
          <w:p w14:paraId="66BA8425" w14:textId="77777777" w:rsidR="00772ECB" w:rsidRPr="008D54A5" w:rsidRDefault="00BC2ED3" w:rsidP="00356CD1">
            <w:pPr>
              <w:pStyle w:val="TableText"/>
              <w:spacing w:before="0" w:after="0"/>
              <w:rPr>
                <w:sz w:val="18"/>
                <w:szCs w:val="18"/>
              </w:rPr>
            </w:pPr>
            <w:r w:rsidRPr="008D54A5">
              <w:rPr>
                <w:sz w:val="18"/>
                <w:szCs w:val="18"/>
              </w:rPr>
              <w:t>ROLLUP_MPSID9</w:t>
            </w:r>
          </w:p>
        </w:tc>
      </w:tr>
      <w:tr w:rsidR="00772ECB" w:rsidRPr="008D54A5" w14:paraId="17C33203" w14:textId="77777777" w:rsidTr="00356CD1">
        <w:trPr>
          <w:cantSplit/>
          <w:jc w:val="center"/>
        </w:trPr>
        <w:tc>
          <w:tcPr>
            <w:tcW w:w="2389" w:type="pct"/>
          </w:tcPr>
          <w:p w14:paraId="088978B4" w14:textId="77777777" w:rsidR="00772ECB" w:rsidRPr="008D54A5" w:rsidRDefault="00BC2ED3" w:rsidP="00356CD1">
            <w:pPr>
              <w:pStyle w:val="TableText-center"/>
              <w:spacing w:before="0" w:after="0"/>
              <w:rPr>
                <w:sz w:val="18"/>
              </w:rPr>
            </w:pPr>
            <w:r w:rsidRPr="008D54A5">
              <w:rPr>
                <w:sz w:val="18"/>
              </w:rPr>
              <w:t>4, 9</w:t>
            </w:r>
          </w:p>
        </w:tc>
        <w:tc>
          <w:tcPr>
            <w:tcW w:w="2611" w:type="pct"/>
          </w:tcPr>
          <w:p w14:paraId="1CE852F5" w14:textId="77777777" w:rsidR="00772ECB" w:rsidRPr="008D54A5" w:rsidRDefault="00BC2ED3" w:rsidP="00356CD1">
            <w:pPr>
              <w:pStyle w:val="TableText"/>
              <w:spacing w:before="0" w:after="0"/>
              <w:rPr>
                <w:sz w:val="18"/>
                <w:szCs w:val="18"/>
              </w:rPr>
            </w:pPr>
            <w:r w:rsidRPr="008D54A5">
              <w:rPr>
                <w:sz w:val="18"/>
                <w:szCs w:val="18"/>
              </w:rPr>
              <w:t>ROLLUP_MPSID4</w:t>
            </w:r>
          </w:p>
        </w:tc>
      </w:tr>
      <w:tr w:rsidR="00772ECB" w:rsidRPr="008D54A5" w14:paraId="6688034F" w14:textId="77777777" w:rsidTr="00356CD1">
        <w:trPr>
          <w:cantSplit/>
          <w:jc w:val="center"/>
        </w:trPr>
        <w:tc>
          <w:tcPr>
            <w:tcW w:w="2389" w:type="pct"/>
          </w:tcPr>
          <w:p w14:paraId="366248A0" w14:textId="77777777" w:rsidR="00772ECB" w:rsidRPr="008D54A5" w:rsidRDefault="00BC2ED3" w:rsidP="00356CD1">
            <w:pPr>
              <w:pStyle w:val="TableText-center"/>
              <w:spacing w:before="0" w:after="0"/>
              <w:rPr>
                <w:sz w:val="18"/>
              </w:rPr>
            </w:pPr>
            <w:r w:rsidRPr="008D54A5">
              <w:rPr>
                <w:sz w:val="18"/>
              </w:rPr>
              <w:t>6, 8</w:t>
            </w:r>
          </w:p>
        </w:tc>
        <w:tc>
          <w:tcPr>
            <w:tcW w:w="2611" w:type="pct"/>
          </w:tcPr>
          <w:p w14:paraId="7388EA0E" w14:textId="77777777" w:rsidR="00772ECB" w:rsidRPr="008D54A5" w:rsidRDefault="00BC2ED3" w:rsidP="00356CD1">
            <w:pPr>
              <w:pStyle w:val="TableText"/>
              <w:spacing w:before="0" w:after="0"/>
              <w:rPr>
                <w:sz w:val="18"/>
                <w:szCs w:val="18"/>
              </w:rPr>
            </w:pPr>
            <w:r w:rsidRPr="008D54A5">
              <w:rPr>
                <w:sz w:val="18"/>
                <w:szCs w:val="18"/>
              </w:rPr>
              <w:t>ROLLUP_MPSID8</w:t>
            </w:r>
          </w:p>
        </w:tc>
      </w:tr>
      <w:tr w:rsidR="008D18EC" w:rsidRPr="008D54A5" w14:paraId="7107BD0C" w14:textId="77777777" w:rsidTr="00356CD1">
        <w:trPr>
          <w:cantSplit/>
          <w:jc w:val="center"/>
        </w:trPr>
        <w:tc>
          <w:tcPr>
            <w:tcW w:w="2389" w:type="pct"/>
          </w:tcPr>
          <w:p w14:paraId="0AF3E104" w14:textId="77777777" w:rsidR="008D18EC" w:rsidRPr="008D54A5" w:rsidRDefault="00BC2ED3" w:rsidP="00356CD1">
            <w:pPr>
              <w:pStyle w:val="TableText-center"/>
              <w:spacing w:before="0" w:after="0"/>
              <w:rPr>
                <w:sz w:val="18"/>
              </w:rPr>
            </w:pPr>
            <w:r w:rsidRPr="008D54A5">
              <w:rPr>
                <w:sz w:val="18"/>
              </w:rPr>
              <w:t>4, 8, 9</w:t>
            </w:r>
          </w:p>
        </w:tc>
        <w:tc>
          <w:tcPr>
            <w:tcW w:w="2611" w:type="pct"/>
          </w:tcPr>
          <w:p w14:paraId="490C1ED5" w14:textId="77777777" w:rsidR="008D18EC" w:rsidRPr="008D54A5" w:rsidRDefault="00BC2ED3" w:rsidP="00356CD1">
            <w:pPr>
              <w:pStyle w:val="TableText"/>
              <w:spacing w:before="0" w:after="0"/>
              <w:rPr>
                <w:sz w:val="18"/>
                <w:szCs w:val="18"/>
              </w:rPr>
            </w:pPr>
            <w:r w:rsidRPr="008D54A5">
              <w:rPr>
                <w:sz w:val="18"/>
                <w:szCs w:val="18"/>
              </w:rPr>
              <w:t>ROLLUP_MPSID4</w:t>
            </w:r>
          </w:p>
        </w:tc>
      </w:tr>
      <w:tr w:rsidR="00586402" w:rsidRPr="008D54A5" w14:paraId="68CFF583" w14:textId="77777777" w:rsidTr="00356CD1">
        <w:trPr>
          <w:cantSplit/>
          <w:jc w:val="center"/>
        </w:trPr>
        <w:tc>
          <w:tcPr>
            <w:tcW w:w="2389" w:type="pct"/>
          </w:tcPr>
          <w:p w14:paraId="5265F888" w14:textId="56F7B6CB" w:rsidR="00586402" w:rsidRPr="008D54A5" w:rsidRDefault="00586402" w:rsidP="00356CD1">
            <w:pPr>
              <w:pStyle w:val="TableText-center"/>
              <w:spacing w:before="0" w:after="0"/>
              <w:rPr>
                <w:sz w:val="18"/>
              </w:rPr>
            </w:pPr>
            <w:r w:rsidRPr="008D54A5">
              <w:rPr>
                <w:sz w:val="18"/>
              </w:rPr>
              <w:t>8, 9</w:t>
            </w:r>
          </w:p>
        </w:tc>
        <w:tc>
          <w:tcPr>
            <w:tcW w:w="2611" w:type="pct"/>
          </w:tcPr>
          <w:p w14:paraId="2CFC5EDC" w14:textId="6845A342" w:rsidR="00586402" w:rsidRPr="008D54A5" w:rsidRDefault="00586402" w:rsidP="00356CD1">
            <w:pPr>
              <w:pStyle w:val="TableText"/>
              <w:spacing w:before="0" w:after="0"/>
              <w:rPr>
                <w:sz w:val="18"/>
                <w:szCs w:val="18"/>
              </w:rPr>
            </w:pPr>
            <w:r w:rsidRPr="008D54A5">
              <w:rPr>
                <w:sz w:val="18"/>
                <w:szCs w:val="18"/>
              </w:rPr>
              <w:t>ROLLUP_MPSID8</w:t>
            </w:r>
          </w:p>
        </w:tc>
      </w:tr>
      <w:tr w:rsidR="008D18EC" w:rsidRPr="008D54A5" w14:paraId="5931E3F3" w14:textId="77777777" w:rsidTr="00356CD1">
        <w:trPr>
          <w:cantSplit/>
          <w:jc w:val="center"/>
        </w:trPr>
        <w:tc>
          <w:tcPr>
            <w:tcW w:w="2389" w:type="pct"/>
          </w:tcPr>
          <w:p w14:paraId="50EC763C" w14:textId="77777777" w:rsidR="008D18EC" w:rsidRPr="008D54A5" w:rsidRDefault="00BC2ED3" w:rsidP="00356CD1">
            <w:pPr>
              <w:pStyle w:val="TableText-center"/>
              <w:spacing w:before="0" w:after="0"/>
              <w:rPr>
                <w:sz w:val="18"/>
              </w:rPr>
            </w:pPr>
            <w:r w:rsidRPr="008D54A5">
              <w:rPr>
                <w:sz w:val="18"/>
              </w:rPr>
              <w:t xml:space="preserve">7, </w:t>
            </w:r>
            <w:r w:rsidR="00D365D9" w:rsidRPr="008D54A5">
              <w:rPr>
                <w:sz w:val="18"/>
              </w:rPr>
              <w:t>9</w:t>
            </w:r>
          </w:p>
        </w:tc>
        <w:tc>
          <w:tcPr>
            <w:tcW w:w="2611" w:type="pct"/>
          </w:tcPr>
          <w:p w14:paraId="1A80C5D3" w14:textId="77777777" w:rsidR="008D18EC" w:rsidRPr="008D54A5" w:rsidRDefault="00BC2ED3" w:rsidP="00356CD1">
            <w:pPr>
              <w:pStyle w:val="TableText"/>
              <w:spacing w:before="0" w:after="0"/>
              <w:rPr>
                <w:sz w:val="18"/>
                <w:szCs w:val="18"/>
              </w:rPr>
            </w:pPr>
            <w:r w:rsidRPr="008D54A5">
              <w:rPr>
                <w:sz w:val="18"/>
                <w:szCs w:val="18"/>
              </w:rPr>
              <w:t>ROLLUP_MPSID7</w:t>
            </w:r>
          </w:p>
        </w:tc>
      </w:tr>
      <w:tr w:rsidR="008D18EC" w:rsidRPr="008D54A5" w14:paraId="7212E579" w14:textId="77777777" w:rsidTr="00356CD1">
        <w:trPr>
          <w:cantSplit/>
          <w:jc w:val="center"/>
        </w:trPr>
        <w:tc>
          <w:tcPr>
            <w:tcW w:w="2389" w:type="pct"/>
          </w:tcPr>
          <w:p w14:paraId="6A02D93C" w14:textId="77777777" w:rsidR="008D18EC" w:rsidRPr="008D54A5" w:rsidRDefault="00BC2ED3" w:rsidP="00356CD1">
            <w:pPr>
              <w:pStyle w:val="TableText-center"/>
              <w:spacing w:before="0" w:after="0"/>
              <w:rPr>
                <w:sz w:val="18"/>
              </w:rPr>
            </w:pPr>
            <w:r w:rsidRPr="008D54A5">
              <w:rPr>
                <w:sz w:val="18"/>
              </w:rPr>
              <w:t>7, 8, 9</w:t>
            </w:r>
          </w:p>
        </w:tc>
        <w:tc>
          <w:tcPr>
            <w:tcW w:w="2611" w:type="pct"/>
          </w:tcPr>
          <w:p w14:paraId="0A54CB96" w14:textId="77777777" w:rsidR="008D18EC" w:rsidRPr="008D54A5" w:rsidRDefault="00BC2ED3" w:rsidP="00356CD1">
            <w:pPr>
              <w:pStyle w:val="TableText"/>
              <w:spacing w:before="0" w:after="0"/>
              <w:rPr>
                <w:sz w:val="18"/>
                <w:szCs w:val="18"/>
              </w:rPr>
            </w:pPr>
            <w:r w:rsidRPr="008D54A5">
              <w:rPr>
                <w:sz w:val="18"/>
                <w:szCs w:val="18"/>
              </w:rPr>
              <w:t>ROLLUP_MPSID7</w:t>
            </w:r>
          </w:p>
        </w:tc>
      </w:tr>
      <w:tr w:rsidR="008D18EC" w:rsidRPr="008D54A5" w14:paraId="004C07EA" w14:textId="77777777" w:rsidTr="00356CD1">
        <w:trPr>
          <w:cantSplit/>
          <w:jc w:val="center"/>
        </w:trPr>
        <w:tc>
          <w:tcPr>
            <w:tcW w:w="2389" w:type="pct"/>
          </w:tcPr>
          <w:p w14:paraId="59FA44B2" w14:textId="77777777" w:rsidR="008D18EC" w:rsidRPr="008D54A5" w:rsidRDefault="00BC2ED3" w:rsidP="00356CD1">
            <w:pPr>
              <w:pStyle w:val="TableText-center"/>
              <w:spacing w:before="0" w:after="0"/>
              <w:rPr>
                <w:sz w:val="18"/>
              </w:rPr>
            </w:pPr>
            <w:r w:rsidRPr="008D54A5">
              <w:rPr>
                <w:sz w:val="18"/>
              </w:rPr>
              <w:t>6, 7, 8, 9</w:t>
            </w:r>
          </w:p>
        </w:tc>
        <w:tc>
          <w:tcPr>
            <w:tcW w:w="2611" w:type="pct"/>
          </w:tcPr>
          <w:p w14:paraId="712A56AC" w14:textId="77777777" w:rsidR="008D18EC" w:rsidRPr="008D54A5" w:rsidRDefault="00BC2ED3" w:rsidP="00356CD1">
            <w:pPr>
              <w:pStyle w:val="TableText"/>
              <w:spacing w:before="0" w:after="0"/>
              <w:rPr>
                <w:sz w:val="18"/>
                <w:szCs w:val="18"/>
              </w:rPr>
            </w:pPr>
            <w:r w:rsidRPr="008D54A5">
              <w:rPr>
                <w:sz w:val="18"/>
                <w:szCs w:val="18"/>
              </w:rPr>
              <w:t>ROLLUP_MPSID7</w:t>
            </w:r>
          </w:p>
        </w:tc>
      </w:tr>
      <w:tr w:rsidR="00D365D9" w:rsidRPr="008D54A5" w14:paraId="42C12DED" w14:textId="77777777" w:rsidTr="00356CD1">
        <w:trPr>
          <w:cantSplit/>
          <w:jc w:val="center"/>
        </w:trPr>
        <w:tc>
          <w:tcPr>
            <w:tcW w:w="2389" w:type="pct"/>
          </w:tcPr>
          <w:p w14:paraId="7FD84032" w14:textId="77777777" w:rsidR="00D365D9" w:rsidRPr="008D54A5" w:rsidRDefault="00D365D9" w:rsidP="00356CD1">
            <w:pPr>
              <w:pStyle w:val="TableText-center"/>
              <w:spacing w:before="0" w:after="0"/>
              <w:rPr>
                <w:sz w:val="18"/>
              </w:rPr>
            </w:pPr>
            <w:r w:rsidRPr="008D54A5">
              <w:rPr>
                <w:sz w:val="18"/>
              </w:rPr>
              <w:t>3, 8, 9</w:t>
            </w:r>
          </w:p>
        </w:tc>
        <w:tc>
          <w:tcPr>
            <w:tcW w:w="2611" w:type="pct"/>
          </w:tcPr>
          <w:p w14:paraId="2623B41B" w14:textId="33780917" w:rsidR="00D365D9" w:rsidRPr="008D54A5" w:rsidRDefault="00D365D9" w:rsidP="00356CD1">
            <w:pPr>
              <w:pStyle w:val="TableText"/>
              <w:spacing w:before="0" w:after="0"/>
              <w:rPr>
                <w:sz w:val="18"/>
                <w:szCs w:val="18"/>
              </w:rPr>
            </w:pPr>
            <w:r w:rsidRPr="008D54A5">
              <w:rPr>
                <w:sz w:val="18"/>
                <w:szCs w:val="18"/>
              </w:rPr>
              <w:t>ROLLUP_MPSID</w:t>
            </w:r>
            <w:r w:rsidR="00586402" w:rsidRPr="008D54A5">
              <w:rPr>
                <w:sz w:val="18"/>
                <w:szCs w:val="18"/>
              </w:rPr>
              <w:t>3</w:t>
            </w:r>
          </w:p>
        </w:tc>
      </w:tr>
      <w:tr w:rsidR="00586402" w:rsidRPr="008D54A5" w14:paraId="7024A469" w14:textId="77777777" w:rsidTr="00356CD1">
        <w:trPr>
          <w:cantSplit/>
          <w:jc w:val="center"/>
        </w:trPr>
        <w:tc>
          <w:tcPr>
            <w:tcW w:w="2389" w:type="pct"/>
          </w:tcPr>
          <w:p w14:paraId="156734AA" w14:textId="3789D937" w:rsidR="00586402" w:rsidRPr="008D54A5" w:rsidRDefault="00586402" w:rsidP="00356CD1">
            <w:pPr>
              <w:pStyle w:val="TableText-center"/>
              <w:spacing w:before="0" w:after="0"/>
              <w:rPr>
                <w:sz w:val="18"/>
              </w:rPr>
            </w:pPr>
            <w:r w:rsidRPr="008D54A5">
              <w:rPr>
                <w:sz w:val="18"/>
              </w:rPr>
              <w:t>4, 7, 8, 9</w:t>
            </w:r>
          </w:p>
        </w:tc>
        <w:tc>
          <w:tcPr>
            <w:tcW w:w="2611" w:type="pct"/>
          </w:tcPr>
          <w:p w14:paraId="335C1F2C" w14:textId="325D640A" w:rsidR="00586402" w:rsidRPr="008D54A5" w:rsidRDefault="00586402" w:rsidP="00356CD1">
            <w:pPr>
              <w:pStyle w:val="TableText"/>
              <w:spacing w:before="0" w:after="0"/>
              <w:rPr>
                <w:sz w:val="18"/>
                <w:szCs w:val="18"/>
              </w:rPr>
            </w:pPr>
            <w:r w:rsidRPr="008D54A5">
              <w:rPr>
                <w:sz w:val="18"/>
                <w:szCs w:val="18"/>
              </w:rPr>
              <w:t>ROLLUP_MPSID7</w:t>
            </w:r>
          </w:p>
        </w:tc>
      </w:tr>
      <w:tr w:rsidR="00586402" w:rsidRPr="008D54A5" w14:paraId="7BA506D5" w14:textId="77777777" w:rsidTr="00356CD1">
        <w:trPr>
          <w:cantSplit/>
          <w:jc w:val="center"/>
        </w:trPr>
        <w:tc>
          <w:tcPr>
            <w:tcW w:w="2389" w:type="pct"/>
          </w:tcPr>
          <w:p w14:paraId="07C9FBA3" w14:textId="3E5EF690" w:rsidR="00586402" w:rsidRPr="008D54A5" w:rsidRDefault="00586402" w:rsidP="00356CD1">
            <w:pPr>
              <w:pStyle w:val="TableText-center"/>
              <w:spacing w:before="0" w:after="0"/>
              <w:rPr>
                <w:sz w:val="18"/>
              </w:rPr>
            </w:pPr>
            <w:r w:rsidRPr="008D54A5">
              <w:rPr>
                <w:sz w:val="18"/>
              </w:rPr>
              <w:t>1, 2</w:t>
            </w:r>
          </w:p>
        </w:tc>
        <w:tc>
          <w:tcPr>
            <w:tcW w:w="2611" w:type="pct"/>
          </w:tcPr>
          <w:p w14:paraId="6AC75216" w14:textId="43D39665" w:rsidR="00586402" w:rsidRPr="008D54A5" w:rsidRDefault="00586402" w:rsidP="00356CD1">
            <w:pPr>
              <w:pStyle w:val="TableText"/>
              <w:spacing w:before="0" w:after="0"/>
              <w:rPr>
                <w:sz w:val="18"/>
                <w:szCs w:val="18"/>
              </w:rPr>
            </w:pPr>
            <w:r w:rsidRPr="008D54A5">
              <w:rPr>
                <w:sz w:val="18"/>
                <w:szCs w:val="18"/>
              </w:rPr>
              <w:t>ROLLUP_MPSID1</w:t>
            </w:r>
          </w:p>
        </w:tc>
      </w:tr>
      <w:tr w:rsidR="00586402" w:rsidRPr="008D54A5" w14:paraId="1C5BE734" w14:textId="77777777" w:rsidTr="00356CD1">
        <w:trPr>
          <w:cantSplit/>
          <w:jc w:val="center"/>
        </w:trPr>
        <w:tc>
          <w:tcPr>
            <w:tcW w:w="2389" w:type="pct"/>
          </w:tcPr>
          <w:p w14:paraId="19564DE9" w14:textId="2DA34D8B" w:rsidR="00586402" w:rsidRPr="008D54A5" w:rsidRDefault="00586402" w:rsidP="00356CD1">
            <w:pPr>
              <w:pStyle w:val="TableText-center"/>
              <w:spacing w:before="0" w:after="0"/>
              <w:rPr>
                <w:sz w:val="18"/>
              </w:rPr>
            </w:pPr>
            <w:r w:rsidRPr="008D54A5">
              <w:rPr>
                <w:sz w:val="18"/>
              </w:rPr>
              <w:t>6, 7, 9</w:t>
            </w:r>
          </w:p>
        </w:tc>
        <w:tc>
          <w:tcPr>
            <w:tcW w:w="2611" w:type="pct"/>
          </w:tcPr>
          <w:p w14:paraId="1EF79D57" w14:textId="273D7FF7" w:rsidR="00586402" w:rsidRPr="008D54A5" w:rsidRDefault="00586402" w:rsidP="00356CD1">
            <w:pPr>
              <w:pStyle w:val="TableText"/>
              <w:spacing w:before="0" w:after="0"/>
              <w:rPr>
                <w:sz w:val="18"/>
                <w:szCs w:val="18"/>
              </w:rPr>
            </w:pPr>
            <w:r w:rsidRPr="008D54A5">
              <w:rPr>
                <w:sz w:val="18"/>
                <w:szCs w:val="18"/>
              </w:rPr>
              <w:t>ROLLUP_MPSID6</w:t>
            </w:r>
          </w:p>
        </w:tc>
      </w:tr>
      <w:tr w:rsidR="00586402" w:rsidRPr="008D54A5" w14:paraId="36CA3021" w14:textId="77777777" w:rsidTr="00356CD1">
        <w:trPr>
          <w:cantSplit/>
          <w:jc w:val="center"/>
        </w:trPr>
        <w:tc>
          <w:tcPr>
            <w:tcW w:w="2389" w:type="pct"/>
          </w:tcPr>
          <w:p w14:paraId="115125A8" w14:textId="6CE2A60F" w:rsidR="00586402" w:rsidRPr="008D54A5" w:rsidRDefault="00586402" w:rsidP="00356CD1">
            <w:pPr>
              <w:pStyle w:val="TableText-center"/>
              <w:spacing w:before="0" w:after="0"/>
              <w:rPr>
                <w:sz w:val="18"/>
              </w:rPr>
            </w:pPr>
            <w:r w:rsidRPr="008D54A5">
              <w:rPr>
                <w:sz w:val="18"/>
              </w:rPr>
              <w:t>6, 9</w:t>
            </w:r>
          </w:p>
        </w:tc>
        <w:tc>
          <w:tcPr>
            <w:tcW w:w="2611" w:type="pct"/>
          </w:tcPr>
          <w:p w14:paraId="711E69B5" w14:textId="7D62EBA9" w:rsidR="00586402" w:rsidRPr="008D54A5" w:rsidRDefault="00586402" w:rsidP="00356CD1">
            <w:pPr>
              <w:pStyle w:val="TableText"/>
              <w:spacing w:before="0" w:after="0"/>
              <w:rPr>
                <w:sz w:val="18"/>
                <w:szCs w:val="18"/>
              </w:rPr>
            </w:pPr>
            <w:r w:rsidRPr="008D54A5">
              <w:rPr>
                <w:sz w:val="18"/>
                <w:szCs w:val="18"/>
              </w:rPr>
              <w:t>ROLLUP_MPSID6</w:t>
            </w:r>
          </w:p>
        </w:tc>
      </w:tr>
    </w:tbl>
    <w:p w14:paraId="1854C701" w14:textId="3331FBB4" w:rsidR="00094C4E" w:rsidRPr="008D54A5" w:rsidRDefault="00094C4E" w:rsidP="00950102">
      <w:pPr>
        <w:pStyle w:val="Source-9-1"/>
      </w:pPr>
      <w:r w:rsidRPr="008D54A5">
        <w:t xml:space="preserve">Source: </w:t>
      </w:r>
      <w:proofErr w:type="gramStart"/>
      <w:r w:rsidR="002B2330" w:rsidRPr="008D54A5">
        <w:t>202</w:t>
      </w:r>
      <w:r w:rsidR="00894F5C" w:rsidRPr="008D54A5">
        <w:t xml:space="preserve">2 </w:t>
      </w:r>
      <w:r w:rsidRPr="008D54A5">
        <w:t xml:space="preserve"> Medical</w:t>
      </w:r>
      <w:proofErr w:type="gramEnd"/>
      <w:r w:rsidRPr="008D54A5">
        <w:t xml:space="preserve"> Expenditure Panel Survey – Medical Provider Component.</w:t>
      </w:r>
    </w:p>
    <w:p w14:paraId="080BA6D5" w14:textId="414D106D" w:rsidR="00DF67B5" w:rsidRPr="008D54A5" w:rsidRDefault="00C20D7F" w:rsidP="00950102">
      <w:pPr>
        <w:pStyle w:val="Source-9-1"/>
      </w:pPr>
      <w:r w:rsidRPr="008D54A5">
        <w:t>Note: Rollup group number descriptions are show</w:t>
      </w:r>
      <w:r w:rsidR="00F42535" w:rsidRPr="008D54A5">
        <w:t>n</w:t>
      </w:r>
      <w:r w:rsidRPr="008D54A5">
        <w:t xml:space="preserve"> in </w:t>
      </w:r>
      <w:r w:rsidR="00356CD1" w:rsidRPr="00404E1F">
        <w:rPr>
          <w:b/>
          <w:bCs/>
        </w:rPr>
        <w:t>Exhibit </w:t>
      </w:r>
      <w:r w:rsidRPr="008D54A5">
        <w:rPr>
          <w:b/>
          <w:bCs/>
        </w:rPr>
        <w:t>6.1</w:t>
      </w:r>
      <w:r w:rsidRPr="008D54A5">
        <w:t>.</w:t>
      </w:r>
    </w:p>
    <w:p w14:paraId="1C07F807" w14:textId="77777777" w:rsidR="00356CD1" w:rsidRPr="008D54A5" w:rsidRDefault="00356CD1" w:rsidP="00950102">
      <w:pPr>
        <w:pStyle w:val="Source-9-1"/>
        <w:sectPr w:rsidR="00356CD1" w:rsidRPr="008D54A5" w:rsidSect="00356CD1">
          <w:type w:val="continuous"/>
          <w:pgSz w:w="12240" w:h="15840"/>
          <w:pgMar w:top="1440" w:right="1440" w:bottom="1440" w:left="1440" w:header="720" w:footer="720" w:gutter="0"/>
          <w:cols w:num="2" w:space="432"/>
          <w:docGrid w:linePitch="360"/>
        </w:sectPr>
      </w:pPr>
    </w:p>
    <w:p w14:paraId="74C7E416" w14:textId="77777777" w:rsidR="006B30EC" w:rsidRPr="008D54A5" w:rsidRDefault="006B30EC" w:rsidP="00950102">
      <w:pPr>
        <w:pStyle w:val="Source-9-1"/>
      </w:pPr>
    </w:p>
    <w:p w14:paraId="420BE2AA" w14:textId="165EA5EB" w:rsidR="00DC7DA0" w:rsidRPr="008D54A5" w:rsidRDefault="00356CD1" w:rsidP="00245172">
      <w:pPr>
        <w:pStyle w:val="BodyText2"/>
      </w:pPr>
      <w:r w:rsidRPr="00404E1F">
        <w:rPr>
          <w:b/>
        </w:rPr>
        <w:t>Exhibit </w:t>
      </w:r>
      <w:r w:rsidR="00DC7DA0" w:rsidRPr="008D54A5">
        <w:rPr>
          <w:b/>
        </w:rPr>
        <w:t>6.3</w:t>
      </w:r>
      <w:r w:rsidR="00DC7DA0" w:rsidRPr="008D54A5">
        <w:t xml:space="preserve"> provides an example (using dummy </w:t>
      </w:r>
      <w:r w:rsidR="00C42D3B" w:rsidRPr="008D54A5">
        <w:t>ID</w:t>
      </w:r>
      <w:r w:rsidR="00DC7DA0" w:rsidRPr="008D54A5">
        <w:t xml:space="preserve"> variables) of how this hierarchy works. Rollup group 4 consists of </w:t>
      </w:r>
      <w:r w:rsidR="006F7901" w:rsidRPr="008D54A5">
        <w:t>an MV</w:t>
      </w:r>
      <w:r w:rsidR="00DC7DA0" w:rsidRPr="008D54A5">
        <w:t xml:space="preserve"> with MPSID=4587 and an </w:t>
      </w:r>
      <w:r w:rsidR="006F7901" w:rsidRPr="008D54A5">
        <w:t xml:space="preserve">OP </w:t>
      </w:r>
      <w:r w:rsidR="00E764AA" w:rsidRPr="008D54A5">
        <w:t>event with MPSID=4214; the value of ROLLUP_MPSID4 is 4214.</w:t>
      </w:r>
      <w:r w:rsidRPr="008D54A5">
        <w:t xml:space="preserve"> </w:t>
      </w:r>
      <w:r w:rsidR="00E764AA" w:rsidRPr="008D54A5">
        <w:t xml:space="preserve">Rollup group 7 consists of the same </w:t>
      </w:r>
      <w:r w:rsidR="006F7901" w:rsidRPr="008D54A5">
        <w:t xml:space="preserve">OP </w:t>
      </w:r>
      <w:r w:rsidR="00E764AA" w:rsidRPr="008D54A5">
        <w:t>event with MPSID=4214 and an inpatient event with MPSID=5208; the value of ROLLUP_MPSID7 is 5208.</w:t>
      </w:r>
      <w:r w:rsidRPr="008D54A5">
        <w:t xml:space="preserve"> </w:t>
      </w:r>
      <w:r w:rsidR="00E764AA" w:rsidRPr="008D54A5">
        <w:t xml:space="preserve">Rollup groups 4 and 7 form a compound rollup group because the same </w:t>
      </w:r>
      <w:r w:rsidR="006F7901" w:rsidRPr="008D54A5">
        <w:t xml:space="preserve">OP </w:t>
      </w:r>
      <w:r w:rsidR="00E764AA" w:rsidRPr="008D54A5">
        <w:t xml:space="preserve">event is in both. MPSIDOLD is assigned the value in ROLLUP_MPSID7 (which contains the inpatient stay) and MPSIDRLL takes the same value. </w:t>
      </w:r>
    </w:p>
    <w:p w14:paraId="5D0370D1" w14:textId="21F012C0" w:rsidR="00DF67B5" w:rsidRPr="008D54A5" w:rsidRDefault="00356CD1" w:rsidP="00FD4A4F">
      <w:pPr>
        <w:pStyle w:val="ExhibitTitle"/>
      </w:pPr>
      <w:bookmarkStart w:id="216" w:name="_Toc128574193"/>
      <w:bookmarkStart w:id="217" w:name="_Toc188622350"/>
      <w:r w:rsidRPr="00404E1F">
        <w:t>Exhibit </w:t>
      </w:r>
      <w:r w:rsidR="000F4D1A" w:rsidRPr="008D54A5">
        <w:rPr>
          <w:noProof/>
        </w:rPr>
        <w:fldChar w:fldCharType="begin"/>
      </w:r>
      <w:r w:rsidR="000F4D1A" w:rsidRPr="008D54A5">
        <w:rPr>
          <w:noProof/>
        </w:rPr>
        <w:instrText xml:space="preserve"> STYLEREF 1 \s </w:instrText>
      </w:r>
      <w:r w:rsidR="000F4D1A" w:rsidRPr="008D54A5">
        <w:rPr>
          <w:noProof/>
        </w:rPr>
        <w:fldChar w:fldCharType="separate"/>
      </w:r>
      <w:r w:rsidR="00EC2444" w:rsidRPr="008D54A5">
        <w:rPr>
          <w:noProof/>
        </w:rPr>
        <w:t>6</w:t>
      </w:r>
      <w:r w:rsidR="000F4D1A" w:rsidRPr="008D54A5">
        <w:rPr>
          <w:noProof/>
        </w:rPr>
        <w:fldChar w:fldCharType="end"/>
      </w:r>
      <w:r w:rsidR="00DC58AB" w:rsidRPr="008D54A5">
        <w:t>.</w:t>
      </w:r>
      <w:r w:rsidR="000F4D1A" w:rsidRPr="008D54A5">
        <w:rPr>
          <w:noProof/>
        </w:rPr>
        <w:fldChar w:fldCharType="begin"/>
      </w:r>
      <w:r w:rsidR="000F4D1A" w:rsidRPr="008D54A5">
        <w:rPr>
          <w:noProof/>
        </w:rPr>
        <w:instrText xml:space="preserve"> SEQ Exhibit \* ARABIC \s 1 </w:instrText>
      </w:r>
      <w:r w:rsidR="000F4D1A" w:rsidRPr="008D54A5">
        <w:rPr>
          <w:noProof/>
        </w:rPr>
        <w:fldChar w:fldCharType="separate"/>
      </w:r>
      <w:r w:rsidR="00EC2444" w:rsidRPr="008D54A5">
        <w:rPr>
          <w:noProof/>
        </w:rPr>
        <w:t>3</w:t>
      </w:r>
      <w:r w:rsidR="000F4D1A" w:rsidRPr="008D54A5">
        <w:rPr>
          <w:noProof/>
        </w:rPr>
        <w:fldChar w:fldCharType="end"/>
      </w:r>
      <w:r w:rsidR="00DC58AB" w:rsidRPr="008D54A5">
        <w:tab/>
      </w:r>
      <w:r w:rsidR="00D04DB1" w:rsidRPr="008D54A5">
        <w:t>Example of R</w:t>
      </w:r>
      <w:r w:rsidR="00DF67B5" w:rsidRPr="008D54A5">
        <w:t xml:space="preserve">ollup </w:t>
      </w:r>
      <w:r w:rsidR="00D04DB1" w:rsidRPr="008D54A5">
        <w:t xml:space="preserve">Group Where Event Is a Child </w:t>
      </w:r>
      <w:r w:rsidR="00632BAC" w:rsidRPr="008D54A5">
        <w:t>in</w:t>
      </w:r>
      <w:r w:rsidR="00D04DB1" w:rsidRPr="008D54A5">
        <w:t xml:space="preserve"> More Than One Rollup Group</w:t>
      </w:r>
      <w:bookmarkEnd w:id="216"/>
      <w:bookmarkEnd w:id="217"/>
    </w:p>
    <w:tbl>
      <w:tblPr>
        <w:tblStyle w:val="TableGrid"/>
        <w:tblW w:w="5000" w:type="pct"/>
        <w:tblLook w:val="04A0" w:firstRow="1" w:lastRow="0" w:firstColumn="1" w:lastColumn="0" w:noHBand="0" w:noVBand="1"/>
      </w:tblPr>
      <w:tblGrid>
        <w:gridCol w:w="2653"/>
        <w:gridCol w:w="3295"/>
        <w:gridCol w:w="1659"/>
        <w:gridCol w:w="1743"/>
      </w:tblGrid>
      <w:tr w:rsidR="00DF67B5" w:rsidRPr="008D54A5" w14:paraId="7E30049F" w14:textId="77777777" w:rsidTr="00356CD1">
        <w:trPr>
          <w:cnfStyle w:val="100000000000" w:firstRow="1" w:lastRow="0" w:firstColumn="0" w:lastColumn="0" w:oddVBand="0" w:evenVBand="0" w:oddHBand="0" w:evenHBand="0" w:firstRowFirstColumn="0" w:firstRowLastColumn="0" w:lastRowFirstColumn="0" w:lastRowLastColumn="0"/>
          <w:trHeight w:val="274"/>
        </w:trPr>
        <w:tc>
          <w:tcPr>
            <w:tcW w:w="1418" w:type="pct"/>
          </w:tcPr>
          <w:p w14:paraId="680BF2B1" w14:textId="7784B761" w:rsidR="00DF67B5" w:rsidRPr="008D54A5" w:rsidRDefault="002D6918" w:rsidP="00356CD1">
            <w:pPr>
              <w:pStyle w:val="TableHeading"/>
            </w:pPr>
            <w:r w:rsidRPr="008D54A5">
              <w:t>Rollup C</w:t>
            </w:r>
            <w:r w:rsidR="00DF67B5" w:rsidRPr="008D54A5">
              <w:t>ombination</w:t>
            </w:r>
          </w:p>
        </w:tc>
        <w:tc>
          <w:tcPr>
            <w:tcW w:w="1762" w:type="pct"/>
          </w:tcPr>
          <w:p w14:paraId="2D6A584D" w14:textId="77777777" w:rsidR="00DF67B5" w:rsidRPr="008D54A5" w:rsidRDefault="00DC7DA0" w:rsidP="00356CD1">
            <w:pPr>
              <w:pStyle w:val="TableHeading"/>
            </w:pPr>
            <w:r w:rsidRPr="008D54A5">
              <w:t>ROLLUP_</w:t>
            </w:r>
            <w:r w:rsidR="00DF67B5" w:rsidRPr="008D54A5">
              <w:t>MPSID</w:t>
            </w:r>
          </w:p>
        </w:tc>
        <w:tc>
          <w:tcPr>
            <w:tcW w:w="887" w:type="pct"/>
          </w:tcPr>
          <w:p w14:paraId="63CA604E" w14:textId="77777777" w:rsidR="00DF67B5" w:rsidRPr="008D54A5" w:rsidRDefault="00DF67B5" w:rsidP="00356CD1">
            <w:pPr>
              <w:pStyle w:val="TableHeading"/>
            </w:pPr>
            <w:r w:rsidRPr="008D54A5">
              <w:t>MPSIDOLD</w:t>
            </w:r>
          </w:p>
        </w:tc>
        <w:tc>
          <w:tcPr>
            <w:tcW w:w="932" w:type="pct"/>
          </w:tcPr>
          <w:p w14:paraId="65DD8479" w14:textId="77777777" w:rsidR="00DF67B5" w:rsidRPr="008D54A5" w:rsidRDefault="00DF67B5" w:rsidP="00356CD1">
            <w:pPr>
              <w:pStyle w:val="TableHeading"/>
            </w:pPr>
            <w:r w:rsidRPr="008D54A5">
              <w:t>MPSIDRLL</w:t>
            </w:r>
          </w:p>
        </w:tc>
      </w:tr>
      <w:tr w:rsidR="00DF67B5" w:rsidRPr="008D54A5" w14:paraId="1B68B1E4" w14:textId="77777777" w:rsidTr="00356CD1">
        <w:tc>
          <w:tcPr>
            <w:tcW w:w="1418" w:type="pct"/>
          </w:tcPr>
          <w:p w14:paraId="132E52D5" w14:textId="77777777" w:rsidR="00DF67B5" w:rsidRPr="008D54A5" w:rsidRDefault="00DF67B5" w:rsidP="00356CD1">
            <w:pPr>
              <w:pStyle w:val="TableText"/>
            </w:pPr>
            <w:r w:rsidRPr="008D54A5">
              <w:t>Rollup 4 and 7</w:t>
            </w:r>
          </w:p>
        </w:tc>
        <w:tc>
          <w:tcPr>
            <w:tcW w:w="1762" w:type="pct"/>
          </w:tcPr>
          <w:p w14:paraId="732C6DA6" w14:textId="77777777" w:rsidR="00DF67B5" w:rsidRPr="008D54A5" w:rsidRDefault="00DC7DA0" w:rsidP="00356CD1">
            <w:pPr>
              <w:pStyle w:val="TableText"/>
            </w:pPr>
            <w:r w:rsidRPr="008D54A5">
              <w:t>ROLLUP_MPSID7=5208</w:t>
            </w:r>
          </w:p>
          <w:p w14:paraId="0A7762F5" w14:textId="77777777" w:rsidR="00DC7DA0" w:rsidRPr="008D54A5" w:rsidRDefault="00DC7DA0" w:rsidP="00356CD1">
            <w:pPr>
              <w:pStyle w:val="TableText"/>
            </w:pPr>
            <w:r w:rsidRPr="008D54A5">
              <w:t>ROLLUP_MPSID4=4214</w:t>
            </w:r>
          </w:p>
        </w:tc>
        <w:tc>
          <w:tcPr>
            <w:tcW w:w="887" w:type="pct"/>
          </w:tcPr>
          <w:p w14:paraId="211C08FA" w14:textId="77777777" w:rsidR="00DF67B5" w:rsidRPr="008D54A5" w:rsidRDefault="00DF67B5" w:rsidP="00356CD1">
            <w:pPr>
              <w:pStyle w:val="TableText-center"/>
            </w:pPr>
            <w:r w:rsidRPr="008D54A5">
              <w:t>5208</w:t>
            </w:r>
          </w:p>
        </w:tc>
        <w:tc>
          <w:tcPr>
            <w:tcW w:w="932" w:type="pct"/>
          </w:tcPr>
          <w:p w14:paraId="4B912C98" w14:textId="77777777" w:rsidR="00DF67B5" w:rsidRPr="008D54A5" w:rsidRDefault="00DF67B5" w:rsidP="00356CD1">
            <w:pPr>
              <w:pStyle w:val="TableText-center"/>
            </w:pPr>
            <w:r w:rsidRPr="008D54A5">
              <w:t>5208</w:t>
            </w:r>
          </w:p>
        </w:tc>
      </w:tr>
      <w:tr w:rsidR="00DF67B5" w:rsidRPr="008D54A5" w14:paraId="3ECB07E2" w14:textId="77777777" w:rsidTr="00356CD1">
        <w:tc>
          <w:tcPr>
            <w:tcW w:w="1418" w:type="pct"/>
          </w:tcPr>
          <w:p w14:paraId="1A7D362C" w14:textId="77777777" w:rsidR="00DF67B5" w:rsidRPr="008D54A5" w:rsidRDefault="00DF67B5" w:rsidP="00356CD1">
            <w:pPr>
              <w:pStyle w:val="TableText"/>
            </w:pPr>
            <w:r w:rsidRPr="008D54A5">
              <w:t>Rollup 7</w:t>
            </w:r>
          </w:p>
        </w:tc>
        <w:tc>
          <w:tcPr>
            <w:tcW w:w="1762" w:type="pct"/>
          </w:tcPr>
          <w:p w14:paraId="5093EE41" w14:textId="77777777" w:rsidR="00DF67B5" w:rsidRPr="008D54A5" w:rsidRDefault="00DC7DA0" w:rsidP="00356CD1">
            <w:pPr>
              <w:pStyle w:val="TableText"/>
            </w:pPr>
            <w:r w:rsidRPr="008D54A5">
              <w:t>ROLLUP_MPSID7=</w:t>
            </w:r>
            <w:r w:rsidR="00DF67B5" w:rsidRPr="008D54A5">
              <w:t>5208</w:t>
            </w:r>
          </w:p>
        </w:tc>
        <w:tc>
          <w:tcPr>
            <w:tcW w:w="887" w:type="pct"/>
          </w:tcPr>
          <w:p w14:paraId="56281D43" w14:textId="77777777" w:rsidR="00DF67B5" w:rsidRPr="008D54A5" w:rsidRDefault="00DF67B5" w:rsidP="00356CD1">
            <w:pPr>
              <w:pStyle w:val="TableText-center"/>
            </w:pPr>
            <w:r w:rsidRPr="008D54A5">
              <w:t>5208</w:t>
            </w:r>
          </w:p>
        </w:tc>
        <w:tc>
          <w:tcPr>
            <w:tcW w:w="932" w:type="pct"/>
          </w:tcPr>
          <w:p w14:paraId="5BF77186" w14:textId="77777777" w:rsidR="00DF67B5" w:rsidRPr="008D54A5" w:rsidRDefault="00DF67B5" w:rsidP="00356CD1">
            <w:pPr>
              <w:pStyle w:val="TableText-center"/>
            </w:pPr>
            <w:r w:rsidRPr="008D54A5">
              <w:t>5208</w:t>
            </w:r>
          </w:p>
        </w:tc>
      </w:tr>
      <w:tr w:rsidR="00DF67B5" w:rsidRPr="008D54A5" w14:paraId="734B9AB2" w14:textId="77777777" w:rsidTr="00356CD1">
        <w:tc>
          <w:tcPr>
            <w:tcW w:w="1418" w:type="pct"/>
          </w:tcPr>
          <w:p w14:paraId="0DFA39A7" w14:textId="77777777" w:rsidR="00DF67B5" w:rsidRPr="008D54A5" w:rsidRDefault="00DF67B5" w:rsidP="00356CD1">
            <w:pPr>
              <w:pStyle w:val="TableText"/>
            </w:pPr>
            <w:r w:rsidRPr="008D54A5">
              <w:t>Rollup 4</w:t>
            </w:r>
          </w:p>
        </w:tc>
        <w:tc>
          <w:tcPr>
            <w:tcW w:w="1762" w:type="pct"/>
          </w:tcPr>
          <w:p w14:paraId="53827942" w14:textId="77777777" w:rsidR="00DF67B5" w:rsidRPr="008D54A5" w:rsidRDefault="00DC7DA0" w:rsidP="00356CD1">
            <w:pPr>
              <w:pStyle w:val="TableText"/>
            </w:pPr>
            <w:r w:rsidRPr="008D54A5">
              <w:t>ROLLUP_MPSID4=</w:t>
            </w:r>
            <w:r w:rsidR="00DF67B5" w:rsidRPr="008D54A5">
              <w:t>4214</w:t>
            </w:r>
          </w:p>
        </w:tc>
        <w:tc>
          <w:tcPr>
            <w:tcW w:w="887" w:type="pct"/>
          </w:tcPr>
          <w:p w14:paraId="4F72BEA7" w14:textId="77777777" w:rsidR="00DF67B5" w:rsidRPr="008D54A5" w:rsidRDefault="00DF67B5" w:rsidP="00356CD1">
            <w:pPr>
              <w:pStyle w:val="TableText-center"/>
            </w:pPr>
            <w:r w:rsidRPr="008D54A5">
              <w:t>5208</w:t>
            </w:r>
          </w:p>
        </w:tc>
        <w:tc>
          <w:tcPr>
            <w:tcW w:w="932" w:type="pct"/>
          </w:tcPr>
          <w:p w14:paraId="0008F92B" w14:textId="77777777" w:rsidR="00DF67B5" w:rsidRPr="008D54A5" w:rsidRDefault="00DF67B5" w:rsidP="00356CD1">
            <w:pPr>
              <w:pStyle w:val="TableText-center"/>
            </w:pPr>
            <w:r w:rsidRPr="008D54A5">
              <w:t>5208</w:t>
            </w:r>
          </w:p>
        </w:tc>
      </w:tr>
    </w:tbl>
    <w:p w14:paraId="46F541DA" w14:textId="1F91F2DF" w:rsidR="00094C4E" w:rsidRPr="008D54A5" w:rsidRDefault="00094C4E" w:rsidP="007127B0">
      <w:pPr>
        <w:pStyle w:val="Source-9-2"/>
      </w:pPr>
      <w:r w:rsidRPr="008D54A5">
        <w:t xml:space="preserve">Source: </w:t>
      </w:r>
      <w:r w:rsidR="002C5104" w:rsidRPr="008D54A5">
        <w:t>202</w:t>
      </w:r>
      <w:r w:rsidR="00894F5C" w:rsidRPr="008D54A5">
        <w:t>2</w:t>
      </w:r>
      <w:r w:rsidR="002C5104" w:rsidRPr="008D54A5">
        <w:t xml:space="preserve"> </w:t>
      </w:r>
      <w:r w:rsidRPr="008D54A5">
        <w:t>Medical Expenditure Panel Survey – Medical Provider Component.</w:t>
      </w:r>
    </w:p>
    <w:p w14:paraId="14CF5C6B" w14:textId="2208628A" w:rsidR="00772ECB" w:rsidRPr="008D54A5" w:rsidRDefault="00F66AD2" w:rsidP="00DC7DA0">
      <w:pPr>
        <w:pStyle w:val="BodyText"/>
        <w:keepNext/>
      </w:pPr>
      <w:r w:rsidRPr="008D54A5">
        <w:t xml:space="preserve">Another variable, </w:t>
      </w:r>
      <w:r w:rsidRPr="00B4238F">
        <w:rPr>
          <w:bCs w:val="0"/>
        </w:rPr>
        <w:t>MPSIDRLL</w:t>
      </w:r>
      <w:r w:rsidRPr="008D54A5">
        <w:t xml:space="preserve">, </w:t>
      </w:r>
      <w:r w:rsidR="00455022" w:rsidRPr="008D54A5">
        <w:t>is</w:t>
      </w:r>
      <w:r w:rsidRPr="008D54A5">
        <w:t xml:space="preserve"> defined for child events and is set to the MPSID of the </w:t>
      </w:r>
      <w:r w:rsidR="00356CD1" w:rsidRPr="008D54A5">
        <w:t>“</w:t>
      </w:r>
      <w:r w:rsidRPr="008D54A5">
        <w:t>ultimate</w:t>
      </w:r>
      <w:r w:rsidR="00356CD1" w:rsidRPr="008D54A5">
        <w:t>”</w:t>
      </w:r>
      <w:r w:rsidRPr="008D54A5">
        <w:t xml:space="preserve"> master event. The ultimate master event </w:t>
      </w:r>
      <w:r w:rsidR="003B0AFE" w:rsidRPr="008D54A5">
        <w:t>considers</w:t>
      </w:r>
      <w:r w:rsidRPr="008D54A5">
        <w:t xml:space="preserve"> the possibility that a child</w:t>
      </w:r>
      <w:r w:rsidR="00356CD1" w:rsidRPr="008D54A5">
        <w:t>’</w:t>
      </w:r>
      <w:r w:rsidR="00772ECB" w:rsidRPr="008D54A5">
        <w:t xml:space="preserve">s master may itself be a child in another rollup </w:t>
      </w:r>
      <w:r w:rsidRPr="008D54A5">
        <w:t xml:space="preserve">group, the master in that group may itself be a child in another group, etc. </w:t>
      </w:r>
      <w:r w:rsidR="00356CD1" w:rsidRPr="00404E1F">
        <w:rPr>
          <w:b/>
          <w:bCs w:val="0"/>
        </w:rPr>
        <w:t>Exhibit </w:t>
      </w:r>
      <w:r w:rsidR="00D365D9" w:rsidRPr="008D54A5">
        <w:rPr>
          <w:b/>
          <w:bCs w:val="0"/>
        </w:rPr>
        <w:t>6.4</w:t>
      </w:r>
      <w:r w:rsidR="002420A5" w:rsidRPr="008D54A5">
        <w:t xml:space="preserve"> </w:t>
      </w:r>
      <w:r w:rsidR="00DC7DA0" w:rsidRPr="008D54A5">
        <w:t>is</w:t>
      </w:r>
      <w:r w:rsidR="002420A5" w:rsidRPr="008D54A5">
        <w:t xml:space="preserve"> an example where the ultimate master event is different from the original event. </w:t>
      </w:r>
    </w:p>
    <w:p w14:paraId="5F4DD061" w14:textId="2AD30D23" w:rsidR="000C5A0B" w:rsidRPr="008D54A5" w:rsidRDefault="00356CD1" w:rsidP="00FD4A4F">
      <w:pPr>
        <w:pStyle w:val="ExhibitTitle"/>
      </w:pPr>
      <w:bookmarkStart w:id="218" w:name="_Toc128574194"/>
      <w:bookmarkStart w:id="219" w:name="_Toc188622351"/>
      <w:r w:rsidRPr="00404E1F">
        <w:t>Exhibit </w:t>
      </w:r>
      <w:r w:rsidR="000F4D1A" w:rsidRPr="008D54A5">
        <w:rPr>
          <w:noProof/>
        </w:rPr>
        <w:fldChar w:fldCharType="begin"/>
      </w:r>
      <w:r w:rsidR="000F4D1A" w:rsidRPr="008D54A5">
        <w:rPr>
          <w:noProof/>
        </w:rPr>
        <w:instrText xml:space="preserve"> STYLEREF 1 \s </w:instrText>
      </w:r>
      <w:r w:rsidR="000F4D1A" w:rsidRPr="008D54A5">
        <w:rPr>
          <w:noProof/>
        </w:rPr>
        <w:fldChar w:fldCharType="separate"/>
      </w:r>
      <w:r w:rsidR="00EC2444" w:rsidRPr="008D54A5">
        <w:rPr>
          <w:noProof/>
        </w:rPr>
        <w:t>6</w:t>
      </w:r>
      <w:r w:rsidR="000F4D1A" w:rsidRPr="008D54A5">
        <w:rPr>
          <w:noProof/>
        </w:rPr>
        <w:fldChar w:fldCharType="end"/>
      </w:r>
      <w:r w:rsidR="00DC58AB" w:rsidRPr="008D54A5">
        <w:t>.</w:t>
      </w:r>
      <w:r w:rsidR="000F4D1A" w:rsidRPr="008D54A5">
        <w:rPr>
          <w:noProof/>
        </w:rPr>
        <w:fldChar w:fldCharType="begin"/>
      </w:r>
      <w:r w:rsidR="000F4D1A" w:rsidRPr="008D54A5">
        <w:rPr>
          <w:noProof/>
        </w:rPr>
        <w:instrText xml:space="preserve"> SEQ Exhibit \* ARABIC \s 1 </w:instrText>
      </w:r>
      <w:r w:rsidR="000F4D1A" w:rsidRPr="008D54A5">
        <w:rPr>
          <w:noProof/>
        </w:rPr>
        <w:fldChar w:fldCharType="separate"/>
      </w:r>
      <w:r w:rsidR="00EC2444" w:rsidRPr="008D54A5">
        <w:rPr>
          <w:noProof/>
        </w:rPr>
        <w:t>4</w:t>
      </w:r>
      <w:r w:rsidR="000F4D1A" w:rsidRPr="008D54A5">
        <w:rPr>
          <w:noProof/>
        </w:rPr>
        <w:fldChar w:fldCharType="end"/>
      </w:r>
      <w:r w:rsidR="00DC58AB" w:rsidRPr="008D54A5">
        <w:tab/>
      </w:r>
      <w:r w:rsidR="000C5A0B" w:rsidRPr="008D54A5">
        <w:t xml:space="preserve">Example of </w:t>
      </w:r>
      <w:r w:rsidR="00AB36E1" w:rsidRPr="008D54A5">
        <w:t>Compound Rollup</w:t>
      </w:r>
      <w:r w:rsidR="00B34845" w:rsidRPr="008D54A5">
        <w:t xml:space="preserve"> Group </w:t>
      </w:r>
      <w:r w:rsidR="006B1C61" w:rsidRPr="008D54A5">
        <w:t>w</w:t>
      </w:r>
      <w:r w:rsidR="00734B66" w:rsidRPr="008D54A5">
        <w:t xml:space="preserve">ith </w:t>
      </w:r>
      <w:r w:rsidR="00B34845" w:rsidRPr="008D54A5">
        <w:t>an Ultimate Master Event Different Than Original Event</w:t>
      </w:r>
      <w:bookmarkEnd w:id="218"/>
      <w:bookmarkEnd w:id="219"/>
    </w:p>
    <w:tbl>
      <w:tblPr>
        <w:tblStyle w:val="TableGrid"/>
        <w:tblW w:w="5000" w:type="pct"/>
        <w:tblLook w:val="04A0" w:firstRow="1" w:lastRow="0" w:firstColumn="1" w:lastColumn="0" w:noHBand="0" w:noVBand="1"/>
      </w:tblPr>
      <w:tblGrid>
        <w:gridCol w:w="1846"/>
        <w:gridCol w:w="1793"/>
        <w:gridCol w:w="2003"/>
        <w:gridCol w:w="1872"/>
        <w:gridCol w:w="1836"/>
      </w:tblGrid>
      <w:tr w:rsidR="00DF67B5" w:rsidRPr="008D54A5" w14:paraId="116A613B" w14:textId="77777777" w:rsidTr="00356CD1">
        <w:trPr>
          <w:cnfStyle w:val="100000000000" w:firstRow="1" w:lastRow="0" w:firstColumn="0" w:lastColumn="0" w:oddVBand="0" w:evenVBand="0" w:oddHBand="0" w:evenHBand="0" w:firstRowFirstColumn="0" w:firstRowLastColumn="0" w:lastRowFirstColumn="0" w:lastRowLastColumn="0"/>
        </w:trPr>
        <w:tc>
          <w:tcPr>
            <w:tcW w:w="987" w:type="pct"/>
          </w:tcPr>
          <w:p w14:paraId="72192FE9" w14:textId="234ABEB9" w:rsidR="00DF67B5" w:rsidRPr="008D54A5" w:rsidRDefault="00DF67B5" w:rsidP="00356CD1">
            <w:pPr>
              <w:pStyle w:val="TableHeading"/>
            </w:pPr>
            <w:bookmarkStart w:id="220" w:name="_Toc400975137"/>
            <w:r w:rsidRPr="008D54A5">
              <w:t>Rollup Type</w:t>
            </w:r>
            <w:bookmarkEnd w:id="220"/>
          </w:p>
        </w:tc>
        <w:tc>
          <w:tcPr>
            <w:tcW w:w="959" w:type="pct"/>
          </w:tcPr>
          <w:p w14:paraId="4B5002F1" w14:textId="77777777" w:rsidR="00DF67B5" w:rsidRPr="008D54A5" w:rsidRDefault="00DF67B5" w:rsidP="00356CD1">
            <w:pPr>
              <w:pStyle w:val="TableHeading"/>
            </w:pPr>
            <w:r w:rsidRPr="008D54A5">
              <w:t>Child Event</w:t>
            </w:r>
          </w:p>
        </w:tc>
        <w:tc>
          <w:tcPr>
            <w:tcW w:w="1071" w:type="pct"/>
          </w:tcPr>
          <w:p w14:paraId="578DB6C9" w14:textId="77777777" w:rsidR="00DF67B5" w:rsidRPr="008D54A5" w:rsidRDefault="00DF67B5" w:rsidP="00356CD1">
            <w:pPr>
              <w:pStyle w:val="TableHeading"/>
            </w:pPr>
            <w:r w:rsidRPr="008D54A5">
              <w:t>Master Event</w:t>
            </w:r>
          </w:p>
        </w:tc>
        <w:tc>
          <w:tcPr>
            <w:tcW w:w="1001" w:type="pct"/>
          </w:tcPr>
          <w:p w14:paraId="72AA11B0" w14:textId="77777777" w:rsidR="00DF67B5" w:rsidRPr="008D54A5" w:rsidRDefault="00DF67B5" w:rsidP="00356CD1">
            <w:pPr>
              <w:pStyle w:val="TableHeading"/>
            </w:pPr>
            <w:r w:rsidRPr="008D54A5">
              <w:t>MPSIDOLD</w:t>
            </w:r>
          </w:p>
        </w:tc>
        <w:tc>
          <w:tcPr>
            <w:tcW w:w="982" w:type="pct"/>
          </w:tcPr>
          <w:p w14:paraId="01757085" w14:textId="77777777" w:rsidR="00DF67B5" w:rsidRPr="008D54A5" w:rsidRDefault="00DF67B5" w:rsidP="00356CD1">
            <w:pPr>
              <w:pStyle w:val="TableHeading"/>
            </w:pPr>
            <w:r w:rsidRPr="008D54A5">
              <w:t>MPSIDRLL</w:t>
            </w:r>
          </w:p>
        </w:tc>
      </w:tr>
      <w:tr w:rsidR="00DF67B5" w:rsidRPr="008D54A5" w14:paraId="49EAE021" w14:textId="77777777" w:rsidTr="00356CD1">
        <w:tc>
          <w:tcPr>
            <w:tcW w:w="987" w:type="pct"/>
          </w:tcPr>
          <w:p w14:paraId="3920CFC7" w14:textId="77777777" w:rsidR="00DF67B5" w:rsidRPr="008D54A5" w:rsidRDefault="00DF67B5" w:rsidP="00356CD1">
            <w:pPr>
              <w:pStyle w:val="TableText-center"/>
            </w:pPr>
            <w:r w:rsidRPr="008D54A5">
              <w:t>3</w:t>
            </w:r>
          </w:p>
        </w:tc>
        <w:tc>
          <w:tcPr>
            <w:tcW w:w="959" w:type="pct"/>
          </w:tcPr>
          <w:p w14:paraId="3ACFE53D" w14:textId="77777777" w:rsidR="00DF67B5" w:rsidRPr="008D54A5" w:rsidRDefault="00DF67B5" w:rsidP="00356CD1">
            <w:pPr>
              <w:pStyle w:val="TableText-center"/>
            </w:pPr>
            <w:r w:rsidRPr="008D54A5">
              <w:t>A</w:t>
            </w:r>
          </w:p>
        </w:tc>
        <w:tc>
          <w:tcPr>
            <w:tcW w:w="1071" w:type="pct"/>
          </w:tcPr>
          <w:p w14:paraId="549A3285" w14:textId="77777777" w:rsidR="00DF67B5" w:rsidRPr="008D54A5" w:rsidRDefault="00DF67B5" w:rsidP="00356CD1">
            <w:pPr>
              <w:pStyle w:val="TableText-center"/>
            </w:pPr>
            <w:r w:rsidRPr="008D54A5">
              <w:t>B</w:t>
            </w:r>
          </w:p>
        </w:tc>
        <w:tc>
          <w:tcPr>
            <w:tcW w:w="1001" w:type="pct"/>
          </w:tcPr>
          <w:p w14:paraId="3A90FE98" w14:textId="77777777" w:rsidR="00DF67B5" w:rsidRPr="008D54A5" w:rsidRDefault="00DF67B5" w:rsidP="00356CD1">
            <w:pPr>
              <w:pStyle w:val="TableText-center"/>
            </w:pPr>
            <w:r w:rsidRPr="008D54A5">
              <w:t>B</w:t>
            </w:r>
          </w:p>
        </w:tc>
        <w:tc>
          <w:tcPr>
            <w:tcW w:w="982" w:type="pct"/>
          </w:tcPr>
          <w:p w14:paraId="6783E4BC" w14:textId="77777777" w:rsidR="00DF67B5" w:rsidRPr="008D54A5" w:rsidRDefault="00DF67B5" w:rsidP="00356CD1">
            <w:pPr>
              <w:pStyle w:val="TableText-center"/>
            </w:pPr>
            <w:r w:rsidRPr="008D54A5">
              <w:t>D</w:t>
            </w:r>
          </w:p>
        </w:tc>
      </w:tr>
      <w:tr w:rsidR="00DF67B5" w:rsidRPr="008D54A5" w14:paraId="63A9D205" w14:textId="77777777" w:rsidTr="00356CD1">
        <w:tc>
          <w:tcPr>
            <w:tcW w:w="987" w:type="pct"/>
          </w:tcPr>
          <w:p w14:paraId="52A5380A" w14:textId="77777777" w:rsidR="00DF67B5" w:rsidRPr="008D54A5" w:rsidRDefault="00DF67B5" w:rsidP="00356CD1">
            <w:pPr>
              <w:pStyle w:val="TableText-center"/>
            </w:pPr>
            <w:r w:rsidRPr="008D54A5">
              <w:t>1</w:t>
            </w:r>
          </w:p>
        </w:tc>
        <w:tc>
          <w:tcPr>
            <w:tcW w:w="959" w:type="pct"/>
          </w:tcPr>
          <w:p w14:paraId="2763C09C" w14:textId="77777777" w:rsidR="00DF67B5" w:rsidRPr="008D54A5" w:rsidRDefault="00DF67B5" w:rsidP="00356CD1">
            <w:pPr>
              <w:pStyle w:val="TableText-center"/>
            </w:pPr>
            <w:r w:rsidRPr="008D54A5">
              <w:t>B</w:t>
            </w:r>
          </w:p>
        </w:tc>
        <w:tc>
          <w:tcPr>
            <w:tcW w:w="1071" w:type="pct"/>
          </w:tcPr>
          <w:p w14:paraId="38E0E681" w14:textId="77777777" w:rsidR="00DF67B5" w:rsidRPr="008D54A5" w:rsidRDefault="00DF67B5" w:rsidP="00356CD1">
            <w:pPr>
              <w:pStyle w:val="TableText-center"/>
            </w:pPr>
            <w:r w:rsidRPr="008D54A5">
              <w:t>C</w:t>
            </w:r>
          </w:p>
        </w:tc>
        <w:tc>
          <w:tcPr>
            <w:tcW w:w="1001" w:type="pct"/>
          </w:tcPr>
          <w:p w14:paraId="26F7C7CB" w14:textId="77777777" w:rsidR="00DF67B5" w:rsidRPr="008D54A5" w:rsidRDefault="00DF67B5" w:rsidP="00356CD1">
            <w:pPr>
              <w:pStyle w:val="TableText-center"/>
            </w:pPr>
            <w:r w:rsidRPr="008D54A5">
              <w:t>C</w:t>
            </w:r>
          </w:p>
        </w:tc>
        <w:tc>
          <w:tcPr>
            <w:tcW w:w="982" w:type="pct"/>
          </w:tcPr>
          <w:p w14:paraId="0AB883ED" w14:textId="77777777" w:rsidR="00DF67B5" w:rsidRPr="008D54A5" w:rsidRDefault="00DF67B5" w:rsidP="00356CD1">
            <w:pPr>
              <w:pStyle w:val="TableText-center"/>
            </w:pPr>
            <w:r w:rsidRPr="008D54A5">
              <w:t>D</w:t>
            </w:r>
          </w:p>
        </w:tc>
      </w:tr>
      <w:tr w:rsidR="00DF67B5" w:rsidRPr="008D54A5" w14:paraId="73592BB4" w14:textId="77777777" w:rsidTr="00356CD1">
        <w:tc>
          <w:tcPr>
            <w:tcW w:w="987" w:type="pct"/>
          </w:tcPr>
          <w:p w14:paraId="04EAE921" w14:textId="77777777" w:rsidR="00DF67B5" w:rsidRPr="008D54A5" w:rsidRDefault="00DF67B5" w:rsidP="00356CD1">
            <w:pPr>
              <w:pStyle w:val="TableText-center"/>
            </w:pPr>
            <w:r w:rsidRPr="008D54A5">
              <w:t>5</w:t>
            </w:r>
          </w:p>
        </w:tc>
        <w:tc>
          <w:tcPr>
            <w:tcW w:w="959" w:type="pct"/>
          </w:tcPr>
          <w:p w14:paraId="42FE4C43" w14:textId="77777777" w:rsidR="00DF67B5" w:rsidRPr="008D54A5" w:rsidRDefault="00DF67B5" w:rsidP="00356CD1">
            <w:pPr>
              <w:pStyle w:val="TableText-center"/>
            </w:pPr>
            <w:r w:rsidRPr="008D54A5">
              <w:t>C</w:t>
            </w:r>
          </w:p>
        </w:tc>
        <w:tc>
          <w:tcPr>
            <w:tcW w:w="1071" w:type="pct"/>
          </w:tcPr>
          <w:p w14:paraId="30C085CD" w14:textId="77777777" w:rsidR="00DF67B5" w:rsidRPr="008D54A5" w:rsidRDefault="00DF67B5" w:rsidP="00356CD1">
            <w:pPr>
              <w:pStyle w:val="TableText-center"/>
            </w:pPr>
            <w:r w:rsidRPr="008D54A5">
              <w:t>D</w:t>
            </w:r>
          </w:p>
        </w:tc>
        <w:tc>
          <w:tcPr>
            <w:tcW w:w="1001" w:type="pct"/>
          </w:tcPr>
          <w:p w14:paraId="64D9CCAE" w14:textId="77777777" w:rsidR="00DF67B5" w:rsidRPr="008D54A5" w:rsidRDefault="00DF67B5" w:rsidP="00356CD1">
            <w:pPr>
              <w:pStyle w:val="TableText-center"/>
            </w:pPr>
            <w:r w:rsidRPr="008D54A5">
              <w:t>D</w:t>
            </w:r>
          </w:p>
        </w:tc>
        <w:tc>
          <w:tcPr>
            <w:tcW w:w="982" w:type="pct"/>
          </w:tcPr>
          <w:p w14:paraId="128E2CCB" w14:textId="77777777" w:rsidR="00DF67B5" w:rsidRPr="008D54A5" w:rsidRDefault="00DF67B5" w:rsidP="00356CD1">
            <w:pPr>
              <w:pStyle w:val="TableText-center"/>
            </w:pPr>
            <w:r w:rsidRPr="008D54A5">
              <w:t>D</w:t>
            </w:r>
          </w:p>
        </w:tc>
      </w:tr>
    </w:tbl>
    <w:p w14:paraId="0CAFD36B" w14:textId="3D1F1D9E" w:rsidR="00094C4E" w:rsidRPr="008D54A5" w:rsidRDefault="00094C4E" w:rsidP="007127B0">
      <w:pPr>
        <w:pStyle w:val="Source-9-2"/>
      </w:pPr>
      <w:r w:rsidRPr="008D54A5">
        <w:t xml:space="preserve">Source: </w:t>
      </w:r>
      <w:r w:rsidR="002C5104" w:rsidRPr="008D54A5">
        <w:t>202</w:t>
      </w:r>
      <w:r w:rsidR="00894F5C" w:rsidRPr="008D54A5">
        <w:t>2</w:t>
      </w:r>
      <w:r w:rsidR="002C5104" w:rsidRPr="008D54A5">
        <w:t xml:space="preserve"> </w:t>
      </w:r>
      <w:r w:rsidRPr="008D54A5">
        <w:t>Medical Expenditure Panel Survey – Medical Provider Component.</w:t>
      </w:r>
    </w:p>
    <w:p w14:paraId="60EE01B9" w14:textId="5B408D20" w:rsidR="00443422" w:rsidRPr="008D54A5" w:rsidRDefault="00F66AD2" w:rsidP="00E75D33">
      <w:pPr>
        <w:pStyle w:val="BodyText"/>
      </w:pPr>
      <w:r w:rsidRPr="008D54A5">
        <w:lastRenderedPageBreak/>
        <w:t xml:space="preserve">A choice for MPSIDRLL for event A </w:t>
      </w:r>
      <w:r w:rsidR="00455022" w:rsidRPr="008D54A5">
        <w:t>c</w:t>
      </w:r>
      <w:r w:rsidRPr="008D54A5">
        <w:t xml:space="preserve">ould be event B. However, B is a child in a rollup group where C is the master, and C is a child in a rollup group where D is the master. </w:t>
      </w:r>
      <w:r w:rsidR="00632BAC" w:rsidRPr="008D54A5">
        <w:t>So,</w:t>
      </w:r>
      <w:r w:rsidRPr="008D54A5">
        <w:t xml:space="preserve"> A</w:t>
      </w:r>
      <w:r w:rsidR="00772ECB" w:rsidRPr="008D54A5">
        <w:t xml:space="preserve">s MPSIDRLL is set to D. Since D is not a child in any rollup group, the ultimate master event for A is D. Similar logic </w:t>
      </w:r>
      <w:r w:rsidR="00455022" w:rsidRPr="008D54A5">
        <w:t>is</w:t>
      </w:r>
      <w:r w:rsidR="00772ECB" w:rsidRPr="008D54A5">
        <w:t xml:space="preserve"> used to set B and Cs MPSIDRLL to D also. In a sequence of rollup groups such as this, the ultimate master event is set to be the </w:t>
      </w:r>
      <w:r w:rsidRPr="008D54A5">
        <w:t>group whose master is not a child in any other rollup group.</w:t>
      </w:r>
    </w:p>
    <w:p w14:paraId="25C4F811" w14:textId="73A75E35" w:rsidR="00443422" w:rsidRPr="008D54A5" w:rsidRDefault="00F66AD2" w:rsidP="00E75D33">
      <w:pPr>
        <w:pStyle w:val="BodyText"/>
      </w:pPr>
      <w:r w:rsidRPr="008D54A5">
        <w:t xml:space="preserve">An event can be a child in multiple rollup groups (i.e., it could have multiple master events); in this case, the </w:t>
      </w:r>
      <w:r w:rsidR="00356CD1" w:rsidRPr="008D54A5">
        <w:t>“</w:t>
      </w:r>
      <w:r w:rsidRPr="008D54A5">
        <w:t>original</w:t>
      </w:r>
      <w:r w:rsidR="00356CD1" w:rsidRPr="008D54A5">
        <w:t>”</w:t>
      </w:r>
      <w:r w:rsidRPr="008D54A5">
        <w:t xml:space="preserve"> master event MPSIDOLD is used to identify the single master event. An iterative process </w:t>
      </w:r>
      <w:r w:rsidR="00455022" w:rsidRPr="008D54A5">
        <w:t>is</w:t>
      </w:r>
      <w:r w:rsidRPr="008D54A5">
        <w:t xml:space="preserve"> used to identify MPSIDRLL. Counts of the number of child</w:t>
      </w:r>
      <w:r w:rsidR="00A208DE" w:rsidRPr="008D54A5">
        <w:t xml:space="preserve"> events</w:t>
      </w:r>
      <w:r w:rsidRPr="008D54A5">
        <w:t xml:space="preserve"> (i.e., not master events) in each rollup group </w:t>
      </w:r>
      <w:r w:rsidR="00455022" w:rsidRPr="008D54A5">
        <w:t>are</w:t>
      </w:r>
      <w:r w:rsidRPr="008D54A5">
        <w:t xml:space="preserve"> computed. MPSIDRLL </w:t>
      </w:r>
      <w:r w:rsidR="00455022" w:rsidRPr="008D54A5">
        <w:t>is</w:t>
      </w:r>
      <w:r w:rsidRPr="008D54A5">
        <w:t xml:space="preserve"> updated until it point</w:t>
      </w:r>
      <w:r w:rsidR="00455022" w:rsidRPr="008D54A5">
        <w:t>s</w:t>
      </w:r>
      <w:r w:rsidRPr="008D54A5">
        <w:t xml:space="preserve"> to an event without child</w:t>
      </w:r>
      <w:r w:rsidR="00A208DE" w:rsidRPr="008D54A5">
        <w:t xml:space="preserve"> events</w:t>
      </w:r>
      <w:r w:rsidRPr="008D54A5">
        <w:t>.</w:t>
      </w:r>
    </w:p>
    <w:p w14:paraId="106D6032" w14:textId="77777777" w:rsidR="007F577A" w:rsidRPr="008D54A5" w:rsidRDefault="00F66AD2" w:rsidP="00E75D33">
      <w:pPr>
        <w:pStyle w:val="BodyText"/>
      </w:pPr>
      <w:r w:rsidRPr="008D54A5">
        <w:t xml:space="preserve">At the conclusion of this process, MPSIDOLD </w:t>
      </w:r>
      <w:r w:rsidR="00455022" w:rsidRPr="008D54A5">
        <w:t>is</w:t>
      </w:r>
      <w:r w:rsidRPr="008D54A5">
        <w:t xml:space="preserve"> updated so that it contain</w:t>
      </w:r>
      <w:r w:rsidR="00455022" w:rsidRPr="008D54A5">
        <w:t>s</w:t>
      </w:r>
      <w:r w:rsidRPr="008D54A5">
        <w:t xml:space="preserve"> a value only when that value differ</w:t>
      </w:r>
      <w:r w:rsidR="00455022" w:rsidRPr="008D54A5">
        <w:t>s</w:t>
      </w:r>
      <w:r w:rsidRPr="008D54A5">
        <w:t xml:space="preserve"> from MPSIDRLL.</w:t>
      </w:r>
    </w:p>
    <w:p w14:paraId="4F102499" w14:textId="15ECAB47" w:rsidR="00772ECB" w:rsidRPr="008D54A5" w:rsidRDefault="00F66AD2" w:rsidP="00DD4425">
      <w:pPr>
        <w:pStyle w:val="Heading2"/>
      </w:pPr>
      <w:bookmarkStart w:id="221" w:name="_Toc319492932"/>
      <w:bookmarkStart w:id="222" w:name="_Toc127287291"/>
      <w:bookmarkStart w:id="223" w:name="_Toc160529617"/>
      <w:bookmarkStart w:id="224" w:name="_Toc189128104"/>
      <w:r w:rsidRPr="008D54A5">
        <w:t xml:space="preserve">Dealing </w:t>
      </w:r>
      <w:r w:rsidR="00477129" w:rsidRPr="008D54A5">
        <w:t>w</w:t>
      </w:r>
      <w:r w:rsidR="005A034F" w:rsidRPr="008D54A5">
        <w:t xml:space="preserve">ith </w:t>
      </w:r>
      <w:r w:rsidRPr="008D54A5">
        <w:t xml:space="preserve">Rollup Groups </w:t>
      </w:r>
      <w:r w:rsidR="00734B66" w:rsidRPr="008D54A5">
        <w:t xml:space="preserve">During </w:t>
      </w:r>
      <w:r w:rsidRPr="008D54A5">
        <w:t>Matching</w:t>
      </w:r>
      <w:bookmarkEnd w:id="221"/>
      <w:bookmarkEnd w:id="222"/>
      <w:bookmarkEnd w:id="223"/>
      <w:bookmarkEnd w:id="224"/>
    </w:p>
    <w:p w14:paraId="3958D188" w14:textId="559C4B86" w:rsidR="00772ECB" w:rsidRPr="008D54A5" w:rsidRDefault="00356CD1" w:rsidP="00E75D33">
      <w:pPr>
        <w:pStyle w:val="BodyText"/>
        <w:rPr>
          <w:szCs w:val="24"/>
        </w:rPr>
      </w:pPr>
      <w:r w:rsidRPr="00404E1F">
        <w:rPr>
          <w:rStyle w:val="BodyTextChar1"/>
          <w:b/>
        </w:rPr>
        <w:t>Exhibit </w:t>
      </w:r>
      <w:r w:rsidR="00BC2ED3" w:rsidRPr="008D54A5">
        <w:rPr>
          <w:rStyle w:val="BodyTextChar1"/>
          <w:b/>
        </w:rPr>
        <w:t>6.1</w:t>
      </w:r>
      <w:r w:rsidR="00BC2ED3" w:rsidRPr="008D54A5">
        <w:rPr>
          <w:rStyle w:val="BodyTextChar1"/>
        </w:rPr>
        <w:t xml:space="preserve"> shows that for some rollup groups, all events in the group are eligible for matching. For other rollup groups, only the master event is eligible for matching. Only the master event </w:t>
      </w:r>
      <w:r w:rsidR="00455022" w:rsidRPr="008D54A5">
        <w:rPr>
          <w:rStyle w:val="BodyTextChar1"/>
        </w:rPr>
        <w:t>is</w:t>
      </w:r>
      <w:r w:rsidR="00BC2ED3" w:rsidRPr="008D54A5">
        <w:rPr>
          <w:rStyle w:val="BodyTextChar1"/>
        </w:rPr>
        <w:t xml:space="preserve"> eligible for matching in groups 6 and 9. All events </w:t>
      </w:r>
      <w:r w:rsidR="00455022" w:rsidRPr="008D54A5">
        <w:rPr>
          <w:rStyle w:val="BodyTextChar1"/>
        </w:rPr>
        <w:t>are</w:t>
      </w:r>
      <w:r w:rsidR="00BC2ED3" w:rsidRPr="008D54A5">
        <w:rPr>
          <w:rStyle w:val="BodyTextChar1"/>
        </w:rPr>
        <w:t xml:space="preserve"> eligible for matching in the other groups</w:t>
      </w:r>
      <w:r w:rsidR="00F66AD2" w:rsidRPr="008D54A5">
        <w:rPr>
          <w:szCs w:val="24"/>
        </w:rPr>
        <w:t>.</w:t>
      </w:r>
      <w:r w:rsidR="001F29C9" w:rsidRPr="008D54A5">
        <w:rPr>
          <w:szCs w:val="24"/>
        </w:rPr>
        <w:t xml:space="preserve"> </w:t>
      </w:r>
      <w:r w:rsidR="00E53000" w:rsidRPr="008D54A5">
        <w:rPr>
          <w:szCs w:val="24"/>
        </w:rPr>
        <w:t>Starting i</w:t>
      </w:r>
      <w:r w:rsidR="001F29C9" w:rsidRPr="008D54A5">
        <w:rPr>
          <w:szCs w:val="24"/>
        </w:rPr>
        <w:t xml:space="preserve">n the 2019 MPC-HC matching, all events in groups 1 and 2 </w:t>
      </w:r>
      <w:r w:rsidR="00AD7D13" w:rsidRPr="008D54A5">
        <w:rPr>
          <w:szCs w:val="24"/>
        </w:rPr>
        <w:t xml:space="preserve">are </w:t>
      </w:r>
      <w:r w:rsidR="001F29C9" w:rsidRPr="008D54A5">
        <w:rPr>
          <w:szCs w:val="24"/>
        </w:rPr>
        <w:t>eligible for matching</w:t>
      </w:r>
      <w:r w:rsidR="00EC4194" w:rsidRPr="008D54A5">
        <w:rPr>
          <w:szCs w:val="24"/>
        </w:rPr>
        <w:t xml:space="preserve">; prior to 2019, the event with the earliest date was eligible for matching. </w:t>
      </w:r>
    </w:p>
    <w:p w14:paraId="1F6B20FB" w14:textId="73CA4938" w:rsidR="00772ECB" w:rsidRPr="008D54A5" w:rsidRDefault="00F66AD2" w:rsidP="00DD4425">
      <w:pPr>
        <w:pStyle w:val="Heading2"/>
      </w:pPr>
      <w:bookmarkStart w:id="225" w:name="_Toc319492933"/>
      <w:bookmarkStart w:id="226" w:name="_Toc127287292"/>
      <w:bookmarkStart w:id="227" w:name="_Toc160529618"/>
      <w:bookmarkStart w:id="228" w:name="_Toc189128105"/>
      <w:r w:rsidRPr="008D54A5">
        <w:t>Post-Matching Processing of Rollup Groups</w:t>
      </w:r>
      <w:bookmarkEnd w:id="225"/>
      <w:bookmarkEnd w:id="226"/>
      <w:bookmarkEnd w:id="227"/>
      <w:bookmarkEnd w:id="228"/>
    </w:p>
    <w:p w14:paraId="6BDCF71A" w14:textId="10361ACD" w:rsidR="002D3390" w:rsidRPr="008D54A5" w:rsidRDefault="00F66AD2" w:rsidP="00954889">
      <w:pPr>
        <w:pStyle w:val="BodyText"/>
      </w:pPr>
      <w:r w:rsidRPr="008D54A5">
        <w:t xml:space="preserve">After the matching of the </w:t>
      </w:r>
      <w:r w:rsidR="002D3451" w:rsidRPr="008D54A5">
        <w:t>M</w:t>
      </w:r>
      <w:r w:rsidR="009903B2" w:rsidRPr="008D54A5">
        <w:t>PC</w:t>
      </w:r>
      <w:r w:rsidR="002D3451" w:rsidRPr="008D54A5">
        <w:t>-HC</w:t>
      </w:r>
      <w:r w:rsidRPr="008D54A5">
        <w:t xml:space="preserve"> Medical File data containing the individual events and rollup groups, MPSIDRLL </w:t>
      </w:r>
      <w:r w:rsidR="00455022" w:rsidRPr="008D54A5">
        <w:t>is</w:t>
      </w:r>
      <w:r w:rsidRPr="008D54A5">
        <w:t xml:space="preserve"> updated to reflect the results of the matching. A linkage </w:t>
      </w:r>
      <w:proofErr w:type="gramStart"/>
      <w:r w:rsidRPr="008D54A5">
        <w:t xml:space="preserve">file  </w:t>
      </w:r>
      <w:r w:rsidR="00455022" w:rsidRPr="008D54A5">
        <w:t>is</w:t>
      </w:r>
      <w:proofErr w:type="gramEnd"/>
      <w:r w:rsidRPr="008D54A5">
        <w:t xml:space="preserve"> prepared for delivery to the HC contractor.</w:t>
      </w:r>
      <w:r w:rsidR="002D3390" w:rsidRPr="008D54A5">
        <w:t xml:space="preserve"> </w:t>
      </w:r>
      <w:r w:rsidR="00E83E72">
        <w:t>It</w:t>
      </w:r>
      <w:r w:rsidR="00E83E72" w:rsidRPr="008D54A5">
        <w:t xml:space="preserve"> </w:t>
      </w:r>
      <w:r w:rsidR="002D3390" w:rsidRPr="008D54A5">
        <w:t>consists of the union of the following records</w:t>
      </w:r>
      <w:r w:rsidR="00162753" w:rsidRPr="008D54A5">
        <w:t xml:space="preserve"> from Pass 1</w:t>
      </w:r>
      <w:r w:rsidR="002D3390" w:rsidRPr="008D54A5">
        <w:t>:</w:t>
      </w:r>
    </w:p>
    <w:p w14:paraId="170089F2" w14:textId="680A499D" w:rsidR="002D3390" w:rsidRPr="008D54A5" w:rsidRDefault="002D3390" w:rsidP="007A4CF4">
      <w:pPr>
        <w:pStyle w:val="bullets"/>
        <w:rPr>
          <w:rFonts w:eastAsia="Calibri"/>
        </w:rPr>
      </w:pPr>
      <w:r w:rsidRPr="008D54A5">
        <w:rPr>
          <w:rFonts w:eastAsia="Calibri"/>
        </w:rPr>
        <w:t>Matched events</w:t>
      </w:r>
      <w:r w:rsidR="00593008" w:rsidRPr="008D54A5">
        <w:rPr>
          <w:rFonts w:eastAsia="Calibri"/>
        </w:rPr>
        <w:t>, and</w:t>
      </w:r>
    </w:p>
    <w:p w14:paraId="0AB8D92A" w14:textId="011D5B92" w:rsidR="002D3390" w:rsidRPr="008D54A5" w:rsidRDefault="002D3390" w:rsidP="00514FF9">
      <w:pPr>
        <w:pStyle w:val="bullets"/>
        <w:rPr>
          <w:rFonts w:eastAsia="Calibri"/>
        </w:rPr>
      </w:pPr>
      <w:r w:rsidRPr="008D54A5">
        <w:rPr>
          <w:rFonts w:eastAsia="Calibri"/>
        </w:rPr>
        <w:t>Child events from rollup groups where the master event is a matched event</w:t>
      </w:r>
      <w:r w:rsidR="00F41BCA" w:rsidRPr="008D54A5">
        <w:rPr>
          <w:rFonts w:eastAsia="Calibri"/>
        </w:rPr>
        <w:t>. For Pass 1, all unmatched child</w:t>
      </w:r>
      <w:r w:rsidR="004E4E6F" w:rsidRPr="008D54A5">
        <w:rPr>
          <w:rFonts w:eastAsia="Calibri"/>
        </w:rPr>
        <w:t xml:space="preserve"> events</w:t>
      </w:r>
      <w:r w:rsidR="00F41BCA" w:rsidRPr="008D54A5">
        <w:rPr>
          <w:rFonts w:eastAsia="Calibri"/>
        </w:rPr>
        <w:t xml:space="preserve"> with a matched master event are included. For Pass</w:t>
      </w:r>
      <w:r w:rsidR="00356CD1" w:rsidRPr="008D54A5">
        <w:rPr>
          <w:rFonts w:eastAsia="Calibri"/>
        </w:rPr>
        <w:t> </w:t>
      </w:r>
      <w:r w:rsidR="00F41BCA" w:rsidRPr="008D54A5">
        <w:rPr>
          <w:rFonts w:eastAsia="Calibri"/>
        </w:rPr>
        <w:t>1.5, unmatched but match</w:t>
      </w:r>
      <w:r w:rsidR="00F3090E" w:rsidRPr="008D54A5">
        <w:rPr>
          <w:rFonts w:eastAsia="Calibri"/>
        </w:rPr>
        <w:t>-</w:t>
      </w:r>
      <w:r w:rsidR="00F41BCA" w:rsidRPr="008D54A5">
        <w:rPr>
          <w:rFonts w:eastAsia="Calibri"/>
        </w:rPr>
        <w:t>eligible child</w:t>
      </w:r>
      <w:r w:rsidR="00A208DE" w:rsidRPr="008D54A5">
        <w:rPr>
          <w:rFonts w:eastAsia="Calibri"/>
        </w:rPr>
        <w:t xml:space="preserve"> events</w:t>
      </w:r>
      <w:r w:rsidR="00F41BCA" w:rsidRPr="008D54A5">
        <w:rPr>
          <w:rFonts w:eastAsia="Calibri"/>
        </w:rPr>
        <w:t xml:space="preserve"> are not included. </w:t>
      </w:r>
    </w:p>
    <w:p w14:paraId="47DB577E" w14:textId="77777777" w:rsidR="002D3390" w:rsidRPr="008D54A5" w:rsidRDefault="002D3390" w:rsidP="002D3390">
      <w:pPr>
        <w:spacing w:after="240"/>
        <w:rPr>
          <w:rFonts w:cs="Arial"/>
          <w:bCs/>
        </w:rPr>
      </w:pPr>
      <w:r w:rsidRPr="008D54A5">
        <w:rPr>
          <w:rFonts w:cs="Arial"/>
          <w:bCs/>
        </w:rPr>
        <w:t>The following outcomes of matching regarding the rollup groups can occur:</w:t>
      </w:r>
    </w:p>
    <w:p w14:paraId="44B845E7" w14:textId="1C7B4250" w:rsidR="002D3390" w:rsidRPr="008D54A5" w:rsidRDefault="002D3390" w:rsidP="007B19FD">
      <w:pPr>
        <w:pStyle w:val="bullets"/>
        <w:numPr>
          <w:ilvl w:val="0"/>
          <w:numId w:val="99"/>
        </w:numPr>
      </w:pPr>
      <w:r w:rsidRPr="008D54A5">
        <w:t>Simple events (i.e., an event not involved in a rollup group) that match</w:t>
      </w:r>
      <w:r w:rsidR="005A034F" w:rsidRPr="008D54A5">
        <w:t>.</w:t>
      </w:r>
    </w:p>
    <w:p w14:paraId="6C5E938B" w14:textId="1E14E839" w:rsidR="002D3390" w:rsidRPr="008D54A5" w:rsidRDefault="002D3390" w:rsidP="007B19FD">
      <w:pPr>
        <w:pStyle w:val="bullets"/>
        <w:numPr>
          <w:ilvl w:val="0"/>
          <w:numId w:val="99"/>
        </w:numPr>
      </w:pPr>
      <w:r w:rsidRPr="008D54A5">
        <w:t>Events in rollup groups where the master event matches but none of the child</w:t>
      </w:r>
      <w:r w:rsidR="00A208DE" w:rsidRPr="008D54A5">
        <w:t xml:space="preserve"> events</w:t>
      </w:r>
      <w:r w:rsidRPr="008D54A5">
        <w:t xml:space="preserve"> match</w:t>
      </w:r>
      <w:r w:rsidR="005A034F" w:rsidRPr="008D54A5">
        <w:t>.</w:t>
      </w:r>
    </w:p>
    <w:p w14:paraId="034F3988" w14:textId="17082EF0" w:rsidR="002D3390" w:rsidRPr="008D54A5" w:rsidRDefault="002D3390" w:rsidP="007B19FD">
      <w:pPr>
        <w:pStyle w:val="bullets"/>
        <w:numPr>
          <w:ilvl w:val="0"/>
          <w:numId w:val="99"/>
        </w:numPr>
      </w:pPr>
      <w:r w:rsidRPr="008D54A5">
        <w:t>Excluding (2), all matched events in simple rollup groups (a simple rollup group is a rollup group not formed by combining multiple rollup groups)</w:t>
      </w:r>
      <w:r w:rsidR="005A034F" w:rsidRPr="008D54A5">
        <w:t>.</w:t>
      </w:r>
    </w:p>
    <w:p w14:paraId="73209FA6" w14:textId="2FFD659C" w:rsidR="00C94572" w:rsidRPr="008D54A5" w:rsidRDefault="00C94572" w:rsidP="007B19FD">
      <w:pPr>
        <w:pStyle w:val="bullets"/>
        <w:numPr>
          <w:ilvl w:val="0"/>
          <w:numId w:val="99"/>
        </w:numPr>
      </w:pPr>
      <w:r w:rsidRPr="008D54A5">
        <w:t>Excluding (3), all events in simple rollup groups where a child matches and the ma</w:t>
      </w:r>
      <w:r w:rsidR="000C18B8" w:rsidRPr="008D54A5">
        <w:t>s</w:t>
      </w:r>
      <w:r w:rsidRPr="008D54A5">
        <w:t>ter event did not match, but the definition of the rollup group allows the child to be reassigned as the master event</w:t>
      </w:r>
      <w:r w:rsidR="00490C73" w:rsidRPr="008D54A5">
        <w:t xml:space="preserve"> (these are primarily events in rollup groups 4 and 5)</w:t>
      </w:r>
      <w:r w:rsidR="005A034F" w:rsidRPr="008D54A5">
        <w:t>.</w:t>
      </w:r>
    </w:p>
    <w:p w14:paraId="115EB79A" w14:textId="4F6095B1" w:rsidR="002D3390" w:rsidRPr="008D54A5" w:rsidRDefault="002D3390" w:rsidP="007B19FD">
      <w:pPr>
        <w:pStyle w:val="bullets"/>
        <w:numPr>
          <w:ilvl w:val="0"/>
          <w:numId w:val="99"/>
        </w:numPr>
      </w:pPr>
      <w:r w:rsidRPr="008D54A5">
        <w:lastRenderedPageBreak/>
        <w:t>Excluding (2), all matched events in compound rollup groups (a compound rollup group is a rollup group formed by combining multiple rollup groups)</w:t>
      </w:r>
      <w:r w:rsidR="005A034F" w:rsidRPr="008D54A5">
        <w:t>.</w:t>
      </w:r>
    </w:p>
    <w:p w14:paraId="79B65454" w14:textId="77777777" w:rsidR="00772ECB" w:rsidRPr="008D54A5" w:rsidRDefault="002D3390" w:rsidP="007B19FD">
      <w:pPr>
        <w:pStyle w:val="bullets"/>
        <w:numPr>
          <w:ilvl w:val="0"/>
          <w:numId w:val="99"/>
        </w:numPr>
      </w:pPr>
      <w:r w:rsidRPr="008D54A5">
        <w:t>No events match.</w:t>
      </w:r>
    </w:p>
    <w:p w14:paraId="3C54C49B" w14:textId="5E4E94AD" w:rsidR="002D3390" w:rsidRPr="008D54A5" w:rsidRDefault="00F66AD2" w:rsidP="00954889">
      <w:pPr>
        <w:pStyle w:val="BodyText"/>
      </w:pPr>
      <w:r w:rsidRPr="008D54A5">
        <w:t xml:space="preserve">For simple events [outcome (1)], MPSIDRLL </w:t>
      </w:r>
      <w:r w:rsidR="00455022" w:rsidRPr="008D54A5">
        <w:t>is</w:t>
      </w:r>
      <w:r w:rsidRPr="008D54A5">
        <w:t xml:space="preserve"> retained as the MPSID.</w:t>
      </w:r>
      <w:r w:rsidR="002D3390" w:rsidRPr="008D54A5">
        <w:t xml:space="preserve"> </w:t>
      </w:r>
      <w:r w:rsidR="00632BAC" w:rsidRPr="008D54A5">
        <w:t>All</w:t>
      </w:r>
      <w:r w:rsidR="002D3390" w:rsidRPr="008D54A5">
        <w:t xml:space="preserve"> the simple events that match are placed on </w:t>
      </w:r>
      <w:r w:rsidR="00E83E72">
        <w:t>the linkage file</w:t>
      </w:r>
      <w:r w:rsidR="002D3390" w:rsidRPr="008D54A5">
        <w:t>.</w:t>
      </w:r>
    </w:p>
    <w:p w14:paraId="1B073C50" w14:textId="07AAAA3D" w:rsidR="002D3390" w:rsidRPr="008D54A5" w:rsidRDefault="00F66AD2" w:rsidP="00954889">
      <w:pPr>
        <w:pStyle w:val="BodyText"/>
      </w:pPr>
      <w:r w:rsidRPr="008D54A5">
        <w:t>For events in rollup groups where the master event matche</w:t>
      </w:r>
      <w:r w:rsidR="00455022" w:rsidRPr="008D54A5">
        <w:t>s</w:t>
      </w:r>
      <w:r w:rsidRPr="008D54A5">
        <w:t xml:space="preserve"> but none of the child</w:t>
      </w:r>
      <w:r w:rsidR="00A208DE" w:rsidRPr="008D54A5">
        <w:t xml:space="preserve"> events </w:t>
      </w:r>
      <w:r w:rsidRPr="008D54A5">
        <w:t xml:space="preserve">match [outcome (2)], the MPSIDRLL </w:t>
      </w:r>
      <w:r w:rsidR="00455022" w:rsidRPr="008D54A5">
        <w:t>is</w:t>
      </w:r>
      <w:r w:rsidRPr="008D54A5">
        <w:t xml:space="preserve"> retained. The events in this rollup group that d</w:t>
      </w:r>
      <w:r w:rsidR="00455022" w:rsidRPr="008D54A5">
        <w:t>o</w:t>
      </w:r>
      <w:r w:rsidRPr="008D54A5">
        <w:t xml:space="preserve"> not match </w:t>
      </w:r>
      <w:r w:rsidR="00455022" w:rsidRPr="008D54A5">
        <w:t>are</w:t>
      </w:r>
      <w:r w:rsidRPr="008D54A5">
        <w:t xml:space="preserve"> flagged.</w:t>
      </w:r>
      <w:r w:rsidR="002D3390" w:rsidRPr="008D54A5">
        <w:t xml:space="preserve"> All events in rollup groups that fall into this category are placed on </w:t>
      </w:r>
      <w:r w:rsidR="00E83E72">
        <w:t>the linkage file</w:t>
      </w:r>
      <w:r w:rsidR="002D3390" w:rsidRPr="008D54A5">
        <w:t>.</w:t>
      </w:r>
    </w:p>
    <w:p w14:paraId="1AF357A0" w14:textId="395188A1" w:rsidR="00C94572" w:rsidRPr="008D54A5" w:rsidRDefault="00F66AD2" w:rsidP="00954889">
      <w:pPr>
        <w:pStyle w:val="BodyText"/>
      </w:pPr>
      <w:r w:rsidRPr="008D54A5">
        <w:t>In simple rollup groups where at least one event matche</w:t>
      </w:r>
      <w:r w:rsidR="00455022" w:rsidRPr="008D54A5">
        <w:t>s</w:t>
      </w:r>
      <w:r w:rsidRPr="008D54A5">
        <w:t xml:space="preserve"> [outcome (3)], the matched events </w:t>
      </w:r>
      <w:r w:rsidR="00455022" w:rsidRPr="008D54A5">
        <w:t>are</w:t>
      </w:r>
      <w:r w:rsidRPr="008D54A5">
        <w:t xml:space="preserve"> added to </w:t>
      </w:r>
      <w:r w:rsidR="00E83E72">
        <w:t>the linkage file</w:t>
      </w:r>
      <w:r w:rsidR="00E83E72" w:rsidRPr="008D54A5" w:rsidDel="00E83E72">
        <w:t xml:space="preserve"> </w:t>
      </w:r>
      <w:r w:rsidRPr="008D54A5">
        <w:t xml:space="preserve">as simple events, and the MPSIDRLL variables </w:t>
      </w:r>
      <w:r w:rsidR="00455022" w:rsidRPr="008D54A5">
        <w:t>are</w:t>
      </w:r>
      <w:r w:rsidRPr="008D54A5">
        <w:t xml:space="preserve"> adjusted for events that d</w:t>
      </w:r>
      <w:r w:rsidR="00455022" w:rsidRPr="008D54A5">
        <w:t>o</w:t>
      </w:r>
      <w:r w:rsidRPr="008D54A5">
        <w:t xml:space="preserve"> not match.</w:t>
      </w:r>
      <w:r w:rsidR="00D10191" w:rsidRPr="008D54A5">
        <w:t xml:space="preserve"> </w:t>
      </w:r>
    </w:p>
    <w:p w14:paraId="7FA17FE8" w14:textId="1C809FAD" w:rsidR="007F577A" w:rsidRPr="008D54A5" w:rsidRDefault="00E83E72" w:rsidP="00954889">
      <w:pPr>
        <w:pStyle w:val="BodyText"/>
      </w:pPr>
      <w:r>
        <w:t>The linkage file</w:t>
      </w:r>
      <w:r w:rsidRPr="008D54A5" w:rsidDel="00E83E72">
        <w:t xml:space="preserve"> </w:t>
      </w:r>
      <w:r w:rsidR="00F02F89" w:rsidRPr="008D54A5">
        <w:t xml:space="preserve">also includes </w:t>
      </w:r>
      <w:r w:rsidR="00D10191" w:rsidRPr="008D54A5">
        <w:t>unmatched events that were a part of the simple rollup groups</w:t>
      </w:r>
      <w:r w:rsidR="00F02F89" w:rsidRPr="008D54A5">
        <w:t>. This is accomplished</w:t>
      </w:r>
      <w:r w:rsidR="00D10191" w:rsidRPr="008D54A5">
        <w:t xml:space="preserve"> by reassigning the MPSIDRLL for these unmatched events, when some but not all events in a simple rollup group are matched</w:t>
      </w:r>
      <w:r w:rsidR="00C94572" w:rsidRPr="008D54A5">
        <w:t xml:space="preserve"> (</w:t>
      </w:r>
      <w:r w:rsidR="001F29C9" w:rsidRPr="008D54A5">
        <w:t xml:space="preserve">[outcome (4)], </w:t>
      </w:r>
      <w:r w:rsidR="00F02F89" w:rsidRPr="008D54A5">
        <w:t>implemented in 2015</w:t>
      </w:r>
      <w:r w:rsidR="00C94572" w:rsidRPr="008D54A5">
        <w:t>)</w:t>
      </w:r>
    </w:p>
    <w:p w14:paraId="09538E80" w14:textId="0D7A75C2" w:rsidR="00F41BCA" w:rsidRPr="008D54A5" w:rsidRDefault="00F66AD2" w:rsidP="00954889">
      <w:pPr>
        <w:pStyle w:val="BodyText"/>
      </w:pPr>
      <w:r w:rsidRPr="008D54A5">
        <w:t>In compound rollup groups where at least one event matche</w:t>
      </w:r>
      <w:r w:rsidR="00455022" w:rsidRPr="008D54A5">
        <w:t>s</w:t>
      </w:r>
      <w:r w:rsidRPr="008D54A5">
        <w:t xml:space="preserve"> [outcome (</w:t>
      </w:r>
      <w:r w:rsidR="00C94572" w:rsidRPr="008D54A5">
        <w:t>5</w:t>
      </w:r>
      <w:r w:rsidRPr="008D54A5">
        <w:t xml:space="preserve">)], it </w:t>
      </w:r>
      <w:r w:rsidR="00455022" w:rsidRPr="008D54A5">
        <w:t>is</w:t>
      </w:r>
      <w:r w:rsidRPr="008D54A5">
        <w:t xml:space="preserve"> more difficult to resolve the MPSIDRLL variable. In this case, </w:t>
      </w:r>
      <w:r w:rsidR="001F29C9" w:rsidRPr="008D54A5">
        <w:t xml:space="preserve">each compound rollup group is processed </w:t>
      </w:r>
      <w:r w:rsidR="00FD2D3F" w:rsidRPr="008D54A5">
        <w:t>iteratively</w:t>
      </w:r>
      <w:r w:rsidR="001F29C9" w:rsidRPr="008D54A5">
        <w:t xml:space="preserve"> </w:t>
      </w:r>
      <w:r w:rsidR="00AA4999" w:rsidRPr="008D54A5">
        <w:t>to</w:t>
      </w:r>
      <w:r w:rsidR="001F29C9" w:rsidRPr="008D54A5">
        <w:t xml:space="preserve"> </w:t>
      </w:r>
      <w:r w:rsidR="00942EE0" w:rsidRPr="008D54A5">
        <w:t xml:space="preserve">assign the MPSIDRLL variable, using the rollup types, which events matched, and the definitions for which types of events can be the master event. Unmatched events are reassigned a MPSIDRLL of a matched event in the same rollup group. This resolution is done with a computer </w:t>
      </w:r>
      <w:r w:rsidR="00FD2D3F" w:rsidRPr="008D54A5">
        <w:t>algorithm</w:t>
      </w:r>
      <w:r w:rsidR="00942EE0" w:rsidRPr="008D54A5">
        <w:t xml:space="preserve">, but </w:t>
      </w:r>
      <w:r w:rsidRPr="008D54A5">
        <w:t xml:space="preserve">the events </w:t>
      </w:r>
      <w:r w:rsidR="00455022" w:rsidRPr="008D54A5">
        <w:t>are</w:t>
      </w:r>
      <w:r w:rsidRPr="008D54A5">
        <w:t xml:space="preserve"> </w:t>
      </w:r>
      <w:r w:rsidR="00942EE0" w:rsidRPr="008D54A5">
        <w:t xml:space="preserve">also </w:t>
      </w:r>
      <w:r w:rsidRPr="008D54A5">
        <w:t xml:space="preserve">output to </w:t>
      </w:r>
      <w:r w:rsidR="004C2409">
        <w:t>a</w:t>
      </w:r>
      <w:r w:rsidRPr="008D54A5">
        <w:t xml:space="preserve"> file for manual review and </w:t>
      </w:r>
      <w:r w:rsidR="00942EE0" w:rsidRPr="008D54A5">
        <w:t xml:space="preserve">checking </w:t>
      </w:r>
      <w:r w:rsidRPr="008D54A5">
        <w:t>of the MPSIDRLL variable.</w:t>
      </w:r>
      <w:r w:rsidR="002D3390" w:rsidRPr="008D54A5">
        <w:t xml:space="preserve"> The MPSIDRLL value for events that match is the </w:t>
      </w:r>
      <w:r w:rsidR="00F41BCA" w:rsidRPr="008D54A5">
        <w:t xml:space="preserve">MPSID </w:t>
      </w:r>
      <w:r w:rsidR="002D3390" w:rsidRPr="008D54A5">
        <w:t xml:space="preserve">of the event. </w:t>
      </w:r>
    </w:p>
    <w:p w14:paraId="71B4E5FB" w14:textId="2E045903" w:rsidR="007F577A" w:rsidRPr="008D54A5" w:rsidRDefault="00F66AD2" w:rsidP="00954889">
      <w:pPr>
        <w:pStyle w:val="BodyText"/>
      </w:pPr>
      <w:r w:rsidRPr="008D54A5">
        <w:t>If no events match [outcome (</w:t>
      </w:r>
      <w:r w:rsidR="00C94572" w:rsidRPr="008D54A5">
        <w:t>6</w:t>
      </w:r>
      <w:r w:rsidRPr="008D54A5">
        <w:t xml:space="preserve"> above)], then the records </w:t>
      </w:r>
      <w:r w:rsidR="00455022" w:rsidRPr="008D54A5">
        <w:t>are</w:t>
      </w:r>
      <w:r w:rsidRPr="008D54A5">
        <w:t xml:space="preserve"> not added to </w:t>
      </w:r>
      <w:r w:rsidR="00E83E72">
        <w:t>the linkage file</w:t>
      </w:r>
      <w:r w:rsidRPr="008D54A5">
        <w:t>.</w:t>
      </w:r>
    </w:p>
    <w:p w14:paraId="7D3285C4" w14:textId="23E8161B" w:rsidR="00162753" w:rsidRPr="008D54A5" w:rsidRDefault="00CB3A1F" w:rsidP="00A52AD5">
      <w:pPr>
        <w:pStyle w:val="BodyText"/>
        <w:rPr>
          <w:rFonts w:eastAsia="Calibri"/>
        </w:rPr>
      </w:pPr>
      <w:r w:rsidRPr="008D54A5">
        <w:rPr>
          <w:rFonts w:eastAsia="Calibri"/>
        </w:rPr>
        <w:t xml:space="preserve">Since 2016, </w:t>
      </w:r>
      <w:r w:rsidR="00162753" w:rsidRPr="008D54A5">
        <w:rPr>
          <w:rFonts w:eastAsia="Calibri"/>
        </w:rPr>
        <w:t xml:space="preserve">the </w:t>
      </w:r>
      <w:r w:rsidR="000905EB" w:rsidRPr="008D54A5">
        <w:rPr>
          <w:rFonts w:eastAsia="Calibri"/>
        </w:rPr>
        <w:t xml:space="preserve">matching </w:t>
      </w:r>
      <w:r w:rsidRPr="008D54A5">
        <w:rPr>
          <w:rFonts w:eastAsia="Calibri"/>
        </w:rPr>
        <w:t xml:space="preserve">process includes </w:t>
      </w:r>
      <w:r w:rsidR="00162753" w:rsidRPr="008D54A5">
        <w:rPr>
          <w:rFonts w:eastAsia="Calibri"/>
        </w:rPr>
        <w:t xml:space="preserve">replicated MPC events from Pass 1.5 on </w:t>
      </w:r>
      <w:r w:rsidR="00E83E72">
        <w:t>the linkage file</w:t>
      </w:r>
      <w:r w:rsidR="00E83E72" w:rsidRPr="008D54A5" w:rsidDel="00E83E72">
        <w:rPr>
          <w:rFonts w:eastAsia="Calibri"/>
        </w:rPr>
        <w:t xml:space="preserve"> </w:t>
      </w:r>
      <w:r w:rsidR="00162753" w:rsidRPr="008D54A5">
        <w:rPr>
          <w:rFonts w:eastAsia="Calibri"/>
        </w:rPr>
        <w:t>using the same rules as for Pass 1, with the exception that unmatched child</w:t>
      </w:r>
      <w:r w:rsidR="004E4E6F" w:rsidRPr="008D54A5">
        <w:rPr>
          <w:rFonts w:eastAsia="Calibri"/>
        </w:rPr>
        <w:t xml:space="preserve"> events</w:t>
      </w:r>
      <w:r w:rsidR="00162753" w:rsidRPr="008D54A5">
        <w:rPr>
          <w:rFonts w:eastAsia="Calibri"/>
        </w:rPr>
        <w:t xml:space="preserve"> </w:t>
      </w:r>
      <w:r w:rsidR="00A208DE" w:rsidRPr="008D54A5">
        <w:rPr>
          <w:rFonts w:eastAsia="Calibri"/>
        </w:rPr>
        <w:t>that</w:t>
      </w:r>
      <w:r w:rsidR="00162753" w:rsidRPr="008D54A5">
        <w:rPr>
          <w:rFonts w:eastAsia="Calibri"/>
        </w:rPr>
        <w:t xml:space="preserve"> </w:t>
      </w:r>
      <w:r w:rsidR="0041266D" w:rsidRPr="008D54A5">
        <w:rPr>
          <w:rFonts w:eastAsia="Calibri"/>
        </w:rPr>
        <w:t>are</w:t>
      </w:r>
      <w:r w:rsidR="00162753" w:rsidRPr="008D54A5">
        <w:rPr>
          <w:rFonts w:eastAsia="Calibri"/>
        </w:rPr>
        <w:t xml:space="preserve"> match</w:t>
      </w:r>
      <w:r w:rsidR="00F3090E" w:rsidRPr="008D54A5">
        <w:rPr>
          <w:rFonts w:eastAsia="Calibri"/>
        </w:rPr>
        <w:t xml:space="preserve"> </w:t>
      </w:r>
      <w:r w:rsidR="00162753" w:rsidRPr="008D54A5">
        <w:rPr>
          <w:rFonts w:eastAsia="Calibri"/>
        </w:rPr>
        <w:t xml:space="preserve">eligible </w:t>
      </w:r>
      <w:r w:rsidR="0041266D" w:rsidRPr="008D54A5">
        <w:rPr>
          <w:rFonts w:eastAsia="Calibri"/>
        </w:rPr>
        <w:t>are</w:t>
      </w:r>
      <w:r w:rsidR="00162753" w:rsidRPr="008D54A5">
        <w:rPr>
          <w:rFonts w:eastAsia="Calibri"/>
        </w:rPr>
        <w:t xml:space="preserve"> not included on </w:t>
      </w:r>
      <w:r w:rsidR="00E83E72">
        <w:t>the linkage file</w:t>
      </w:r>
      <w:r w:rsidR="00E83E72" w:rsidRPr="008D54A5" w:rsidDel="00E83E72">
        <w:rPr>
          <w:rFonts w:eastAsia="Calibri"/>
        </w:rPr>
        <w:t xml:space="preserve"> </w:t>
      </w:r>
      <w:r w:rsidR="00162753" w:rsidRPr="008D54A5">
        <w:rPr>
          <w:rFonts w:eastAsia="Calibri"/>
        </w:rPr>
        <w:t>even if their master event was matched at Pass 1.5.</w:t>
      </w:r>
    </w:p>
    <w:p w14:paraId="197894DB" w14:textId="49DF76A2" w:rsidR="009E6AC2" w:rsidRPr="008D54A5" w:rsidRDefault="00682863" w:rsidP="00F02F89">
      <w:pPr>
        <w:pStyle w:val="BodyText"/>
        <w:rPr>
          <w:rFonts w:eastAsia="Calibri"/>
        </w:rPr>
      </w:pPr>
      <w:r w:rsidRPr="008D54A5">
        <w:t>Another adjustment after matching is that u</w:t>
      </w:r>
      <w:r w:rsidR="00DB2B07" w:rsidRPr="008D54A5">
        <w:t xml:space="preserve">nmatched MPC inpatient events are rolled </w:t>
      </w:r>
      <w:r w:rsidR="002107CF" w:rsidRPr="008D54A5">
        <w:t>with</w:t>
      </w:r>
      <w:r w:rsidR="00DB2B07" w:rsidRPr="008D54A5">
        <w:t xml:space="preserve"> matched MPC events for those unmatched MPC events within 60 days of </w:t>
      </w:r>
      <w:r w:rsidRPr="008D54A5">
        <w:t>the matching</w:t>
      </w:r>
      <w:r w:rsidR="00DB2B07" w:rsidRPr="008D54A5">
        <w:t xml:space="preserve"> HC event.</w:t>
      </w:r>
      <w:r w:rsidR="00356CD1" w:rsidRPr="008D54A5">
        <w:t xml:space="preserve"> </w:t>
      </w:r>
      <w:r w:rsidR="00DB2B07" w:rsidRPr="008D54A5">
        <w:t xml:space="preserve">MPC events that overlap an HC event are also rolled with the corresponding matched MPC event. </w:t>
      </w:r>
      <w:r w:rsidRPr="008D54A5">
        <w:t xml:space="preserve">These events are denoted as </w:t>
      </w:r>
      <w:r w:rsidR="002107CF" w:rsidRPr="008D54A5">
        <w:t>“</w:t>
      </w:r>
      <w:r w:rsidR="00F02F89" w:rsidRPr="008D54A5">
        <w:rPr>
          <w:rFonts w:eastAsia="Calibri"/>
        </w:rPr>
        <w:t>R</w:t>
      </w:r>
      <w:r w:rsidR="009E6AC2" w:rsidRPr="008D54A5">
        <w:rPr>
          <w:rFonts w:eastAsia="Calibri"/>
        </w:rPr>
        <w:t xml:space="preserve">ollup </w:t>
      </w:r>
      <w:r w:rsidRPr="008D54A5">
        <w:rPr>
          <w:rFonts w:eastAsia="Calibri"/>
        </w:rPr>
        <w:t>gro</w:t>
      </w:r>
      <w:r w:rsidR="000057C1" w:rsidRPr="008D54A5">
        <w:rPr>
          <w:rFonts w:eastAsia="Calibri"/>
        </w:rPr>
        <w:t>u</w:t>
      </w:r>
      <w:r w:rsidRPr="008D54A5">
        <w:rPr>
          <w:rFonts w:eastAsia="Calibri"/>
        </w:rPr>
        <w:t xml:space="preserve">p </w:t>
      </w:r>
      <w:r w:rsidR="002107CF" w:rsidRPr="008D54A5">
        <w:rPr>
          <w:rFonts w:eastAsia="Calibri"/>
        </w:rPr>
        <w:t xml:space="preserve">type </w:t>
      </w:r>
      <w:r w:rsidR="009E6AC2" w:rsidRPr="008D54A5">
        <w:rPr>
          <w:rFonts w:eastAsia="Calibri"/>
        </w:rPr>
        <w:t>10</w:t>
      </w:r>
      <w:r w:rsidR="002107CF" w:rsidRPr="008D54A5">
        <w:rPr>
          <w:rFonts w:eastAsia="Calibri"/>
        </w:rPr>
        <w:t>”</w:t>
      </w:r>
      <w:r w:rsidRPr="008D54A5">
        <w:rPr>
          <w:rFonts w:eastAsia="Calibri"/>
        </w:rPr>
        <w:t xml:space="preserve"> eve</w:t>
      </w:r>
      <w:r w:rsidR="00255E71" w:rsidRPr="008D54A5">
        <w:rPr>
          <w:rFonts w:eastAsia="Calibri"/>
        </w:rPr>
        <w:t>n</w:t>
      </w:r>
      <w:r w:rsidRPr="008D54A5">
        <w:rPr>
          <w:rFonts w:eastAsia="Calibri"/>
        </w:rPr>
        <w:t>ts on the data files, which</w:t>
      </w:r>
      <w:r w:rsidR="009E6AC2" w:rsidRPr="008D54A5">
        <w:rPr>
          <w:rFonts w:eastAsia="Calibri"/>
        </w:rPr>
        <w:t xml:space="preserve"> indicate that </w:t>
      </w:r>
      <w:r w:rsidRPr="008D54A5">
        <w:rPr>
          <w:rFonts w:eastAsia="Calibri"/>
        </w:rPr>
        <w:t xml:space="preserve">an </w:t>
      </w:r>
      <w:r w:rsidR="009E6AC2" w:rsidRPr="008D54A5">
        <w:rPr>
          <w:rFonts w:eastAsia="Calibri"/>
        </w:rPr>
        <w:t>unmatched inpatient stay was rolled with a matched stay.</w:t>
      </w:r>
      <w:r w:rsidR="002107CF" w:rsidRPr="008D54A5">
        <w:rPr>
          <w:rFonts w:eastAsia="Calibri"/>
        </w:rPr>
        <w:t xml:space="preserve"> Unmatched MPC inpatient events were disallowed from rolling with MPC inpatient events that match HC Outpatient event</w:t>
      </w:r>
      <w:r w:rsidR="00E22EFF">
        <w:rPr>
          <w:rFonts w:eastAsia="Calibri"/>
        </w:rPr>
        <w:t>s</w:t>
      </w:r>
      <w:r w:rsidR="002107CF" w:rsidRPr="008D54A5">
        <w:rPr>
          <w:rFonts w:eastAsia="Calibri"/>
        </w:rPr>
        <w:t xml:space="preserve"> in the 2022 MPC; this prevents multiple nights of inpatient stays from matching with an OP event and is consistent with the allowed and disallowed matches by event type. </w:t>
      </w:r>
      <w:r w:rsidR="009E6AC2" w:rsidRPr="008D54A5">
        <w:rPr>
          <w:rFonts w:eastAsia="Calibri"/>
        </w:rPr>
        <w:t>Rollup_MPSID10 gives the MPSID of the inpatient stay with which the unmatched stay is rolled</w:t>
      </w:r>
      <w:r w:rsidR="00DB2B07" w:rsidRPr="008D54A5">
        <w:rPr>
          <w:rFonts w:eastAsia="Calibri"/>
        </w:rPr>
        <w:t>.</w:t>
      </w:r>
    </w:p>
    <w:p w14:paraId="537FFA89" w14:textId="2A56B84B" w:rsidR="009E6AC2" w:rsidRPr="008D54A5" w:rsidRDefault="00F02F89" w:rsidP="00A52AD5">
      <w:pPr>
        <w:pStyle w:val="BodyText"/>
        <w:rPr>
          <w:rFonts w:eastAsia="Calibri"/>
        </w:rPr>
      </w:pPr>
      <w:r w:rsidRPr="008D54A5">
        <w:rPr>
          <w:rFonts w:eastAsia="Calibri"/>
        </w:rPr>
        <w:t>A</w:t>
      </w:r>
      <w:r w:rsidR="009E6AC2" w:rsidRPr="008D54A5">
        <w:rPr>
          <w:rFonts w:eastAsia="Calibri"/>
        </w:rPr>
        <w:t xml:space="preserve"> set of variables </w:t>
      </w:r>
      <w:r w:rsidR="001D022B" w:rsidRPr="008D54A5">
        <w:rPr>
          <w:rFonts w:eastAsia="Calibri"/>
        </w:rPr>
        <w:t xml:space="preserve">added </w:t>
      </w:r>
      <w:r w:rsidR="004A4A0D" w:rsidRPr="008D54A5">
        <w:rPr>
          <w:rFonts w:eastAsia="Calibri"/>
        </w:rPr>
        <w:t xml:space="preserve">to the </w:t>
      </w:r>
      <w:r w:rsidR="009E6AC2" w:rsidRPr="008D54A5">
        <w:rPr>
          <w:rFonts w:eastAsia="Calibri"/>
        </w:rPr>
        <w:t xml:space="preserve">files </w:t>
      </w:r>
      <w:r w:rsidRPr="008D54A5">
        <w:rPr>
          <w:rFonts w:eastAsia="Calibri"/>
        </w:rPr>
        <w:t xml:space="preserve">beginning with the 2014 MPC </w:t>
      </w:r>
      <w:r w:rsidR="009E6AC2" w:rsidRPr="008D54A5">
        <w:rPr>
          <w:rFonts w:eastAsia="Calibri"/>
        </w:rPr>
        <w:t>denote when ER and HS events are linked.</w:t>
      </w:r>
      <w:r w:rsidR="00356CD1" w:rsidRPr="008D54A5">
        <w:rPr>
          <w:rFonts w:eastAsia="Calibri"/>
        </w:rPr>
        <w:t xml:space="preserve"> </w:t>
      </w:r>
      <w:r w:rsidR="009E6AC2" w:rsidRPr="008D54A5">
        <w:rPr>
          <w:rFonts w:eastAsia="Calibri"/>
        </w:rPr>
        <w:t>This resulted in the following changes:</w:t>
      </w:r>
    </w:p>
    <w:p w14:paraId="02865E02" w14:textId="6371E25B" w:rsidR="00DE1BDC" w:rsidRPr="008D54A5" w:rsidRDefault="009E6AC2" w:rsidP="00592DC9">
      <w:pPr>
        <w:pStyle w:val="bullets"/>
        <w:numPr>
          <w:ilvl w:val="0"/>
          <w:numId w:val="102"/>
        </w:numPr>
        <w:rPr>
          <w:rFonts w:eastAsia="Calibri"/>
        </w:rPr>
      </w:pPr>
      <w:r w:rsidRPr="008D54A5">
        <w:rPr>
          <w:rFonts w:eastAsia="Calibri"/>
        </w:rPr>
        <w:lastRenderedPageBreak/>
        <w:t>Rollup group 3 was modified to exclude ER/HS linked events</w:t>
      </w:r>
      <w:r w:rsidR="00C7727B">
        <w:rPr>
          <w:rFonts w:eastAsia="Calibri"/>
        </w:rPr>
        <w:t>.</w:t>
      </w:r>
    </w:p>
    <w:p w14:paraId="110B7189" w14:textId="087F26D2" w:rsidR="00DE1BDC" w:rsidRPr="008D54A5" w:rsidRDefault="00DE1BDC" w:rsidP="00592DC9">
      <w:pPr>
        <w:pStyle w:val="bullets"/>
        <w:numPr>
          <w:ilvl w:val="0"/>
          <w:numId w:val="102"/>
        </w:numPr>
        <w:rPr>
          <w:szCs w:val="24"/>
        </w:rPr>
      </w:pPr>
      <w:r w:rsidRPr="008D54A5">
        <w:rPr>
          <w:rFonts w:eastAsia="Calibri"/>
        </w:rPr>
        <w:t>An ER/HS flag (v</w:t>
      </w:r>
      <w:r w:rsidR="009E6AC2" w:rsidRPr="008D54A5">
        <w:rPr>
          <w:rFonts w:eastAsia="Calibri"/>
        </w:rPr>
        <w:t xml:space="preserve">ariable </w:t>
      </w:r>
      <w:r w:rsidRPr="008D54A5">
        <w:rPr>
          <w:rFonts w:eastAsia="Calibri"/>
        </w:rPr>
        <w:t xml:space="preserve">name </w:t>
      </w:r>
      <w:r w:rsidR="009E6AC2" w:rsidRPr="008D54A5">
        <w:rPr>
          <w:rFonts w:eastAsia="Calibri"/>
        </w:rPr>
        <w:t>MERHSFLG</w:t>
      </w:r>
      <w:r w:rsidRPr="008D54A5">
        <w:rPr>
          <w:rFonts w:eastAsia="Calibri"/>
        </w:rPr>
        <w:t>) was created for all MPC events</w:t>
      </w:r>
      <w:r w:rsidR="006F72FA" w:rsidRPr="008D54A5">
        <w:rPr>
          <w:rFonts w:eastAsia="Calibri"/>
        </w:rPr>
        <w:t xml:space="preserve">. MERHSFLG denotes the MPC ER event and associated hospital event where ADFROMER=1 and ERCHRGINC=1. When there is more than one ER event, the one on the same day is used. </w:t>
      </w:r>
      <w:r w:rsidRPr="008D54A5">
        <w:rPr>
          <w:szCs w:val="24"/>
        </w:rPr>
        <w:t xml:space="preserve">Variables ERHSFLAG, SQUARE, ERLINKID, HSLINKID were created for the </w:t>
      </w:r>
      <w:r w:rsidR="00AB36E1" w:rsidRPr="008D54A5">
        <w:rPr>
          <w:szCs w:val="24"/>
        </w:rPr>
        <w:t>HC events</w:t>
      </w:r>
      <w:r w:rsidR="00A86EE3" w:rsidRPr="008D54A5">
        <w:rPr>
          <w:szCs w:val="24"/>
        </w:rPr>
        <w:t>.</w:t>
      </w:r>
      <w:r w:rsidR="00356CD1" w:rsidRPr="008D54A5">
        <w:rPr>
          <w:szCs w:val="24"/>
        </w:rPr>
        <w:t xml:space="preserve"> </w:t>
      </w:r>
      <w:r w:rsidR="00A86EE3" w:rsidRPr="008D54A5">
        <w:rPr>
          <w:szCs w:val="24"/>
        </w:rPr>
        <w:t>For HC inpatient events,</w:t>
      </w:r>
      <w:r w:rsidRPr="008D54A5">
        <w:rPr>
          <w:szCs w:val="24"/>
        </w:rPr>
        <w:t xml:space="preserve"> </w:t>
      </w:r>
      <w:r w:rsidR="006F72FA" w:rsidRPr="008D54A5">
        <w:rPr>
          <w:szCs w:val="24"/>
        </w:rPr>
        <w:t xml:space="preserve">ERHSFLAG indicates whether the HC inpatient event is matched to a linked MPC inpatient event, and for HC events other than inpatient events </w:t>
      </w:r>
      <w:r w:rsidR="00A86EE3" w:rsidRPr="008D54A5">
        <w:rPr>
          <w:szCs w:val="24"/>
        </w:rPr>
        <w:t>(</w:t>
      </w:r>
      <w:r w:rsidR="005F2CBF" w:rsidRPr="008D54A5">
        <w:rPr>
          <w:szCs w:val="24"/>
        </w:rPr>
        <w:t>i.e.,</w:t>
      </w:r>
      <w:r w:rsidR="00A86EE3" w:rsidRPr="008D54A5">
        <w:rPr>
          <w:szCs w:val="24"/>
        </w:rPr>
        <w:t xml:space="preserve"> ER, OP, or MV) </w:t>
      </w:r>
      <w:r w:rsidR="006F72FA" w:rsidRPr="008D54A5">
        <w:rPr>
          <w:szCs w:val="24"/>
        </w:rPr>
        <w:t xml:space="preserve">ERHSFLAG indicates that the HC event occurred between 2 days before or </w:t>
      </w:r>
      <w:r w:rsidR="007D1E2F" w:rsidRPr="008D54A5">
        <w:rPr>
          <w:szCs w:val="24"/>
        </w:rPr>
        <w:t xml:space="preserve">1 </w:t>
      </w:r>
      <w:r w:rsidR="006F72FA" w:rsidRPr="008D54A5">
        <w:rPr>
          <w:szCs w:val="24"/>
        </w:rPr>
        <w:t>day after the HC inpatient event, the event is matched to a linked MPC ER event, and the HC events within the HC linking pair are matched to MPC events within the same MPC link.</w:t>
      </w:r>
      <w:r w:rsidR="00356CD1" w:rsidRPr="008D54A5">
        <w:rPr>
          <w:szCs w:val="24"/>
        </w:rPr>
        <w:t xml:space="preserve"> </w:t>
      </w:r>
      <w:r w:rsidR="00A86EE3" w:rsidRPr="008D54A5">
        <w:rPr>
          <w:szCs w:val="24"/>
        </w:rPr>
        <w:t xml:space="preserve">The variable </w:t>
      </w:r>
      <w:r w:rsidR="006F72FA" w:rsidRPr="008D54A5">
        <w:rPr>
          <w:szCs w:val="24"/>
        </w:rPr>
        <w:t xml:space="preserve">SQUARE indicates that the HC inpatient event is linked to an HC ER/OP/MV event that is matched to a linked MPC ER event. </w:t>
      </w:r>
      <w:r w:rsidR="00A86EE3" w:rsidRPr="008D54A5">
        <w:rPr>
          <w:szCs w:val="24"/>
        </w:rPr>
        <w:t xml:space="preserve">For HC inpatient events that are linked and have SQUARE=1, variables </w:t>
      </w:r>
      <w:r w:rsidR="006F72FA" w:rsidRPr="008D54A5">
        <w:rPr>
          <w:szCs w:val="24"/>
        </w:rPr>
        <w:t xml:space="preserve">ERLINKID and HSLINKID give </w:t>
      </w:r>
      <w:r w:rsidR="00A86EE3" w:rsidRPr="008D54A5">
        <w:rPr>
          <w:szCs w:val="24"/>
        </w:rPr>
        <w:t xml:space="preserve">the HC EVPVID of the linked events. </w:t>
      </w:r>
    </w:p>
    <w:p w14:paraId="15F66430" w14:textId="511460F2" w:rsidR="00DE1BDC" w:rsidRPr="008D54A5" w:rsidRDefault="006F72FA" w:rsidP="00592DC9">
      <w:pPr>
        <w:pStyle w:val="bullets"/>
        <w:numPr>
          <w:ilvl w:val="0"/>
          <w:numId w:val="102"/>
        </w:numPr>
      </w:pPr>
      <w:r w:rsidRPr="008D54A5">
        <w:t xml:space="preserve">An additional </w:t>
      </w:r>
      <w:proofErr w:type="gramStart"/>
      <w:r w:rsidRPr="008D54A5">
        <w:t>file  was</w:t>
      </w:r>
      <w:proofErr w:type="gramEnd"/>
      <w:r w:rsidRPr="008D54A5">
        <w:t xml:space="preserve"> created</w:t>
      </w:r>
      <w:r w:rsidR="00A86EE3" w:rsidRPr="008D54A5">
        <w:t xml:space="preserve"> and delivered </w:t>
      </w:r>
      <w:r w:rsidRPr="008D54A5">
        <w:t xml:space="preserve">for use in the SBD processing. </w:t>
      </w:r>
      <w:r w:rsidR="008A0E87">
        <w:t>It</w:t>
      </w:r>
      <w:r w:rsidRPr="008D54A5">
        <w:t xml:space="preserve"> contains the MPSID of the ER event and </w:t>
      </w:r>
      <w:r w:rsidR="005360A4" w:rsidRPr="008D54A5">
        <w:t>the corresponding</w:t>
      </w:r>
      <w:r w:rsidRPr="008D54A5">
        <w:t xml:space="preserve"> MPSIDRLL</w:t>
      </w:r>
      <w:r w:rsidR="00A86EE3" w:rsidRPr="008D54A5">
        <w:t>.</w:t>
      </w:r>
      <w:r w:rsidR="00356CD1" w:rsidRPr="008D54A5">
        <w:t xml:space="preserve"> </w:t>
      </w:r>
      <w:r w:rsidR="00A86EE3" w:rsidRPr="008D54A5">
        <w:t xml:space="preserve">This file is to be used in later processing to assist in adding SBD amounts from unmatched MPC ERs to their linked inpatient events. </w:t>
      </w:r>
    </w:p>
    <w:p w14:paraId="7B171306" w14:textId="56FC676A" w:rsidR="00B14F7F" w:rsidRPr="008D54A5" w:rsidRDefault="00B14F7F">
      <w:pPr>
        <w:rPr>
          <w:rFonts w:cs="Arial"/>
          <w:bCs/>
        </w:rPr>
      </w:pPr>
      <w:r w:rsidRPr="008D54A5">
        <w:br w:type="page"/>
      </w:r>
    </w:p>
    <w:p w14:paraId="2FCB735E" w14:textId="4381674C" w:rsidR="00443422" w:rsidRPr="008D54A5" w:rsidRDefault="002B2330" w:rsidP="00975A4F">
      <w:pPr>
        <w:pStyle w:val="Heading1"/>
        <w:rPr>
          <w:szCs w:val="24"/>
        </w:rPr>
      </w:pPr>
      <w:bookmarkStart w:id="229" w:name="_Toc127287293"/>
      <w:bookmarkStart w:id="230" w:name="_Toc160529619"/>
      <w:bookmarkStart w:id="231" w:name="_Hlk36205565"/>
      <w:bookmarkStart w:id="232" w:name="_Toc189128106"/>
      <w:r w:rsidRPr="008D54A5">
        <w:lastRenderedPageBreak/>
        <w:t>202</w:t>
      </w:r>
      <w:r w:rsidR="00AA45EE">
        <w:t>2</w:t>
      </w:r>
      <w:r w:rsidR="005B3583" w:rsidRPr="008D54A5">
        <w:t xml:space="preserve"> </w:t>
      </w:r>
      <w:r w:rsidR="00F66AD2" w:rsidRPr="008D54A5">
        <w:t>MPC Statistical Matching</w:t>
      </w:r>
      <w:r w:rsidR="00356CD1" w:rsidRPr="008D54A5">
        <w:br/>
      </w:r>
      <w:r w:rsidR="00F66AD2" w:rsidRPr="008D54A5">
        <w:t>(Record Linkage) Process</w:t>
      </w:r>
      <w:bookmarkEnd w:id="229"/>
      <w:bookmarkEnd w:id="230"/>
      <w:bookmarkEnd w:id="232"/>
    </w:p>
    <w:p w14:paraId="2B15A6BB" w14:textId="18AD1465" w:rsidR="00443422" w:rsidRPr="008D54A5" w:rsidRDefault="00B516FE" w:rsidP="00E75D33">
      <w:pPr>
        <w:pStyle w:val="BodyText"/>
      </w:pPr>
      <w:r>
        <w:t>T</w:t>
      </w:r>
      <w:r w:rsidR="00F66AD2" w:rsidRPr="008D54A5">
        <w:t xml:space="preserve">he ultimate product of this task is the linking of medical events between the </w:t>
      </w:r>
      <w:r w:rsidR="007564AE" w:rsidRPr="008D54A5">
        <w:t>Household Component (</w:t>
      </w:r>
      <w:r w:rsidR="00F66AD2" w:rsidRPr="008D54A5">
        <w:t>HC</w:t>
      </w:r>
      <w:r w:rsidR="007564AE" w:rsidRPr="008D54A5">
        <w:t>)</w:t>
      </w:r>
      <w:r w:rsidR="00F66AD2" w:rsidRPr="008D54A5">
        <w:t xml:space="preserve"> and </w:t>
      </w:r>
      <w:r w:rsidR="007564AE" w:rsidRPr="008D54A5">
        <w:t>Medical Provider Component (</w:t>
      </w:r>
      <w:r w:rsidR="00F66AD2" w:rsidRPr="008D54A5">
        <w:t>MPC</w:t>
      </w:r>
      <w:r w:rsidR="007564AE" w:rsidRPr="008D54A5">
        <w:t>)</w:t>
      </w:r>
      <w:r w:rsidR="00F66AD2" w:rsidRPr="008D54A5">
        <w:t xml:space="preserve">. Since unique identifiers do not exist for medical events that would allow us to simply merge </w:t>
      </w:r>
      <w:r w:rsidR="00356CD1" w:rsidRPr="008D54A5">
        <w:t>“</w:t>
      </w:r>
      <w:r w:rsidR="00F66AD2" w:rsidRPr="008D54A5">
        <w:t>by</w:t>
      </w:r>
      <w:r w:rsidR="00356CD1" w:rsidRPr="008D54A5">
        <w:t>”</w:t>
      </w:r>
      <w:r w:rsidR="00F66AD2" w:rsidRPr="008D54A5">
        <w:t xml:space="preserve"> some set of variables, and because data items on both the HC and MPC are subject to recall and other forms of non</w:t>
      </w:r>
      <w:r w:rsidR="007963FF" w:rsidRPr="008D54A5">
        <w:t>-</w:t>
      </w:r>
      <w:r w:rsidR="00F66AD2" w:rsidRPr="008D54A5">
        <w:t xml:space="preserve">sampling error (e.g., the reported date of an event may not be accurate), the HC and MPC data are linked using a </w:t>
      </w:r>
      <w:r w:rsidR="00F66AD2" w:rsidRPr="008D54A5">
        <w:rPr>
          <w:bCs w:val="0"/>
        </w:rPr>
        <w:t>statistical, probabilistic matching process.</w:t>
      </w:r>
      <w:r w:rsidR="00F66AD2" w:rsidRPr="008D54A5">
        <w:t xml:space="preserve"> The matching process is also referred to as </w:t>
      </w:r>
      <w:r w:rsidR="00F66AD2" w:rsidRPr="008D54A5">
        <w:rPr>
          <w:bCs w:val="0"/>
        </w:rPr>
        <w:t>record linkage</w:t>
      </w:r>
      <w:r w:rsidR="00F66AD2" w:rsidRPr="008D54A5">
        <w:t xml:space="preserve"> or </w:t>
      </w:r>
      <w:r w:rsidR="00F66AD2" w:rsidRPr="008D54A5">
        <w:rPr>
          <w:bCs w:val="0"/>
        </w:rPr>
        <w:t>record matching</w:t>
      </w:r>
      <w:r w:rsidR="00F66AD2" w:rsidRPr="008D54A5">
        <w:t xml:space="preserve"> in the literature</w:t>
      </w:r>
      <w:r w:rsidR="00D47DE3" w:rsidRPr="008D54A5">
        <w:t>. V</w:t>
      </w:r>
      <w:r w:rsidR="00F66AD2" w:rsidRPr="008D54A5">
        <w:t>arious algorithms have been developed and successfully used to not only identify matched records between two or more files, but also to identify duplicates within a file.</w:t>
      </w:r>
    </w:p>
    <w:p w14:paraId="78AA15A4" w14:textId="2DFE3DDA" w:rsidR="007F577A" w:rsidRPr="008D54A5" w:rsidRDefault="00F66AD2" w:rsidP="00E75D33">
      <w:pPr>
        <w:pStyle w:val="BodyText"/>
      </w:pPr>
      <w:r w:rsidRPr="008D54A5">
        <w:t xml:space="preserve">The statistical matching process </w:t>
      </w:r>
      <w:r w:rsidR="00EB2641" w:rsidRPr="008D54A5">
        <w:t>for</w:t>
      </w:r>
      <w:r w:rsidRPr="008D54A5">
        <w:t xml:space="preserve"> the </w:t>
      </w:r>
      <w:r w:rsidR="007564AE" w:rsidRPr="008D54A5">
        <w:t>Medical Expenditure Panel Survey (</w:t>
      </w:r>
      <w:r w:rsidRPr="008D54A5">
        <w:t>MEPS</w:t>
      </w:r>
      <w:r w:rsidR="007564AE" w:rsidRPr="008D54A5">
        <w:t>)</w:t>
      </w:r>
      <w:r w:rsidRPr="008D54A5">
        <w:t xml:space="preserve"> data entails using several </w:t>
      </w:r>
      <w:r w:rsidR="00D47DE3" w:rsidRPr="008D54A5">
        <w:t xml:space="preserve">fields (or </w:t>
      </w:r>
      <w:r w:rsidRPr="008D54A5">
        <w:t>variables</w:t>
      </w:r>
      <w:r w:rsidR="00D47DE3" w:rsidRPr="008D54A5">
        <w:t>)</w:t>
      </w:r>
      <w:r w:rsidRPr="008D54A5">
        <w:t xml:space="preserve"> to construct a </w:t>
      </w:r>
      <w:r w:rsidRPr="008D54A5">
        <w:rPr>
          <w:b/>
        </w:rPr>
        <w:t>match weight</w:t>
      </w:r>
      <w:r w:rsidR="001E52A6" w:rsidRPr="008D54A5">
        <w:t xml:space="preserve"> </w:t>
      </w:r>
      <w:r w:rsidRPr="008D54A5">
        <w:t xml:space="preserve">for all possible matched pairs between the HC and MPC files. </w:t>
      </w:r>
      <w:r w:rsidR="000000C1" w:rsidRPr="008D54A5">
        <w:t xml:space="preserve">In the statistical matching literature, other terms such as </w:t>
      </w:r>
      <w:r w:rsidR="00356CD1" w:rsidRPr="008D54A5">
        <w:t>“</w:t>
      </w:r>
      <w:r w:rsidR="000000C1" w:rsidRPr="008D54A5">
        <w:t>composite match weight,</w:t>
      </w:r>
      <w:r w:rsidR="00356CD1" w:rsidRPr="008D54A5">
        <w:t>”</w:t>
      </w:r>
      <w:r w:rsidR="000000C1" w:rsidRPr="008D54A5">
        <w:t xml:space="preserve"> </w:t>
      </w:r>
      <w:r w:rsidR="00356CD1" w:rsidRPr="008D54A5">
        <w:t>“</w:t>
      </w:r>
      <w:r w:rsidR="000000C1" w:rsidRPr="008D54A5">
        <w:t>composite weight,</w:t>
      </w:r>
      <w:r w:rsidR="00356CD1" w:rsidRPr="008D54A5">
        <w:t>”</w:t>
      </w:r>
      <w:r w:rsidR="000000C1" w:rsidRPr="008D54A5">
        <w:t xml:space="preserve"> and</w:t>
      </w:r>
      <w:r w:rsidR="00443422" w:rsidRPr="008D54A5">
        <w:t xml:space="preserve"> </w:t>
      </w:r>
      <w:r w:rsidR="00356CD1" w:rsidRPr="008D54A5">
        <w:t>“</w:t>
      </w:r>
      <w:r w:rsidR="000000C1" w:rsidRPr="008D54A5">
        <w:t>total match weight</w:t>
      </w:r>
      <w:r w:rsidR="00356CD1" w:rsidRPr="008D54A5">
        <w:t>”</w:t>
      </w:r>
      <w:r w:rsidR="000000C1" w:rsidRPr="008D54A5">
        <w:t xml:space="preserve"> are used interchangeably with </w:t>
      </w:r>
      <w:r w:rsidR="00356CD1" w:rsidRPr="008D54A5">
        <w:t>“</w:t>
      </w:r>
      <w:r w:rsidR="000000C1" w:rsidRPr="008D54A5">
        <w:t>match weight</w:t>
      </w:r>
      <w:r w:rsidR="00356CD1" w:rsidRPr="008D54A5">
        <w:t>”</w:t>
      </w:r>
      <w:r w:rsidR="000000C1" w:rsidRPr="008D54A5">
        <w:t xml:space="preserve"> (</w:t>
      </w:r>
      <w:r w:rsidR="006D00F9" w:rsidRPr="008D54A5">
        <w:t>e.g.</w:t>
      </w:r>
      <w:r w:rsidR="000000C1" w:rsidRPr="008D54A5">
        <w:t xml:space="preserve">, </w:t>
      </w:r>
      <w:proofErr w:type="spellStart"/>
      <w:r w:rsidR="000000C1" w:rsidRPr="008D54A5">
        <w:t>Jaro</w:t>
      </w:r>
      <w:proofErr w:type="spellEnd"/>
      <w:r w:rsidR="006D00F9" w:rsidRPr="008D54A5">
        <w:t>,</w:t>
      </w:r>
      <w:r w:rsidR="000000C1" w:rsidRPr="008D54A5">
        <w:t xml:space="preserve"> 1989). </w:t>
      </w:r>
      <w:r w:rsidRPr="008D54A5">
        <w:t>The variables</w:t>
      </w:r>
      <w:r w:rsidR="000000C1" w:rsidRPr="008D54A5">
        <w:t xml:space="preserve"> used in the matching</w:t>
      </w:r>
      <w:r w:rsidR="00443422" w:rsidRPr="008D54A5">
        <w:t xml:space="preserve"> </w:t>
      </w:r>
      <w:r w:rsidR="00F41986" w:rsidRPr="008D54A5">
        <w:t>must</w:t>
      </w:r>
      <w:r w:rsidRPr="008D54A5">
        <w:t xml:space="preserve"> be available on both the HC and MPC</w:t>
      </w:r>
      <w:r w:rsidR="000000C1" w:rsidRPr="008D54A5">
        <w:t xml:space="preserve"> data files</w:t>
      </w:r>
      <w:r w:rsidRPr="008D54A5">
        <w:t xml:space="preserve">, </w:t>
      </w:r>
      <w:r w:rsidR="00F41986" w:rsidRPr="008D54A5">
        <w:t>al</w:t>
      </w:r>
      <w:r w:rsidRPr="008D54A5">
        <w:t xml:space="preserve">though they can contain missing values for some events (generally missing values will result in a </w:t>
      </w:r>
      <w:r w:rsidR="003B0AFE" w:rsidRPr="008D54A5">
        <w:t>zero-field</w:t>
      </w:r>
      <w:r w:rsidR="00597915" w:rsidRPr="008D54A5">
        <w:rPr>
          <w:rFonts w:cs="Times New Roman"/>
          <w:bCs w:val="0"/>
        </w:rPr>
        <w:t xml:space="preserve"> comparison score </w:t>
      </w:r>
      <w:r w:rsidR="00F41986" w:rsidRPr="008D54A5">
        <w:rPr>
          <w:rFonts w:cs="Times New Roman"/>
          <w:bCs w:val="0"/>
        </w:rPr>
        <w:t>[</w:t>
      </w:r>
      <w:r w:rsidR="00597915" w:rsidRPr="008D54A5">
        <w:rPr>
          <w:rFonts w:cs="Times New Roman"/>
          <w:bCs w:val="0"/>
        </w:rPr>
        <w:t>or contribution for the variable</w:t>
      </w:r>
      <w:r w:rsidR="00F41986" w:rsidRPr="008D54A5">
        <w:rPr>
          <w:rFonts w:cs="Times New Roman"/>
          <w:bCs w:val="0"/>
        </w:rPr>
        <w:t>]</w:t>
      </w:r>
      <w:r w:rsidR="00F41986" w:rsidRPr="008D54A5">
        <w:t xml:space="preserve"> </w:t>
      </w:r>
      <w:r w:rsidRPr="008D54A5">
        <w:t>to the match weight.) The match weight is a function of the similarity between non</w:t>
      </w:r>
      <w:r w:rsidR="007963FF" w:rsidRPr="008D54A5">
        <w:t>-</w:t>
      </w:r>
      <w:r w:rsidRPr="008D54A5">
        <w:t>missing values of these variables, as well as a function of some agreement probabilities estimated at the variable level. The match weight represents the estimated likelihood that a match is correct</w:t>
      </w:r>
      <w:r w:rsidR="00355F51" w:rsidRPr="008D54A5">
        <w:t xml:space="preserve"> where </w:t>
      </w:r>
      <w:r w:rsidRPr="008D54A5">
        <w:t xml:space="preserve">pairs with a larger match weight have a higher probability of being an accurate match. </w:t>
      </w:r>
    </w:p>
    <w:p w14:paraId="300D403F" w14:textId="01C80790" w:rsidR="007F577A" w:rsidRPr="008D54A5" w:rsidRDefault="00F66AD2" w:rsidP="00E75D33">
      <w:pPr>
        <w:pStyle w:val="BodyText"/>
      </w:pPr>
      <w:r w:rsidRPr="008D54A5">
        <w:t>This section summar</w:t>
      </w:r>
      <w:r w:rsidR="00F41986" w:rsidRPr="008D54A5">
        <w:t>izes</w:t>
      </w:r>
      <w:r w:rsidRPr="008D54A5">
        <w:t xml:space="preserve"> the methodology of the record linkage matching process used in MEPS. </w:t>
      </w:r>
    </w:p>
    <w:p w14:paraId="44465C23" w14:textId="32BBA8F8" w:rsidR="00E46A80" w:rsidRPr="008D54A5" w:rsidRDefault="00F66AD2" w:rsidP="00DD4425">
      <w:pPr>
        <w:pStyle w:val="Heading2"/>
      </w:pPr>
      <w:bookmarkStart w:id="233" w:name="_Toc127287296"/>
      <w:bookmarkStart w:id="234" w:name="_Toc160529622"/>
      <w:bookmarkStart w:id="235" w:name="_Toc189128107"/>
      <w:r w:rsidRPr="008D54A5">
        <w:t>The Matching Algorithm</w:t>
      </w:r>
      <w:bookmarkEnd w:id="233"/>
      <w:bookmarkEnd w:id="234"/>
      <w:bookmarkEnd w:id="235"/>
    </w:p>
    <w:p w14:paraId="5A4981DB" w14:textId="765D98B7" w:rsidR="00443422" w:rsidRPr="008D54A5" w:rsidRDefault="00F66AD2" w:rsidP="001D6DDF">
      <w:pPr>
        <w:pStyle w:val="BodyText"/>
      </w:pPr>
      <w:r w:rsidRPr="008D54A5">
        <w:t xml:space="preserve">The </w:t>
      </w:r>
      <w:proofErr w:type="spellStart"/>
      <w:r w:rsidRPr="008D54A5">
        <w:t>Fellegi-Sunter</w:t>
      </w:r>
      <w:proofErr w:type="spellEnd"/>
      <w:r w:rsidRPr="008D54A5">
        <w:t xml:space="preserve"> algorithm links records based on match weights that are computed from the specific fields </w:t>
      </w:r>
      <w:r w:rsidR="001E52A6" w:rsidRPr="008D54A5">
        <w:t>(</w:t>
      </w:r>
      <w:r w:rsidRPr="008D54A5">
        <w:t>or variables</w:t>
      </w:r>
      <w:r w:rsidR="001E52A6" w:rsidRPr="008D54A5">
        <w:t>)</w:t>
      </w:r>
      <w:r w:rsidRPr="008D54A5">
        <w:t xml:space="preserve"> being compared. The matching algorithm accommodates discrepancies in responses in the matching fields being compared on two files and provides probabilistic linkages even when the link is not perfect. This method determines the strength, or the quality, of the specific matches made. </w:t>
      </w:r>
      <w:r w:rsidR="004839F5" w:rsidRPr="008D54A5">
        <w:t>The</w:t>
      </w:r>
      <w:r w:rsidR="00FA092A" w:rsidRPr="008D54A5">
        <w:t xml:space="preserve"> process consists of assigning a</w:t>
      </w:r>
      <w:r w:rsidR="001D6DDF" w:rsidRPr="008D54A5">
        <w:t xml:space="preserve"> comparison score</w:t>
      </w:r>
      <w:r w:rsidR="00FA092A" w:rsidRPr="008D54A5">
        <w:t xml:space="preserve"> to each</w:t>
      </w:r>
      <w:r w:rsidR="004839F5" w:rsidRPr="008D54A5">
        <w:t xml:space="preserve"> field for a</w:t>
      </w:r>
      <w:r w:rsidR="00FA092A" w:rsidRPr="008D54A5">
        <w:t xml:space="preserve"> pair based on the likelihood that the match is for the same event. Thus, matching events would have large agreement weights, and nonmatches would have much smaller agreement weights.</w:t>
      </w:r>
    </w:p>
    <w:p w14:paraId="510791EA" w14:textId="7FB88C1A" w:rsidR="00873E3B" w:rsidRPr="008D54A5" w:rsidRDefault="00F66AD2" w:rsidP="00E75D33">
      <w:pPr>
        <w:pStyle w:val="BodyText"/>
      </w:pPr>
      <w:r w:rsidRPr="008D54A5">
        <w:t>The method assumes matching fields</w:t>
      </w:r>
      <w:r w:rsidR="00443422" w:rsidRPr="008D54A5">
        <w:t xml:space="preserve"> </w:t>
      </w:r>
      <w:r w:rsidRPr="008D54A5">
        <w:t>are independent. The match weight is computed for each pair of records from a likelihood ratio based on the agreement of the matching fields. The SAS macros match on arrays of numeric variables and have not been adapted for matching of text or character strings.</w:t>
      </w:r>
    </w:p>
    <w:p w14:paraId="2A75924E" w14:textId="4D0E6387" w:rsidR="007F577A" w:rsidRPr="008D54A5" w:rsidRDefault="00F66AD2" w:rsidP="00653DC6">
      <w:pPr>
        <w:pStyle w:val="BodyText"/>
        <w:spacing w:after="120"/>
      </w:pPr>
      <w:r w:rsidRPr="008D54A5">
        <w:lastRenderedPageBreak/>
        <w:t xml:space="preserve">Suppose the index </w:t>
      </w:r>
      <w:proofErr w:type="spellStart"/>
      <w:r w:rsidRPr="008D54A5">
        <w:rPr>
          <w:i/>
        </w:rPr>
        <w:t>i</w:t>
      </w:r>
      <w:proofErr w:type="spellEnd"/>
      <w:r w:rsidRPr="008D54A5">
        <w:t xml:space="preserve"> denotes a field or variable used in the comparison process. In addition, suppose </w:t>
      </w:r>
      <w:r w:rsidR="008F2986" w:rsidRPr="008D54A5">
        <w:t xml:space="preserve">there is interest </w:t>
      </w:r>
      <w:r w:rsidRPr="008D54A5">
        <w:t xml:space="preserve">in determining a match weight for a pair of records </w:t>
      </w:r>
      <w:r w:rsidRPr="008D54A5">
        <w:rPr>
          <w:i/>
        </w:rPr>
        <w:t>j</w:t>
      </w:r>
      <w:r w:rsidRPr="008D54A5">
        <w:t xml:space="preserve"> (from the HC file) and </w:t>
      </w:r>
      <w:r w:rsidRPr="008D54A5">
        <w:rPr>
          <w:i/>
        </w:rPr>
        <w:t>k</w:t>
      </w:r>
      <w:r w:rsidRPr="008D54A5">
        <w:t xml:space="preserve"> (from the MPC file). </w:t>
      </w:r>
      <w:r w:rsidR="005F2CBF" w:rsidRPr="008D54A5">
        <w:t>Also,</w:t>
      </w:r>
      <w:r w:rsidRPr="008D54A5">
        <w:t xml:space="preserve"> suppose the following:</w:t>
      </w:r>
    </w:p>
    <w:p w14:paraId="007C3BC4" w14:textId="2CE2221A" w:rsidR="00B473FC" w:rsidRPr="008D54A5" w:rsidRDefault="00181408" w:rsidP="00944BDD">
      <w:pPr>
        <w:pStyle w:val="BodyText"/>
      </w:pPr>
      <w:bookmarkStart w:id="236" w:name="_Hlk36460202"/>
      <w:r w:rsidRPr="008D54A5">
        <w:rPr>
          <w:i/>
          <w:iCs/>
        </w:rPr>
        <w:t>m</w:t>
      </w:r>
      <w:r w:rsidRPr="008D54A5">
        <w:rPr>
          <w:i/>
          <w:iCs/>
          <w:vertAlign w:val="subscript"/>
        </w:rPr>
        <w:t>i</w:t>
      </w:r>
      <w:bookmarkEnd w:id="236"/>
      <w:r w:rsidR="00C4562F" w:rsidRPr="008D54A5">
        <w:rPr>
          <w:i/>
          <w:iCs/>
        </w:rPr>
        <w:t xml:space="preserve"> </w:t>
      </w:r>
      <w:r w:rsidR="00B473FC" w:rsidRPr="008D54A5">
        <w:t xml:space="preserve">= </w:t>
      </w:r>
      <w:proofErr w:type="spellStart"/>
      <w:r w:rsidR="00B473FC" w:rsidRPr="008D54A5">
        <w:t>Pr</w:t>
      </w:r>
      <w:proofErr w:type="spellEnd"/>
      <w:r w:rsidR="00A36105" w:rsidRPr="008D54A5">
        <w:t xml:space="preserve"> </w:t>
      </w:r>
      <w:r w:rsidR="00B473FC" w:rsidRPr="008D54A5">
        <w:t xml:space="preserve">{field </w:t>
      </w:r>
      <w:proofErr w:type="spellStart"/>
      <w:r w:rsidR="00B473FC" w:rsidRPr="008D54A5">
        <w:rPr>
          <w:i/>
          <w:iCs/>
        </w:rPr>
        <w:t>i</w:t>
      </w:r>
      <w:proofErr w:type="spellEnd"/>
      <w:r w:rsidR="00B473FC" w:rsidRPr="008D54A5">
        <w:t xml:space="preserve"> agrees in the set of M true matches}</w:t>
      </w:r>
    </w:p>
    <w:p w14:paraId="7B7A7B12" w14:textId="7A431C21" w:rsidR="00064683" w:rsidRPr="008D54A5" w:rsidRDefault="00C4562F" w:rsidP="00944BDD">
      <w:pPr>
        <w:pStyle w:val="BodyText"/>
      </w:pPr>
      <w:bookmarkStart w:id="237" w:name="_Hlk36459955"/>
      <w:proofErr w:type="spellStart"/>
      <w:r w:rsidRPr="008D54A5">
        <w:rPr>
          <w:i/>
          <w:iCs/>
        </w:rPr>
        <w:t>u</w:t>
      </w:r>
      <w:r w:rsidRPr="008D54A5">
        <w:rPr>
          <w:i/>
          <w:iCs/>
          <w:vertAlign w:val="subscript"/>
        </w:rPr>
        <w:t>i</w:t>
      </w:r>
      <w:bookmarkEnd w:id="237"/>
      <w:proofErr w:type="spellEnd"/>
      <w:r w:rsidRPr="008D54A5">
        <w:t xml:space="preserve"> </w:t>
      </w:r>
      <w:r w:rsidR="00B473FC" w:rsidRPr="008D54A5">
        <w:t xml:space="preserve">= </w:t>
      </w:r>
      <w:proofErr w:type="spellStart"/>
      <w:r w:rsidR="00B473FC" w:rsidRPr="008D54A5">
        <w:t>Pr</w:t>
      </w:r>
      <w:proofErr w:type="spellEnd"/>
      <w:r w:rsidR="00B473FC" w:rsidRPr="008D54A5">
        <w:t xml:space="preserve"> {field </w:t>
      </w:r>
      <w:proofErr w:type="spellStart"/>
      <w:r w:rsidR="00B473FC" w:rsidRPr="008D54A5">
        <w:rPr>
          <w:i/>
          <w:iCs/>
        </w:rPr>
        <w:t>i</w:t>
      </w:r>
      <w:proofErr w:type="spellEnd"/>
      <w:r w:rsidR="00B473FC" w:rsidRPr="008D54A5">
        <w:t xml:space="preserve"> agrees in the set of U true nonmatches}</w:t>
      </w:r>
    </w:p>
    <w:p w14:paraId="68E68BE8" w14:textId="2EB23FFD" w:rsidR="00443422" w:rsidRPr="008D54A5" w:rsidRDefault="00064683" w:rsidP="00944BDD">
      <w:pPr>
        <w:pStyle w:val="BodyText"/>
      </w:pPr>
      <w:r w:rsidRPr="008D54A5">
        <w:t>Thus</w:t>
      </w:r>
      <w:r w:rsidR="00D8019A" w:rsidRPr="008D54A5">
        <w:t>,</w:t>
      </w:r>
      <w:r w:rsidRPr="008D54A5">
        <w:t xml:space="preserve"> </w:t>
      </w:r>
      <w:r w:rsidR="00C4562F" w:rsidRPr="008D54A5">
        <w:rPr>
          <w:i/>
          <w:iCs/>
        </w:rPr>
        <w:t>m</w:t>
      </w:r>
      <w:r w:rsidR="00C4562F" w:rsidRPr="008D54A5">
        <w:rPr>
          <w:i/>
          <w:iCs/>
          <w:vertAlign w:val="subscript"/>
        </w:rPr>
        <w:t>i</w:t>
      </w:r>
      <w:r w:rsidR="00F66AD2" w:rsidRPr="008D54A5">
        <w:t xml:space="preserve"> is the probability that field </w:t>
      </w:r>
      <w:proofErr w:type="spellStart"/>
      <w:r w:rsidR="00F66AD2" w:rsidRPr="008D54A5">
        <w:rPr>
          <w:i/>
        </w:rPr>
        <w:t>i</w:t>
      </w:r>
      <w:proofErr w:type="spellEnd"/>
      <w:r w:rsidR="00F66AD2" w:rsidRPr="008D54A5">
        <w:t xml:space="preserve"> agrees among the tru</w:t>
      </w:r>
      <w:r w:rsidR="004628B4" w:rsidRPr="008D54A5">
        <w:t>e</w:t>
      </w:r>
      <w:r w:rsidR="00F66AD2" w:rsidRPr="008D54A5">
        <w:t xml:space="preserve"> matched records and </w:t>
      </w:r>
      <w:proofErr w:type="spellStart"/>
      <w:r w:rsidR="002427B2" w:rsidRPr="008D54A5">
        <w:rPr>
          <w:i/>
          <w:iCs/>
        </w:rPr>
        <w:t>u</w:t>
      </w:r>
      <w:r w:rsidR="002427B2" w:rsidRPr="008D54A5">
        <w:rPr>
          <w:i/>
          <w:iCs/>
          <w:vertAlign w:val="subscript"/>
        </w:rPr>
        <w:t>i</w:t>
      </w:r>
      <w:proofErr w:type="spellEnd"/>
      <w:r w:rsidR="002427B2" w:rsidRPr="008D54A5">
        <w:t xml:space="preserve"> is</w:t>
      </w:r>
      <w:r w:rsidR="00F66AD2" w:rsidRPr="008D54A5">
        <w:t xml:space="preserve"> the probability that field </w:t>
      </w:r>
      <w:proofErr w:type="spellStart"/>
      <w:r w:rsidR="00F66AD2" w:rsidRPr="008D54A5">
        <w:rPr>
          <w:i/>
        </w:rPr>
        <w:t>i</w:t>
      </w:r>
      <w:proofErr w:type="spellEnd"/>
      <w:r w:rsidR="00F66AD2" w:rsidRPr="008D54A5">
        <w:t xml:space="preserve"> agrees by chance among tru</w:t>
      </w:r>
      <w:r w:rsidR="004628B4" w:rsidRPr="008D54A5">
        <w:t>e</w:t>
      </w:r>
      <w:r w:rsidR="00F66AD2" w:rsidRPr="008D54A5">
        <w:t xml:space="preserve"> nonmatched records.</w:t>
      </w:r>
      <w:r w:rsidR="0086122E" w:rsidRPr="008D54A5">
        <w:t xml:space="preserve"> These are referred to as the </w:t>
      </w:r>
      <w:r w:rsidR="00356CD1" w:rsidRPr="008D54A5">
        <w:t>“</w:t>
      </w:r>
      <w:r w:rsidR="0086122E" w:rsidRPr="008D54A5">
        <w:rPr>
          <w:i/>
          <w:iCs/>
        </w:rPr>
        <w:t>m</w:t>
      </w:r>
      <w:r w:rsidR="00356CD1" w:rsidRPr="008D54A5">
        <w:t>”</w:t>
      </w:r>
      <w:r w:rsidR="0086122E" w:rsidRPr="008D54A5">
        <w:t xml:space="preserve"> and </w:t>
      </w:r>
      <w:r w:rsidR="00356CD1" w:rsidRPr="008D54A5">
        <w:t>“</w:t>
      </w:r>
      <w:r w:rsidR="0086122E" w:rsidRPr="008D54A5">
        <w:rPr>
          <w:i/>
          <w:iCs/>
        </w:rPr>
        <w:t>u</w:t>
      </w:r>
      <w:r w:rsidR="00356CD1" w:rsidRPr="008D54A5">
        <w:t>”</w:t>
      </w:r>
      <w:r w:rsidR="0086122E" w:rsidRPr="008D54A5">
        <w:t xml:space="preserve"> probabilities.</w:t>
      </w:r>
    </w:p>
    <w:p w14:paraId="6F92346C" w14:textId="3C0D17CC" w:rsidR="007F577A" w:rsidRPr="008D54A5" w:rsidRDefault="008F2986" w:rsidP="00944BDD">
      <w:pPr>
        <w:pStyle w:val="BodyText"/>
      </w:pPr>
      <w:r w:rsidRPr="008D54A5">
        <w:t>The</w:t>
      </w:r>
      <w:r w:rsidR="00F66AD2" w:rsidRPr="008D54A5">
        <w:t xml:space="preserve"> </w:t>
      </w:r>
      <w:r w:rsidR="00F66AD2" w:rsidRPr="008D54A5">
        <w:rPr>
          <w:b/>
        </w:rPr>
        <w:t>agreement field weight</w:t>
      </w:r>
      <w:r w:rsidR="00F66AD2" w:rsidRPr="008D54A5">
        <w:t xml:space="preserve"> for</w:t>
      </w:r>
      <w:r w:rsidR="00F403AB" w:rsidRPr="008D54A5">
        <w:t xml:space="preserve"> variable</w:t>
      </w:r>
      <w:r w:rsidR="00F66AD2" w:rsidRPr="008D54A5">
        <w:t xml:space="preserve"> </w:t>
      </w:r>
      <w:proofErr w:type="spellStart"/>
      <w:r w:rsidR="00F66AD2" w:rsidRPr="008D54A5">
        <w:rPr>
          <w:i/>
        </w:rPr>
        <w:t>i</w:t>
      </w:r>
      <w:proofErr w:type="spellEnd"/>
      <w:r w:rsidR="00F66AD2" w:rsidRPr="008D54A5">
        <w:t xml:space="preserve"> </w:t>
      </w:r>
      <w:r w:rsidRPr="008D54A5">
        <w:t xml:space="preserve">is defined </w:t>
      </w:r>
      <w:r w:rsidR="00F66AD2" w:rsidRPr="008D54A5">
        <w:t>as the base-2 logarithm of the ratio of these two probabilities</w:t>
      </w:r>
      <w:r w:rsidR="00A36105" w:rsidRPr="008D54A5">
        <w:t>:</w:t>
      </w:r>
    </w:p>
    <w:p w14:paraId="56F1F7B6" w14:textId="77777777" w:rsidR="00064683" w:rsidRPr="008D54A5" w:rsidRDefault="00F66AD2" w:rsidP="0042348D">
      <w:pPr>
        <w:tabs>
          <w:tab w:val="center" w:pos="4680"/>
          <w:tab w:val="right" w:pos="9360"/>
        </w:tabs>
        <w:jc w:val="center"/>
        <w:rPr>
          <w:szCs w:val="24"/>
        </w:rPr>
      </w:pPr>
      <w:r w:rsidRPr="008D54A5">
        <w:rPr>
          <w:szCs w:val="24"/>
        </w:rPr>
        <w:tab/>
      </w:r>
      <w:r w:rsidR="00762FC2" w:rsidRPr="008D54A5">
        <w:rPr>
          <w:position w:val="-32"/>
          <w:szCs w:val="24"/>
        </w:rPr>
        <w:object w:dxaOrig="1480" w:dyaOrig="760" w14:anchorId="019DF5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1.25pt" o:ole="">
            <v:imagedata r:id="rId33" o:title=""/>
          </v:shape>
          <o:OLEObject Type="Embed" ProgID="Equation.3" ShapeID="_x0000_i1025" DrawAspect="Content" ObjectID="_1799740946" r:id="rId34"/>
        </w:object>
      </w:r>
      <w:r w:rsidR="0042348D" w:rsidRPr="008D54A5">
        <w:rPr>
          <w:szCs w:val="24"/>
        </w:rPr>
        <w:tab/>
      </w:r>
      <w:r w:rsidR="00CB5BE9" w:rsidRPr="008D54A5">
        <w:rPr>
          <w:szCs w:val="24"/>
        </w:rPr>
        <w:t>(7.1)</w:t>
      </w:r>
    </w:p>
    <w:p w14:paraId="1BB8F14A" w14:textId="77777777" w:rsidR="00F165FA" w:rsidRPr="008D54A5" w:rsidRDefault="00F165FA" w:rsidP="00F165FA">
      <w:pPr>
        <w:rPr>
          <w:szCs w:val="24"/>
        </w:rPr>
      </w:pPr>
    </w:p>
    <w:p w14:paraId="210D5424" w14:textId="5D56BA36" w:rsidR="00F165FA" w:rsidRPr="008D54A5" w:rsidRDefault="00C15E0E" w:rsidP="00944BDD">
      <w:pPr>
        <w:pStyle w:val="BodyText"/>
      </w:pPr>
      <w:r w:rsidRPr="008D54A5">
        <w:t>In addition,</w:t>
      </w:r>
      <w:r w:rsidR="00F165FA" w:rsidRPr="008D54A5">
        <w:t xml:space="preserve"> the </w:t>
      </w:r>
      <w:r w:rsidR="00F165FA" w:rsidRPr="008D54A5">
        <w:rPr>
          <w:b/>
        </w:rPr>
        <w:t>disagreement field weight</w:t>
      </w:r>
      <w:r w:rsidR="00F165FA" w:rsidRPr="008D54A5">
        <w:t xml:space="preserve"> for </w:t>
      </w:r>
      <w:r w:rsidR="00762FC2" w:rsidRPr="008D54A5">
        <w:t xml:space="preserve">variable </w:t>
      </w:r>
      <w:proofErr w:type="spellStart"/>
      <w:r w:rsidR="00F165FA" w:rsidRPr="008D54A5">
        <w:rPr>
          <w:i/>
        </w:rPr>
        <w:t>i</w:t>
      </w:r>
      <w:proofErr w:type="spellEnd"/>
      <w:r w:rsidR="00762FC2" w:rsidRPr="008D54A5">
        <w:t xml:space="preserve"> </w:t>
      </w:r>
      <w:r w:rsidR="008F2986" w:rsidRPr="008D54A5">
        <w:t xml:space="preserve">is defined </w:t>
      </w:r>
      <w:r w:rsidR="00F66AD2" w:rsidRPr="008D54A5">
        <w:t>as:</w:t>
      </w:r>
    </w:p>
    <w:p w14:paraId="17619BA8" w14:textId="77777777" w:rsidR="00064683" w:rsidRPr="008D54A5" w:rsidRDefault="00F66AD2" w:rsidP="0042348D">
      <w:pPr>
        <w:tabs>
          <w:tab w:val="center" w:pos="4680"/>
          <w:tab w:val="right" w:pos="9360"/>
        </w:tabs>
        <w:rPr>
          <w:szCs w:val="24"/>
        </w:rPr>
      </w:pPr>
      <w:r w:rsidRPr="008D54A5">
        <w:rPr>
          <w:szCs w:val="24"/>
        </w:rPr>
        <w:tab/>
      </w:r>
      <w:r w:rsidR="00762FC2" w:rsidRPr="008D54A5">
        <w:rPr>
          <w:position w:val="-32"/>
          <w:szCs w:val="24"/>
        </w:rPr>
        <w:object w:dxaOrig="1820" w:dyaOrig="760" w14:anchorId="23EE2CAD">
          <v:shape id="_x0000_i1026" type="#_x0000_t75" style="width:87.75pt;height:41.25pt" o:ole="">
            <v:imagedata r:id="rId35" o:title=""/>
          </v:shape>
          <o:OLEObject Type="Embed" ProgID="Equation.3" ShapeID="_x0000_i1026" DrawAspect="Content" ObjectID="_1799740947" r:id="rId36"/>
        </w:object>
      </w:r>
      <w:r w:rsidR="00CB5BE9" w:rsidRPr="008D54A5">
        <w:rPr>
          <w:szCs w:val="24"/>
        </w:rPr>
        <w:tab/>
        <w:t>(7.2)</w:t>
      </w:r>
    </w:p>
    <w:p w14:paraId="169D46D0" w14:textId="77777777" w:rsidR="00064683" w:rsidRPr="008D54A5" w:rsidRDefault="00064683" w:rsidP="00064683">
      <w:pPr>
        <w:rPr>
          <w:szCs w:val="24"/>
        </w:rPr>
      </w:pPr>
    </w:p>
    <w:p w14:paraId="58AE647F" w14:textId="77777777" w:rsidR="00A36105" w:rsidRPr="008D54A5" w:rsidRDefault="008810D1" w:rsidP="00944BDD">
      <w:pPr>
        <w:pStyle w:val="BodyText"/>
      </w:pPr>
      <w:r w:rsidRPr="008D54A5">
        <w:t xml:space="preserve">The </w:t>
      </w:r>
      <w:r w:rsidR="000C2CD8" w:rsidRPr="008D54A5">
        <w:rPr>
          <w:b/>
        </w:rPr>
        <w:t xml:space="preserve">field </w:t>
      </w:r>
      <w:r w:rsidR="00597915" w:rsidRPr="008D54A5">
        <w:rPr>
          <w:b/>
        </w:rPr>
        <w:t>comparison score</w:t>
      </w:r>
      <w:r w:rsidR="00597915" w:rsidRPr="008D54A5">
        <w:t xml:space="preserve"> </w:t>
      </w:r>
      <w:r w:rsidR="00B44DA4" w:rsidRPr="008D54A5">
        <w:t xml:space="preserve">refers to either of these </w:t>
      </w:r>
      <w:r w:rsidR="00597915" w:rsidRPr="008D54A5">
        <w:t>value</w:t>
      </w:r>
      <w:r w:rsidR="00B44DA4" w:rsidRPr="008D54A5">
        <w:t>s</w:t>
      </w:r>
      <w:r w:rsidR="00A36105" w:rsidRPr="008D54A5">
        <w:t>:</w:t>
      </w:r>
    </w:p>
    <w:p w14:paraId="31C77D22" w14:textId="06FA33CE" w:rsidR="00A36105" w:rsidRPr="008D54A5" w:rsidRDefault="00A36105" w:rsidP="00E62A12">
      <w:pPr>
        <w:pStyle w:val="BodyText"/>
        <w:keepNext/>
        <w:spacing w:after="120"/>
        <w:jc w:val="center"/>
      </w:pPr>
      <w:r w:rsidRPr="008D54A5">
        <w:rPr>
          <w:position w:val="-32"/>
          <w:szCs w:val="24"/>
        </w:rPr>
        <w:object w:dxaOrig="2860" w:dyaOrig="760" w14:anchorId="775EB2B1">
          <v:shape id="_x0000_i1027" type="#_x0000_t75" style="width:2in;height:35.25pt" o:ole="">
            <v:imagedata r:id="rId37" o:title=""/>
          </v:shape>
          <o:OLEObject Type="Embed" ProgID="Equation.3" ShapeID="_x0000_i1027" DrawAspect="Content" ObjectID="_1799740948" r:id="rId38"/>
        </w:object>
      </w:r>
    </w:p>
    <w:p w14:paraId="2AB257AE" w14:textId="7A536C57" w:rsidR="00443422" w:rsidRPr="008D54A5" w:rsidRDefault="00D46ED7" w:rsidP="00944BDD">
      <w:pPr>
        <w:pStyle w:val="BodyText"/>
      </w:pPr>
      <w:r w:rsidRPr="008D54A5">
        <w:t xml:space="preserve">For a pair of records </w:t>
      </w:r>
      <w:r w:rsidRPr="008D54A5">
        <w:rPr>
          <w:i/>
          <w:iCs/>
        </w:rPr>
        <w:t>j</w:t>
      </w:r>
      <w:r w:rsidRPr="008D54A5">
        <w:t xml:space="preserve"> (from the HC file) and </w:t>
      </w:r>
      <w:r w:rsidRPr="008D54A5">
        <w:rPr>
          <w:i/>
          <w:iCs/>
        </w:rPr>
        <w:t>k</w:t>
      </w:r>
      <w:r w:rsidRPr="008D54A5">
        <w:t xml:space="preserve"> (from the MPC file), </w:t>
      </w:r>
      <w:r w:rsidR="00A36105" w:rsidRPr="008D54A5">
        <w:t>the notation used</w:t>
      </w:r>
      <w:r w:rsidRPr="008D54A5">
        <w:t xml:space="preserve"> is</w:t>
      </w:r>
    </w:p>
    <w:p w14:paraId="16DA77F1" w14:textId="77777777" w:rsidR="00023CC1" w:rsidRPr="008D54A5" w:rsidRDefault="00023CC1" w:rsidP="0042348D">
      <w:pPr>
        <w:tabs>
          <w:tab w:val="center" w:pos="4680"/>
          <w:tab w:val="right" w:pos="9360"/>
        </w:tabs>
        <w:rPr>
          <w:szCs w:val="24"/>
        </w:rPr>
      </w:pPr>
      <w:r w:rsidRPr="008D54A5">
        <w:rPr>
          <w:szCs w:val="24"/>
        </w:rPr>
        <w:tab/>
      </w:r>
      <w:r w:rsidR="007643F4" w:rsidRPr="008D54A5">
        <w:rPr>
          <w:position w:val="-32"/>
          <w:szCs w:val="24"/>
        </w:rPr>
        <w:object w:dxaOrig="5880" w:dyaOrig="760" w14:anchorId="0334B953">
          <v:shape id="_x0000_i1028" type="#_x0000_t75" style="width:306pt;height:35.25pt" o:ole="">
            <v:imagedata r:id="rId39" o:title=""/>
          </v:shape>
          <o:OLEObject Type="Embed" ProgID="Equation.3" ShapeID="_x0000_i1028" DrawAspect="Content" ObjectID="_1799740949" r:id="rId40"/>
        </w:object>
      </w:r>
      <w:r w:rsidR="00F165FA" w:rsidRPr="008D54A5">
        <w:rPr>
          <w:szCs w:val="24"/>
        </w:rPr>
        <w:tab/>
        <w:t>(7.3</w:t>
      </w:r>
      <w:r w:rsidRPr="008D54A5">
        <w:rPr>
          <w:szCs w:val="24"/>
        </w:rPr>
        <w:t>)</w:t>
      </w:r>
    </w:p>
    <w:p w14:paraId="56382833" w14:textId="77777777" w:rsidR="00023CC1" w:rsidRPr="008D54A5" w:rsidRDefault="00023CC1" w:rsidP="00064683">
      <w:pPr>
        <w:rPr>
          <w:szCs w:val="24"/>
        </w:rPr>
      </w:pPr>
    </w:p>
    <w:p w14:paraId="436B0997" w14:textId="2CDAE163" w:rsidR="00443422" w:rsidRPr="008D54A5" w:rsidRDefault="008810D1" w:rsidP="00944BDD">
      <w:pPr>
        <w:pStyle w:val="BodyText"/>
      </w:pPr>
      <w:r w:rsidRPr="008D54A5">
        <w:t>The</w:t>
      </w:r>
      <w:r w:rsidR="00B40A09" w:rsidRPr="008D54A5">
        <w:t xml:space="preserve"> term</w:t>
      </w:r>
      <w:r w:rsidRPr="008D54A5">
        <w:t xml:space="preserve"> </w:t>
      </w:r>
      <w:r w:rsidR="00356CD1" w:rsidRPr="008D54A5">
        <w:t>“</w:t>
      </w:r>
      <w:r w:rsidR="00597915" w:rsidRPr="008D54A5">
        <w:t>field comparison score</w:t>
      </w:r>
      <w:r w:rsidR="00356CD1" w:rsidRPr="008D54A5">
        <w:t>”</w:t>
      </w:r>
      <w:r w:rsidRPr="008D54A5">
        <w:t xml:space="preserve"> </w:t>
      </w:r>
      <w:r w:rsidR="00B40A09" w:rsidRPr="008D54A5">
        <w:t>has</w:t>
      </w:r>
      <w:r w:rsidRPr="008D54A5">
        <w:t xml:space="preserve"> </w:t>
      </w:r>
      <w:r w:rsidR="005541AB" w:rsidRPr="008D54A5">
        <w:t>several</w:t>
      </w:r>
      <w:r w:rsidRPr="008D54A5">
        <w:t xml:space="preserve"> </w:t>
      </w:r>
      <w:r w:rsidR="00126548" w:rsidRPr="008D54A5">
        <w:t xml:space="preserve">other </w:t>
      </w:r>
      <w:r w:rsidR="00B40A09" w:rsidRPr="008D54A5">
        <w:t xml:space="preserve">synonyms </w:t>
      </w:r>
      <w:r w:rsidRPr="008D54A5">
        <w:t xml:space="preserve">in the literature, including field </w:t>
      </w:r>
      <w:r w:rsidR="004839F5" w:rsidRPr="008D54A5">
        <w:t xml:space="preserve">agreement/disagreement </w:t>
      </w:r>
      <w:r w:rsidRPr="008D54A5">
        <w:t>weight,</w:t>
      </w:r>
      <w:r w:rsidR="00443422" w:rsidRPr="008D54A5">
        <w:t xml:space="preserve"> </w:t>
      </w:r>
      <w:r w:rsidRPr="008D54A5">
        <w:t>component weight, contribution of each field,</w:t>
      </w:r>
      <w:r w:rsidR="00B40A09" w:rsidRPr="008D54A5" w:rsidDel="00B40A09">
        <w:t xml:space="preserve"> </w:t>
      </w:r>
      <w:r w:rsidRPr="008D54A5">
        <w:t>weight contribution of each field, and individual weights for agreement or disagreement on each field (</w:t>
      </w:r>
      <w:r w:rsidR="00DE409E" w:rsidRPr="008D54A5">
        <w:t>e.g.</w:t>
      </w:r>
      <w:r w:rsidRPr="008D54A5">
        <w:t xml:space="preserve">, </w:t>
      </w:r>
      <w:proofErr w:type="spellStart"/>
      <w:r w:rsidRPr="008D54A5">
        <w:t>Jaro</w:t>
      </w:r>
      <w:proofErr w:type="spellEnd"/>
      <w:r w:rsidRPr="008D54A5">
        <w:t xml:space="preserve"> 1989).</w:t>
      </w:r>
    </w:p>
    <w:p w14:paraId="7C5BB042" w14:textId="44076321" w:rsidR="00443422" w:rsidRPr="008D54A5" w:rsidRDefault="00C007E0" w:rsidP="00944BDD">
      <w:pPr>
        <w:pStyle w:val="BodyText"/>
      </w:pPr>
      <w:r w:rsidRPr="008D54A5">
        <w:t>In addition to sharing the fundamental matching algorithm</w:t>
      </w:r>
      <w:r w:rsidR="00640311" w:rsidRPr="008D54A5">
        <w:t>:</w:t>
      </w:r>
    </w:p>
    <w:p w14:paraId="6485BBFA" w14:textId="643C3F80" w:rsidR="00446F05" w:rsidRPr="008D54A5" w:rsidRDefault="00F66AD2" w:rsidP="007963FF">
      <w:pPr>
        <w:pStyle w:val="bullets"/>
      </w:pPr>
      <w:r w:rsidRPr="008D54A5">
        <w:t xml:space="preserve">Values produced from Equations (7.1) and (7.2) can be overridden and the agreement and disagreement field weight set to some fixed number. For example, the field </w:t>
      </w:r>
      <w:r w:rsidR="00597915" w:rsidRPr="008D54A5">
        <w:t>comparison score</w:t>
      </w:r>
      <w:r w:rsidRPr="008D54A5">
        <w:t xml:space="preserve"> for the </w:t>
      </w:r>
      <w:r w:rsidR="004D2D6C" w:rsidRPr="008D54A5">
        <w:t>e</w:t>
      </w:r>
      <w:r w:rsidRPr="008D54A5">
        <w:t xml:space="preserve">vent </w:t>
      </w:r>
      <w:r w:rsidR="004D2D6C" w:rsidRPr="008D54A5">
        <w:t>b</w:t>
      </w:r>
      <w:r w:rsidRPr="008D54A5">
        <w:t>egin</w:t>
      </w:r>
      <w:r w:rsidR="005E1614" w:rsidRPr="008D54A5">
        <w:t>ning</w:t>
      </w:r>
      <w:r w:rsidRPr="008D54A5">
        <w:t xml:space="preserve"> </w:t>
      </w:r>
      <w:r w:rsidR="004D2D6C" w:rsidRPr="008D54A5">
        <w:t>d</w:t>
      </w:r>
      <w:r w:rsidRPr="008D54A5">
        <w:t xml:space="preserve">ate </w:t>
      </w:r>
      <w:proofErr w:type="gramStart"/>
      <w:r w:rsidRPr="008D54A5">
        <w:t xml:space="preserve">field  </w:t>
      </w:r>
      <w:r w:rsidR="00CE1C00" w:rsidRPr="008D54A5">
        <w:t>is</w:t>
      </w:r>
      <w:proofErr w:type="gramEnd"/>
      <w:r w:rsidRPr="008D54A5">
        <w:t xml:space="preserve"> set to a value based on a nonlinear function of the number of days between event start dates from the HC and MPC events under consideration. </w:t>
      </w:r>
    </w:p>
    <w:p w14:paraId="79894427" w14:textId="330B178E" w:rsidR="00446F05" w:rsidRPr="008D54A5" w:rsidRDefault="00F66AD2" w:rsidP="007963FF">
      <w:pPr>
        <w:pStyle w:val="bullets"/>
      </w:pPr>
      <w:r w:rsidRPr="008D54A5">
        <w:lastRenderedPageBreak/>
        <w:t>The agreement</w:t>
      </w:r>
      <w:r w:rsidR="001E52A6" w:rsidRPr="008D54A5">
        <w:t xml:space="preserve"> </w:t>
      </w:r>
      <w:r w:rsidRPr="008D54A5">
        <w:t xml:space="preserve">weight can be prorated by the extent of agreement if the field does not match exactly. This option </w:t>
      </w:r>
      <w:r w:rsidR="00CE1C00" w:rsidRPr="008D54A5">
        <w:t>is</w:t>
      </w:r>
      <w:r w:rsidRPr="008D54A5">
        <w:t xml:space="preserve"> used with the number of stay days for an inpatient event. </w:t>
      </w:r>
    </w:p>
    <w:p w14:paraId="2208804F" w14:textId="29A561AE" w:rsidR="00443422" w:rsidRPr="008D54A5" w:rsidRDefault="00F66AD2" w:rsidP="007963FF">
      <w:pPr>
        <w:pStyle w:val="bullets"/>
      </w:pPr>
      <w:r w:rsidRPr="008D54A5">
        <w:t xml:space="preserve">The </w:t>
      </w:r>
      <w:r w:rsidRPr="008D54A5">
        <w:rPr>
          <w:b/>
        </w:rPr>
        <w:t>Array</w:t>
      </w:r>
      <w:r w:rsidRPr="008D54A5">
        <w:t xml:space="preserve"> feature is available. Arrays are sets of variables that are considered a single entity when computing a field </w:t>
      </w:r>
      <w:r w:rsidR="00D96A90" w:rsidRPr="008D54A5">
        <w:t>comparison</w:t>
      </w:r>
      <w:r w:rsidR="00597915" w:rsidRPr="008D54A5">
        <w:t xml:space="preserve"> score</w:t>
      </w:r>
      <w:r w:rsidRPr="008D54A5">
        <w:t xml:space="preserve">. This feature </w:t>
      </w:r>
      <w:r w:rsidR="00CE1C00" w:rsidRPr="008D54A5">
        <w:t xml:space="preserve">is </w:t>
      </w:r>
      <w:r w:rsidRPr="008D54A5">
        <w:t xml:space="preserve">used with a set of indicators that flag whether an event </w:t>
      </w:r>
      <w:r w:rsidR="00CE1C00" w:rsidRPr="008D54A5">
        <w:t>includes</w:t>
      </w:r>
      <w:r w:rsidR="00443422" w:rsidRPr="008D54A5">
        <w:t xml:space="preserve"> </w:t>
      </w:r>
      <w:r w:rsidRPr="008D54A5">
        <w:t>surgery, radiology, and/or laboratory</w:t>
      </w:r>
      <w:r w:rsidR="00443422" w:rsidRPr="008D54A5">
        <w:t>.</w:t>
      </w:r>
      <w:r w:rsidRPr="008D54A5">
        <w:t xml:space="preserve"> It </w:t>
      </w:r>
      <w:r w:rsidR="00CE1C00" w:rsidRPr="008D54A5">
        <w:t>is</w:t>
      </w:r>
      <w:r w:rsidRPr="008D54A5">
        <w:t xml:space="preserve"> also used with a set of</w:t>
      </w:r>
      <w:r w:rsidR="00443422" w:rsidRPr="008D54A5">
        <w:t xml:space="preserve"> </w:t>
      </w:r>
      <w:r w:rsidRPr="008D54A5">
        <w:t>condition code indicators</w:t>
      </w:r>
      <w:r w:rsidR="004628B4" w:rsidRPr="008D54A5">
        <w:rPr>
          <w:rStyle w:val="FootnoteReference"/>
        </w:rPr>
        <w:footnoteReference w:id="2"/>
      </w:r>
      <w:r w:rsidRPr="008D54A5">
        <w:t xml:space="preserve"> derived from </w:t>
      </w:r>
      <w:r w:rsidR="007564AE" w:rsidRPr="008D54A5">
        <w:t>Internal Classification of Diseases (ICD)</w:t>
      </w:r>
      <w:r w:rsidR="007564AE" w:rsidRPr="008D54A5" w:rsidDel="007564AE">
        <w:t xml:space="preserve"> </w:t>
      </w:r>
      <w:r w:rsidRPr="008D54A5">
        <w:t>variables.</w:t>
      </w:r>
    </w:p>
    <w:p w14:paraId="3B2F1F28" w14:textId="4B245541" w:rsidR="00443422" w:rsidRPr="008D54A5" w:rsidRDefault="00F66AD2" w:rsidP="00E75D33">
      <w:pPr>
        <w:pStyle w:val="BodyText"/>
      </w:pPr>
      <w:r w:rsidRPr="008D54A5">
        <w:t xml:space="preserve">A </w:t>
      </w:r>
      <w:r w:rsidRPr="008D54A5">
        <w:rPr>
          <w:b/>
        </w:rPr>
        <w:t>match weight</w:t>
      </w:r>
      <w:r w:rsidRPr="008D54A5">
        <w:t xml:space="preserve"> </w:t>
      </w:r>
      <w:r w:rsidR="00762FC2" w:rsidRPr="008D54A5">
        <w:t xml:space="preserve">for a pair of records </w:t>
      </w:r>
      <w:r w:rsidR="00762FC2" w:rsidRPr="008D54A5">
        <w:rPr>
          <w:i/>
          <w:iCs/>
        </w:rPr>
        <w:t>(j,</w:t>
      </w:r>
      <w:r w:rsidR="00FB67A5" w:rsidRPr="008D54A5">
        <w:rPr>
          <w:i/>
          <w:iCs/>
        </w:rPr>
        <w:t xml:space="preserve"> </w:t>
      </w:r>
      <w:r w:rsidR="00762FC2" w:rsidRPr="008D54A5">
        <w:rPr>
          <w:i/>
          <w:iCs/>
        </w:rPr>
        <w:t>k)</w:t>
      </w:r>
      <w:r w:rsidR="00762FC2" w:rsidRPr="008D54A5">
        <w:t xml:space="preserve"> </w:t>
      </w:r>
      <w:r w:rsidRPr="008D54A5">
        <w:t xml:space="preserve">is formed by summing the </w:t>
      </w:r>
      <w:r w:rsidR="00597915" w:rsidRPr="008D54A5">
        <w:t>field comparison scores</w:t>
      </w:r>
      <w:r w:rsidRPr="008D54A5">
        <w:t xml:space="preserve"> for all selected fields. </w:t>
      </w:r>
      <w:r w:rsidR="00CE1C00" w:rsidRPr="008D54A5">
        <w:t>That is</w:t>
      </w:r>
      <w:r w:rsidR="00443422" w:rsidRPr="008D54A5">
        <w:t>,</w:t>
      </w:r>
      <w:r w:rsidRPr="008D54A5">
        <w:t xml:space="preserve"> the match weight for a pair of records </w:t>
      </w:r>
      <w:r w:rsidRPr="008D54A5">
        <w:rPr>
          <w:i/>
        </w:rPr>
        <w:t>(j, k)</w:t>
      </w:r>
      <w:r w:rsidRPr="008D54A5">
        <w:t xml:space="preserve"> is defined as</w:t>
      </w:r>
    </w:p>
    <w:p w14:paraId="19CB0DD0" w14:textId="77777777" w:rsidR="00064683" w:rsidRPr="008D54A5" w:rsidRDefault="00F66AD2" w:rsidP="002D5734">
      <w:pPr>
        <w:tabs>
          <w:tab w:val="center" w:pos="4680"/>
          <w:tab w:val="right" w:pos="9360"/>
        </w:tabs>
        <w:rPr>
          <w:szCs w:val="24"/>
        </w:rPr>
      </w:pPr>
      <w:r w:rsidRPr="008D54A5">
        <w:rPr>
          <w:szCs w:val="24"/>
        </w:rPr>
        <w:tab/>
      </w:r>
      <w:r w:rsidR="00A623ED" w:rsidRPr="008D54A5">
        <w:rPr>
          <w:position w:val="-28"/>
          <w:szCs w:val="24"/>
        </w:rPr>
        <w:object w:dxaOrig="1240" w:dyaOrig="540" w14:anchorId="18B66747">
          <v:shape id="_x0000_i1029" type="#_x0000_t75" style="width:71.25pt;height:35.25pt" o:ole="">
            <v:imagedata r:id="rId41" o:title=""/>
          </v:shape>
          <o:OLEObject Type="Embed" ProgID="Equation.3" ShapeID="_x0000_i1029" DrawAspect="Content" ObjectID="_1799740950" r:id="rId42"/>
        </w:object>
      </w:r>
      <w:r w:rsidR="0069564F" w:rsidRPr="008D54A5">
        <w:rPr>
          <w:szCs w:val="24"/>
        </w:rPr>
        <w:tab/>
        <w:t>(7.4)</w:t>
      </w:r>
    </w:p>
    <w:p w14:paraId="1DDD9498" w14:textId="77777777" w:rsidR="00064683" w:rsidRPr="008D54A5" w:rsidRDefault="00064683" w:rsidP="00064683">
      <w:pPr>
        <w:rPr>
          <w:szCs w:val="24"/>
        </w:rPr>
      </w:pPr>
    </w:p>
    <w:p w14:paraId="589A4F41" w14:textId="6CB46FC2" w:rsidR="00443422" w:rsidRPr="008D54A5" w:rsidRDefault="00064683" w:rsidP="00A74169">
      <w:pPr>
        <w:pStyle w:val="BodyText"/>
      </w:pPr>
      <w:r w:rsidRPr="008D54A5">
        <w:t xml:space="preserve">Since </w:t>
      </w:r>
      <w:r w:rsidR="0069564F" w:rsidRPr="008D54A5">
        <w:rPr>
          <w:position w:val="-14"/>
        </w:rPr>
        <w:object w:dxaOrig="380" w:dyaOrig="380" w14:anchorId="28A4E0E2">
          <v:shape id="_x0000_i1030" type="#_x0000_t75" style="width:15.75pt;height:15.75pt" o:ole="">
            <v:imagedata r:id="rId43" o:title=""/>
          </v:shape>
          <o:OLEObject Type="Embed" ProgID="Equation.3" ShapeID="_x0000_i1030" DrawAspect="Content" ObjectID="_1799740951" r:id="rId44"/>
        </w:object>
      </w:r>
      <w:r w:rsidR="00F66AD2" w:rsidRPr="008D54A5">
        <w:t xml:space="preserve"> tends to be a larger (positive) number if field </w:t>
      </w:r>
      <w:proofErr w:type="spellStart"/>
      <w:r w:rsidR="00F66AD2" w:rsidRPr="008D54A5">
        <w:rPr>
          <w:i/>
        </w:rPr>
        <w:t>i</w:t>
      </w:r>
      <w:proofErr w:type="spellEnd"/>
      <w:r w:rsidR="00F66AD2" w:rsidRPr="008D54A5">
        <w:t xml:space="preserve"> agrees and tends to be a smaller (negative) number if field </w:t>
      </w:r>
      <w:proofErr w:type="spellStart"/>
      <w:r w:rsidR="00F66AD2" w:rsidRPr="008D54A5">
        <w:rPr>
          <w:i/>
        </w:rPr>
        <w:t>i</w:t>
      </w:r>
      <w:proofErr w:type="spellEnd"/>
      <w:r w:rsidR="00F66AD2" w:rsidRPr="008D54A5">
        <w:t xml:space="preserve"> disagrees</w:t>
      </w:r>
      <w:r w:rsidR="00A36105" w:rsidRPr="008D54A5">
        <w:t xml:space="preserve"> for a pair of records </w:t>
      </w:r>
      <w:r w:rsidR="00A36105" w:rsidRPr="008D54A5">
        <w:rPr>
          <w:i/>
          <w:iCs/>
        </w:rPr>
        <w:t>(</w:t>
      </w:r>
      <w:proofErr w:type="spellStart"/>
      <w:proofErr w:type="gramStart"/>
      <w:r w:rsidR="00A36105" w:rsidRPr="008D54A5">
        <w:rPr>
          <w:i/>
          <w:iCs/>
        </w:rPr>
        <w:t>j,k</w:t>
      </w:r>
      <w:proofErr w:type="spellEnd"/>
      <w:proofErr w:type="gramEnd"/>
      <w:r w:rsidR="00A36105" w:rsidRPr="008D54A5">
        <w:rPr>
          <w:i/>
          <w:iCs/>
        </w:rPr>
        <w:t>)</w:t>
      </w:r>
      <w:r w:rsidR="00F66AD2" w:rsidRPr="008D54A5">
        <w:t xml:space="preserve">, a larger positive </w:t>
      </w:r>
      <w:r w:rsidR="001E52A6" w:rsidRPr="008D54A5">
        <w:t xml:space="preserve">match </w:t>
      </w:r>
      <w:r w:rsidR="00F66AD2" w:rsidRPr="008D54A5">
        <w:t xml:space="preserve">weight indicates a higher likelihood of being a </w:t>
      </w:r>
      <w:r w:rsidR="000000C1" w:rsidRPr="008D54A5">
        <w:t xml:space="preserve">true </w:t>
      </w:r>
      <w:r w:rsidR="00F66AD2" w:rsidRPr="008D54A5">
        <w:t xml:space="preserve">matched pair. The </w:t>
      </w:r>
      <w:r w:rsidR="001E52A6" w:rsidRPr="008D54A5">
        <w:t xml:space="preserve">match </w:t>
      </w:r>
      <w:r w:rsidR="00F66AD2" w:rsidRPr="008D54A5">
        <w:t xml:space="preserve">weight is therefore a measure of the likelihood that a pair of records from the HC and MPC files matches. Those event pairs with </w:t>
      </w:r>
      <w:r w:rsidR="00DD4A0F" w:rsidRPr="008D54A5">
        <w:t xml:space="preserve">match </w:t>
      </w:r>
      <w:r w:rsidR="00F66AD2" w:rsidRPr="008D54A5">
        <w:t xml:space="preserve">weights greater than a preset threshold </w:t>
      </w:r>
      <w:r w:rsidR="00A74169" w:rsidRPr="008D54A5">
        <w:t xml:space="preserve">can be </w:t>
      </w:r>
      <w:r w:rsidR="00F66AD2" w:rsidRPr="008D54A5">
        <w:t xml:space="preserve">considered </w:t>
      </w:r>
      <w:r w:rsidR="000000C1" w:rsidRPr="008D54A5">
        <w:t xml:space="preserve">true </w:t>
      </w:r>
      <w:r w:rsidR="00F66AD2" w:rsidRPr="008D54A5">
        <w:t xml:space="preserve">matches. It also follows that those event pairs with </w:t>
      </w:r>
      <w:r w:rsidR="000000C1" w:rsidRPr="008D54A5">
        <w:t>match</w:t>
      </w:r>
      <w:r w:rsidR="00443422" w:rsidRPr="008D54A5">
        <w:t xml:space="preserve"> </w:t>
      </w:r>
      <w:r w:rsidR="00F66AD2" w:rsidRPr="008D54A5">
        <w:t>weights less than this threshold are declared nonmatches.</w:t>
      </w:r>
    </w:p>
    <w:p w14:paraId="32DF47C2" w14:textId="00D16876" w:rsidR="00064683" w:rsidRPr="008D54A5" w:rsidRDefault="000000C1" w:rsidP="00EE69A3">
      <w:pPr>
        <w:pStyle w:val="BodyText"/>
      </w:pPr>
      <w:r w:rsidRPr="008D54A5">
        <w:t>A</w:t>
      </w:r>
      <w:r w:rsidR="00383994" w:rsidRPr="008D54A5">
        <w:t xml:space="preserve"> </w:t>
      </w:r>
      <w:r w:rsidR="00F66AD2" w:rsidRPr="008D54A5">
        <w:t xml:space="preserve">threshold is a means to control linkage errors, specifically, false positive and false negative error rates. This </w:t>
      </w:r>
      <w:r w:rsidR="00463463" w:rsidRPr="008D54A5">
        <w:t xml:space="preserve">control </w:t>
      </w:r>
      <w:r w:rsidR="00F66AD2" w:rsidRPr="008D54A5">
        <w:t xml:space="preserve">is specified by a macro </w:t>
      </w:r>
      <w:proofErr w:type="gramStart"/>
      <w:r w:rsidR="00F66AD2" w:rsidRPr="008D54A5">
        <w:t>variable</w:t>
      </w:r>
      <w:r w:rsidR="00BC51C2" w:rsidRPr="008D54A5">
        <w:t xml:space="preserve">  </w:t>
      </w:r>
      <w:r w:rsidR="00F66AD2" w:rsidRPr="008D54A5">
        <w:t>in</w:t>
      </w:r>
      <w:proofErr w:type="gramEnd"/>
      <w:r w:rsidR="00F66AD2" w:rsidRPr="008D54A5">
        <w:t xml:space="preserve"> the matching software. </w:t>
      </w:r>
      <w:r w:rsidR="00C96360" w:rsidRPr="008D54A5">
        <w:t>Since 2012, t</w:t>
      </w:r>
      <w:r w:rsidR="00F66AD2" w:rsidRPr="008D54A5">
        <w:t>he minimum threshold was set to -10,000 for both passes of matching (i.e., effectively no minimum</w:t>
      </w:r>
      <w:r w:rsidRPr="008D54A5">
        <w:t>, except to prevent certain types of events from matching</w:t>
      </w:r>
      <w:r w:rsidR="00F66AD2" w:rsidRPr="008D54A5">
        <w:t>).</w:t>
      </w:r>
      <w:r w:rsidRPr="008D54A5">
        <w:t xml:space="preserve"> </w:t>
      </w:r>
    </w:p>
    <w:p w14:paraId="3AD09A78" w14:textId="16013918" w:rsidR="007F577A" w:rsidRPr="008D54A5" w:rsidRDefault="00F66AD2" w:rsidP="00E75D33">
      <w:pPr>
        <w:pStyle w:val="BodyText"/>
      </w:pPr>
      <w:r w:rsidRPr="008D54A5">
        <w:t>RTI</w:t>
      </w:r>
      <w:r w:rsidR="00356CD1" w:rsidRPr="008D54A5">
        <w:t>’</w:t>
      </w:r>
      <w:r w:rsidR="004B65C2" w:rsidRPr="008D54A5">
        <w:t xml:space="preserve">s </w:t>
      </w:r>
      <w:r w:rsidRPr="008D54A5">
        <w:t>software also includes an algorithm that selects the best set of matches after the match weight</w:t>
      </w:r>
      <w:r w:rsidR="00126548" w:rsidRPr="008D54A5">
        <w:t>s for</w:t>
      </w:r>
      <w:r w:rsidR="00443422" w:rsidRPr="008D54A5">
        <w:t xml:space="preserve"> </w:t>
      </w:r>
      <w:r w:rsidRPr="008D54A5">
        <w:t>all possible pairs ha</w:t>
      </w:r>
      <w:r w:rsidR="00126548" w:rsidRPr="008D54A5">
        <w:t>ve</w:t>
      </w:r>
      <w:r w:rsidRPr="008D54A5">
        <w:t xml:space="preserve"> been computed. </w:t>
      </w:r>
      <w:r w:rsidR="00126548" w:rsidRPr="008D54A5">
        <w:t xml:space="preserve">This </w:t>
      </w:r>
      <w:r w:rsidR="00356CD1" w:rsidRPr="008D54A5">
        <w:t>“</w:t>
      </w:r>
      <w:r w:rsidR="00126548" w:rsidRPr="008D54A5">
        <w:t>best</w:t>
      </w:r>
      <w:r w:rsidR="00356CD1" w:rsidRPr="008D54A5">
        <w:t>”</w:t>
      </w:r>
      <w:r w:rsidR="00126548" w:rsidRPr="008D54A5">
        <w:t xml:space="preserve"> set of matches is defined as </w:t>
      </w:r>
      <w:r w:rsidRPr="008D54A5">
        <w:t xml:space="preserve">the set of </w:t>
      </w:r>
      <w:proofErr w:type="gramStart"/>
      <w:r w:rsidR="00CE1C00" w:rsidRPr="008D54A5">
        <w:t>HC</w:t>
      </w:r>
      <w:proofErr w:type="gramEnd"/>
      <w:r w:rsidR="00CE1C00" w:rsidRPr="008D54A5">
        <w:t xml:space="preserve"> and MPC </w:t>
      </w:r>
      <w:r w:rsidRPr="008D54A5">
        <w:t xml:space="preserve">pairs that yields the maximum total </w:t>
      </w:r>
      <w:r w:rsidR="00DD4A0F" w:rsidRPr="008D54A5">
        <w:t xml:space="preserve">match </w:t>
      </w:r>
      <w:r w:rsidRPr="008D54A5">
        <w:t xml:space="preserve">weight within a block group, defined as the sum of the </w:t>
      </w:r>
      <w:r w:rsidR="00DD4A0F" w:rsidRPr="008D54A5">
        <w:t xml:space="preserve">match </w:t>
      </w:r>
      <w:r w:rsidRPr="008D54A5">
        <w:t>weights of all selected pairs.</w:t>
      </w:r>
      <w:r w:rsidR="00597915" w:rsidRPr="008D54A5">
        <w:t xml:space="preserve"> </w:t>
      </w:r>
      <w:r w:rsidRPr="008D54A5">
        <w:t>The problem of identifying th</w:t>
      </w:r>
      <w:r w:rsidR="00126548" w:rsidRPr="008D54A5">
        <w:t>e pairs that give this</w:t>
      </w:r>
      <w:r w:rsidR="00443422" w:rsidRPr="008D54A5">
        <w:t xml:space="preserve"> </w:t>
      </w:r>
      <w:r w:rsidRPr="008D54A5">
        <w:t xml:space="preserve">maximum, subject to the various constraints built into this problem (e.g., a record can only be included in one pair), is often referred to in the literature as the </w:t>
      </w:r>
      <w:r w:rsidRPr="008D54A5">
        <w:rPr>
          <w:bCs w:val="0"/>
        </w:rPr>
        <w:t>Linear Assignment Problem</w:t>
      </w:r>
      <w:r w:rsidRPr="008D54A5">
        <w:t xml:space="preserve"> or the </w:t>
      </w:r>
      <w:r w:rsidRPr="008D54A5">
        <w:rPr>
          <w:bCs w:val="0"/>
        </w:rPr>
        <w:t>Linear Sum Assignment Problem</w:t>
      </w:r>
      <w:r w:rsidRPr="008D54A5">
        <w:t xml:space="preserve">. This is a special case of the well-known </w:t>
      </w:r>
      <w:r w:rsidRPr="008D54A5">
        <w:rPr>
          <w:bCs w:val="0"/>
        </w:rPr>
        <w:t>Transportation Problem</w:t>
      </w:r>
      <w:r w:rsidRPr="008D54A5">
        <w:t xml:space="preserve"> in </w:t>
      </w:r>
      <w:r w:rsidR="00463463" w:rsidRPr="008D54A5">
        <w:t>operations research.</w:t>
      </w:r>
      <w:r w:rsidRPr="008D54A5">
        <w:t xml:space="preserve"> </w:t>
      </w:r>
    </w:p>
    <w:p w14:paraId="243F03B0" w14:textId="640238DA" w:rsidR="00944BDD" w:rsidRPr="008D54A5" w:rsidRDefault="00944BDD"/>
    <w:p w14:paraId="12BD5BC3" w14:textId="3A40F506" w:rsidR="00064683" w:rsidRPr="008D54A5" w:rsidRDefault="00A623ED" w:rsidP="00DD4425">
      <w:pPr>
        <w:pStyle w:val="Heading2"/>
      </w:pPr>
      <w:bookmarkStart w:id="238" w:name="_Toc127287298"/>
      <w:bookmarkStart w:id="239" w:name="_Toc160529624"/>
      <w:bookmarkStart w:id="240" w:name="_Toc189128108"/>
      <w:r w:rsidRPr="008D54A5">
        <w:t>Matching in Two Passes</w:t>
      </w:r>
      <w:bookmarkEnd w:id="238"/>
      <w:bookmarkEnd w:id="239"/>
      <w:bookmarkEnd w:id="240"/>
    </w:p>
    <w:p w14:paraId="13605749" w14:textId="22423758" w:rsidR="00F84A61" w:rsidRPr="008D54A5" w:rsidRDefault="00F66AD2">
      <w:pPr>
        <w:pStyle w:val="BodyText"/>
      </w:pPr>
      <w:r w:rsidRPr="008D54A5">
        <w:t>In the MEPS, is run twice to establish the best link between the HC and MPC events. In Pass 1 the patient and</w:t>
      </w:r>
      <w:r w:rsidR="00DD4A0F" w:rsidRPr="008D54A5">
        <w:t xml:space="preserve"> medical provider</w:t>
      </w:r>
      <w:r w:rsidRPr="008D54A5">
        <w:t xml:space="preserve"> contact group identifiers are used to create block groups. </w:t>
      </w:r>
      <w:r w:rsidR="00162753" w:rsidRPr="008D54A5">
        <w:t xml:space="preserve">Beginning with the 2016 matching, when there are unmatched HC events </w:t>
      </w:r>
      <w:r w:rsidR="0027501B" w:rsidRPr="008D54A5">
        <w:t>in a patient and medical provider b</w:t>
      </w:r>
      <w:r w:rsidR="00CE5A0A" w:rsidRPr="008D54A5">
        <w:t xml:space="preserve">lock group remaining from Pass </w:t>
      </w:r>
      <w:r w:rsidR="0027501B" w:rsidRPr="008D54A5">
        <w:t xml:space="preserve">1, </w:t>
      </w:r>
      <w:r w:rsidR="00F41BCA" w:rsidRPr="008D54A5">
        <w:t>the number of unmatched HC events w</w:t>
      </w:r>
      <w:r w:rsidR="00F3090E" w:rsidRPr="008D54A5">
        <w:t>ere</w:t>
      </w:r>
      <w:r w:rsidR="00F41BCA" w:rsidRPr="008D54A5">
        <w:t xml:space="preserve"> </w:t>
      </w:r>
      <w:r w:rsidR="00F41BCA" w:rsidRPr="008D54A5">
        <w:lastRenderedPageBreak/>
        <w:t xml:space="preserve">counted and </w:t>
      </w:r>
      <w:r w:rsidR="0027501B" w:rsidRPr="008D54A5">
        <w:t xml:space="preserve">the </w:t>
      </w:r>
      <w:proofErr w:type="gramStart"/>
      <w:r w:rsidR="0027501B" w:rsidRPr="008D54A5">
        <w:t>match</w:t>
      </w:r>
      <w:r w:rsidR="007421C4" w:rsidRPr="008D54A5">
        <w:t>-eligible</w:t>
      </w:r>
      <w:proofErr w:type="gramEnd"/>
      <w:r w:rsidR="0027501B" w:rsidRPr="008D54A5">
        <w:t xml:space="preserve"> MPC events within the same block group were replicated</w:t>
      </w:r>
      <w:r w:rsidR="00F41BCA" w:rsidRPr="008D54A5">
        <w:t xml:space="preserve"> once for each unmatched HC event (</w:t>
      </w:r>
      <w:r w:rsidR="0027501B" w:rsidRPr="008D54A5">
        <w:t xml:space="preserve">up to </w:t>
      </w:r>
      <w:r w:rsidR="00F3090E" w:rsidRPr="008D54A5">
        <w:t xml:space="preserve">a </w:t>
      </w:r>
      <w:r w:rsidR="00F41BCA" w:rsidRPr="008D54A5">
        <w:t xml:space="preserve">maximum of </w:t>
      </w:r>
      <w:r w:rsidR="0027501B" w:rsidRPr="008D54A5">
        <w:t>5 times</w:t>
      </w:r>
      <w:r w:rsidR="00F41BCA" w:rsidRPr="008D54A5">
        <w:t>)</w:t>
      </w:r>
      <w:r w:rsidR="0027501B" w:rsidRPr="008D54A5">
        <w:t xml:space="preserve"> and allowed to mat</w:t>
      </w:r>
      <w:r w:rsidR="001225EF" w:rsidRPr="008D54A5">
        <w:t>ch with the remaining HC events.</w:t>
      </w:r>
      <w:r w:rsidR="0027501B" w:rsidRPr="008D54A5">
        <w:t xml:space="preserve"> </w:t>
      </w:r>
      <w:r w:rsidR="00CE5A0A" w:rsidRPr="008D54A5">
        <w:t>This matching pass that uses replicated MPC events is called “Pass 1.5.”</w:t>
      </w:r>
      <w:r w:rsidR="007421C4" w:rsidRPr="008D54A5">
        <w:t xml:space="preserve"> </w:t>
      </w:r>
      <w:r w:rsidR="00942EE0" w:rsidRPr="008D54A5">
        <w:t>MPC</w:t>
      </w:r>
      <w:r w:rsidR="007421C4" w:rsidRPr="008D54A5">
        <w:t xml:space="preserve"> events and HC events that were part of a global fee, </w:t>
      </w:r>
      <w:r w:rsidR="00682863" w:rsidRPr="008D54A5">
        <w:t>as well as</w:t>
      </w:r>
      <w:r w:rsidR="007421C4" w:rsidRPr="008D54A5">
        <w:t xml:space="preserve"> MPC events that were linked to a global fee event through one of the rollup groups were not eligible for matching in Pass 1.5</w:t>
      </w:r>
      <w:r w:rsidR="00290933" w:rsidRPr="008D54A5">
        <w:t>.</w:t>
      </w:r>
      <w:r w:rsidR="007421C4" w:rsidRPr="008D54A5">
        <w:t xml:space="preserve"> </w:t>
      </w:r>
      <w:r w:rsidR="007B2904" w:rsidRPr="008D54A5">
        <w:t xml:space="preserve">The </w:t>
      </w:r>
      <w:r w:rsidR="00181408" w:rsidRPr="008D54A5">
        <w:rPr>
          <w:i/>
          <w:iCs/>
        </w:rPr>
        <w:t>m</w:t>
      </w:r>
      <w:r w:rsidR="00181408" w:rsidRPr="008D54A5">
        <w:rPr>
          <w:i/>
          <w:iCs/>
          <w:vertAlign w:val="subscript"/>
        </w:rPr>
        <w:t>i</w:t>
      </w:r>
      <w:r w:rsidR="002D3451" w:rsidRPr="008D54A5">
        <w:rPr>
          <w:szCs w:val="24"/>
        </w:rPr>
        <w:t>’</w:t>
      </w:r>
      <w:r w:rsidR="007B2904" w:rsidRPr="008D54A5">
        <w:rPr>
          <w:szCs w:val="24"/>
        </w:rPr>
        <w:t xml:space="preserve">s and </w:t>
      </w:r>
      <w:proofErr w:type="spellStart"/>
      <w:r w:rsidR="00181408" w:rsidRPr="008D54A5">
        <w:rPr>
          <w:i/>
          <w:iCs/>
        </w:rPr>
        <w:t>u</w:t>
      </w:r>
      <w:r w:rsidR="00181408" w:rsidRPr="008D54A5">
        <w:rPr>
          <w:i/>
          <w:iCs/>
          <w:vertAlign w:val="subscript"/>
        </w:rPr>
        <w:t>i</w:t>
      </w:r>
      <w:r w:rsidR="002D3451" w:rsidRPr="008D54A5">
        <w:rPr>
          <w:szCs w:val="24"/>
        </w:rPr>
        <w:t>’</w:t>
      </w:r>
      <w:r w:rsidR="007B2904" w:rsidRPr="008D54A5">
        <w:rPr>
          <w:szCs w:val="24"/>
        </w:rPr>
        <w:t>s</w:t>
      </w:r>
      <w:proofErr w:type="spellEnd"/>
      <w:r w:rsidR="00443422" w:rsidRPr="008D54A5">
        <w:t xml:space="preserve"> </w:t>
      </w:r>
      <w:r w:rsidR="00E40EE6" w:rsidRPr="008D54A5">
        <w:t xml:space="preserve">are </w:t>
      </w:r>
      <w:r w:rsidR="007B2904" w:rsidRPr="008D54A5">
        <w:t xml:space="preserve">estimated separately for each pass. </w:t>
      </w:r>
      <w:bookmarkEnd w:id="231"/>
    </w:p>
    <w:p w14:paraId="5A84FF02" w14:textId="05994C06" w:rsidR="008224E5" w:rsidRPr="008D54A5" w:rsidRDefault="008224E5"/>
    <w:p w14:paraId="6A41A30C" w14:textId="77777777" w:rsidR="008224E5" w:rsidRPr="008D54A5" w:rsidRDefault="008224E5"/>
    <w:p w14:paraId="5A97BDA0" w14:textId="3B37E464" w:rsidR="008224E5" w:rsidRPr="008D54A5" w:rsidRDefault="008224E5">
      <w:r w:rsidRPr="008D54A5">
        <w:br w:type="page"/>
      </w:r>
    </w:p>
    <w:p w14:paraId="1BC6B220" w14:textId="2FAD984B" w:rsidR="005B3FDF" w:rsidRPr="008D54A5" w:rsidRDefault="00863BB5" w:rsidP="00975A4F">
      <w:pPr>
        <w:pStyle w:val="Heading1"/>
      </w:pPr>
      <w:bookmarkStart w:id="241" w:name="_Toc127287299"/>
      <w:bookmarkStart w:id="242" w:name="_Toc160529625"/>
      <w:bookmarkStart w:id="243" w:name="_Hlk35432500"/>
      <w:bookmarkStart w:id="244" w:name="_Toc189128109"/>
      <w:r w:rsidRPr="008D54A5">
        <w:lastRenderedPageBreak/>
        <w:t xml:space="preserve">Variables Used in </w:t>
      </w:r>
      <w:r w:rsidR="00231784" w:rsidRPr="008D54A5">
        <w:t xml:space="preserve">the </w:t>
      </w:r>
      <w:r w:rsidR="002B2330" w:rsidRPr="008D54A5">
        <w:t>202</w:t>
      </w:r>
      <w:r w:rsidR="000753D0" w:rsidRPr="008D54A5">
        <w:t>2</w:t>
      </w:r>
      <w:r w:rsidR="005B3583" w:rsidRPr="008D54A5">
        <w:t xml:space="preserve"> </w:t>
      </w:r>
      <w:r w:rsidR="00E23F56" w:rsidRPr="008D54A5">
        <w:t>Medical</w:t>
      </w:r>
      <w:r w:rsidR="00944BDD" w:rsidRPr="008D54A5">
        <w:br/>
      </w:r>
      <w:r w:rsidR="00E23F56" w:rsidRPr="008D54A5">
        <w:t xml:space="preserve">File </w:t>
      </w:r>
      <w:r w:rsidR="00F66AD2" w:rsidRPr="008D54A5">
        <w:t>Matching</w:t>
      </w:r>
      <w:bookmarkEnd w:id="241"/>
      <w:bookmarkEnd w:id="242"/>
      <w:bookmarkEnd w:id="244"/>
    </w:p>
    <w:p w14:paraId="30AC2B46" w14:textId="70CC1BCA" w:rsidR="00A26EDE" w:rsidRPr="008D54A5" w:rsidRDefault="00F66AD2" w:rsidP="00A859B7">
      <w:pPr>
        <w:pStyle w:val="BodyText"/>
      </w:pPr>
      <w:r w:rsidRPr="008D54A5">
        <w:t xml:space="preserve">This section </w:t>
      </w:r>
      <w:r w:rsidR="003B0AFE" w:rsidRPr="008D54A5">
        <w:t>discusses</w:t>
      </w:r>
      <w:r w:rsidRPr="008D54A5">
        <w:t xml:space="preserve"> the variables (or fields) used to construct the composite match weight for the </w:t>
      </w:r>
      <w:r w:rsidR="002B2330" w:rsidRPr="008D54A5">
        <w:t>202</w:t>
      </w:r>
      <w:r w:rsidR="000753D0" w:rsidRPr="008D54A5">
        <w:t>2</w:t>
      </w:r>
      <w:r w:rsidRPr="008D54A5">
        <w:t xml:space="preserve"> </w:t>
      </w:r>
      <w:r w:rsidR="00925A9A" w:rsidRPr="008D54A5">
        <w:t>Medical Provider Component</w:t>
      </w:r>
      <w:r w:rsidR="002D3451" w:rsidRPr="008D54A5">
        <w:t>-Household Component</w:t>
      </w:r>
      <w:r w:rsidR="00925A9A" w:rsidRPr="008D54A5">
        <w:t xml:space="preserve"> (</w:t>
      </w:r>
      <w:r w:rsidR="002D3451" w:rsidRPr="008D54A5">
        <w:t>M</w:t>
      </w:r>
      <w:r w:rsidR="009903B2" w:rsidRPr="008D54A5">
        <w:t>PC</w:t>
      </w:r>
      <w:r w:rsidR="002D3451" w:rsidRPr="008D54A5">
        <w:t>-HC</w:t>
      </w:r>
      <w:r w:rsidR="00925A9A" w:rsidRPr="008D54A5">
        <w:t>)</w:t>
      </w:r>
      <w:r w:rsidRPr="008D54A5">
        <w:t xml:space="preserve"> record linkage activity. The match weight is </w:t>
      </w:r>
      <w:r w:rsidR="00435125" w:rsidRPr="008D54A5">
        <w:t xml:space="preserve">defined </w:t>
      </w:r>
      <w:r w:rsidRPr="008D54A5">
        <w:t xml:space="preserve">in </w:t>
      </w:r>
      <w:r w:rsidRPr="008D54A5">
        <w:rPr>
          <w:b/>
        </w:rPr>
        <w:t>Equation (8.1)</w:t>
      </w:r>
      <w:r w:rsidRPr="008D54A5">
        <w:t xml:space="preserve"> and is defined as the sum of field weights </w:t>
      </w:r>
      <w:r w:rsidR="00A54142" w:rsidRPr="008D54A5">
        <w:rPr>
          <w:position w:val="-14"/>
        </w:rPr>
        <w:object w:dxaOrig="380" w:dyaOrig="380" w14:anchorId="247A4A3C">
          <v:shape id="_x0000_i1031" type="#_x0000_t75" style="width:15.75pt;height:15.75pt" o:ole="">
            <v:imagedata r:id="rId45" o:title=""/>
          </v:shape>
          <o:OLEObject Type="Embed" ProgID="Equation.3" ShapeID="_x0000_i1031" DrawAspect="Content" ObjectID="_1799740952" r:id="rId46"/>
        </w:object>
      </w:r>
      <w:r w:rsidR="002C39C8" w:rsidRPr="008D54A5">
        <w:t>’</w:t>
      </w:r>
      <w:r w:rsidR="00A54142" w:rsidRPr="008D54A5">
        <w:t xml:space="preserve">s for field </w:t>
      </w:r>
      <w:proofErr w:type="spellStart"/>
      <w:r w:rsidRPr="008D54A5">
        <w:rPr>
          <w:i/>
        </w:rPr>
        <w:t>i</w:t>
      </w:r>
      <w:proofErr w:type="spellEnd"/>
      <w:r w:rsidRPr="008D54A5">
        <w:t xml:space="preserve">, HC event </w:t>
      </w:r>
      <w:r w:rsidRPr="008D54A5">
        <w:rPr>
          <w:i/>
        </w:rPr>
        <w:t>j</w:t>
      </w:r>
      <w:r w:rsidRPr="008D54A5">
        <w:t xml:space="preserve"> and MPC event </w:t>
      </w:r>
      <w:r w:rsidRPr="008D54A5">
        <w:rPr>
          <w:i/>
        </w:rPr>
        <w:t>k</w:t>
      </w:r>
      <w:r w:rsidRPr="008D54A5">
        <w:t>.</w:t>
      </w:r>
    </w:p>
    <w:p w14:paraId="5804F85E" w14:textId="77777777" w:rsidR="007F577A" w:rsidRPr="008D54A5" w:rsidRDefault="004B43CD" w:rsidP="00C42F08">
      <w:pPr>
        <w:pStyle w:val="BodyText"/>
        <w:tabs>
          <w:tab w:val="decimal" w:pos="4500"/>
          <w:tab w:val="right" w:pos="9360"/>
        </w:tabs>
        <w:ind w:left="3330"/>
      </w:pPr>
      <w:r w:rsidRPr="008D54A5">
        <w:tab/>
      </w:r>
      <w:r w:rsidR="00F66AD2" w:rsidRPr="008D54A5">
        <w:t xml:space="preserve">Match Weight = </w:t>
      </w:r>
      <w:r w:rsidR="00A54142" w:rsidRPr="008D54A5">
        <w:rPr>
          <w:position w:val="-28"/>
        </w:rPr>
        <w:object w:dxaOrig="1240" w:dyaOrig="540" w14:anchorId="027EA69C">
          <v:shape id="_x0000_i1032" type="#_x0000_t75" style="width:71.25pt;height:35.25pt" o:ole="">
            <v:imagedata r:id="rId41" o:title=""/>
          </v:shape>
          <o:OLEObject Type="Embed" ProgID="Equation.3" ShapeID="_x0000_i1032" DrawAspect="Content" ObjectID="_1799740953" r:id="rId47"/>
        </w:object>
      </w:r>
      <w:r w:rsidR="00F66AD2" w:rsidRPr="008D54A5">
        <w:tab/>
        <w:t>(8.1)</w:t>
      </w:r>
    </w:p>
    <w:p w14:paraId="41B96EFD" w14:textId="15B12A4A" w:rsidR="00353679" w:rsidRPr="008D54A5" w:rsidRDefault="00F66AD2" w:rsidP="00DD4425">
      <w:pPr>
        <w:pStyle w:val="Heading2"/>
      </w:pPr>
      <w:bookmarkStart w:id="245" w:name="_Toc127287300"/>
      <w:bookmarkStart w:id="246" w:name="_Toc160529626"/>
      <w:bookmarkStart w:id="247" w:name="_Toc189128110"/>
      <w:r w:rsidRPr="008D54A5">
        <w:t>Blocking Variables</w:t>
      </w:r>
      <w:bookmarkEnd w:id="245"/>
      <w:bookmarkEnd w:id="246"/>
      <w:bookmarkEnd w:id="247"/>
    </w:p>
    <w:p w14:paraId="3811A886" w14:textId="7266E084" w:rsidR="00B97ABD" w:rsidRPr="008D54A5" w:rsidRDefault="00356CD1" w:rsidP="00944BDD">
      <w:pPr>
        <w:pStyle w:val="BodyText"/>
        <w:rPr>
          <w:szCs w:val="24"/>
        </w:rPr>
      </w:pPr>
      <w:bookmarkStart w:id="248" w:name="_Hlk65062614"/>
      <w:r w:rsidRPr="00404E1F">
        <w:rPr>
          <w:b/>
        </w:rPr>
        <w:t>Exhibit </w:t>
      </w:r>
      <w:r w:rsidR="00F66AD2" w:rsidRPr="008D54A5">
        <w:rPr>
          <w:b/>
        </w:rPr>
        <w:t>8.1</w:t>
      </w:r>
      <w:r w:rsidR="00F66AD2" w:rsidRPr="008D54A5">
        <w:t xml:space="preserve"> presents both the number and percentage of events eligible for matching in the </w:t>
      </w:r>
      <w:r w:rsidR="00FB3020" w:rsidRPr="008D54A5">
        <w:t xml:space="preserve">most recent </w:t>
      </w:r>
      <w:r w:rsidR="001A13A3" w:rsidRPr="008D54A5">
        <w:t>3</w:t>
      </w:r>
      <w:r w:rsidR="00FB3020" w:rsidRPr="008D54A5">
        <w:t xml:space="preserve">-year </w:t>
      </w:r>
      <w:r w:rsidR="000A03B0" w:rsidRPr="008D54A5">
        <w:t>period</w:t>
      </w:r>
      <w:r w:rsidR="00F66AD2" w:rsidRPr="008D54A5">
        <w:t xml:space="preserve">. For the </w:t>
      </w:r>
      <w:r w:rsidR="002B2330" w:rsidRPr="008D54A5">
        <w:t>20</w:t>
      </w:r>
      <w:r w:rsidR="00B37CDC" w:rsidRPr="008D54A5">
        <w:t>2</w:t>
      </w:r>
      <w:r w:rsidR="000753D0" w:rsidRPr="008D54A5">
        <w:t>2</w:t>
      </w:r>
      <w:r w:rsidR="00F66AD2" w:rsidRPr="008D54A5">
        <w:t xml:space="preserve"> </w:t>
      </w:r>
      <w:r w:rsidR="00B37CDC" w:rsidRPr="008D54A5">
        <w:t>cycle</w:t>
      </w:r>
      <w:r w:rsidR="00485C2D" w:rsidRPr="008D54A5">
        <w:t xml:space="preserve">, </w:t>
      </w:r>
      <w:bookmarkStart w:id="249" w:name="_Hlk508204786"/>
      <w:r w:rsidR="000753D0" w:rsidRPr="008D54A5">
        <w:t xml:space="preserve">57,837 </w:t>
      </w:r>
      <w:bookmarkEnd w:id="249"/>
      <w:r w:rsidR="00D60534" w:rsidRPr="008D54A5">
        <w:rPr>
          <w:color w:val="000000"/>
          <w:szCs w:val="24"/>
        </w:rPr>
        <w:t xml:space="preserve">HC </w:t>
      </w:r>
      <w:r w:rsidR="00F66AD2" w:rsidRPr="008D54A5">
        <w:rPr>
          <w:szCs w:val="24"/>
        </w:rPr>
        <w:t xml:space="preserve">events and </w:t>
      </w:r>
      <w:r w:rsidR="000753D0" w:rsidRPr="008D54A5">
        <w:t>68,836</w:t>
      </w:r>
      <w:r w:rsidR="005841C1" w:rsidRPr="008D54A5">
        <w:rPr>
          <w:color w:val="000000"/>
          <w:szCs w:val="24"/>
        </w:rPr>
        <w:t xml:space="preserve"> </w:t>
      </w:r>
      <w:r w:rsidR="00F66AD2" w:rsidRPr="008D54A5">
        <w:rPr>
          <w:szCs w:val="24"/>
        </w:rPr>
        <w:t>MPC events were eligible for matching. If match weight</w:t>
      </w:r>
      <w:r w:rsidR="00D60534" w:rsidRPr="008D54A5">
        <w:rPr>
          <w:szCs w:val="24"/>
        </w:rPr>
        <w:t>s</w:t>
      </w:r>
      <w:r w:rsidR="00F66AD2" w:rsidRPr="008D54A5">
        <w:rPr>
          <w:szCs w:val="24"/>
        </w:rPr>
        <w:t xml:space="preserve"> were to be constructed for all possible pairs, then the weight</w:t>
      </w:r>
      <w:r w:rsidR="00D60534" w:rsidRPr="008D54A5">
        <w:rPr>
          <w:szCs w:val="24"/>
        </w:rPr>
        <w:t>s</w:t>
      </w:r>
      <w:r w:rsidR="00F66AD2" w:rsidRPr="008D54A5">
        <w:rPr>
          <w:szCs w:val="24"/>
        </w:rPr>
        <w:t xml:space="preserve"> would need to be computed </w:t>
      </w:r>
      <w:r w:rsidR="00DA7E8D" w:rsidRPr="008D54A5">
        <w:rPr>
          <w:szCs w:val="24"/>
        </w:rPr>
        <w:t>almost</w:t>
      </w:r>
      <w:r w:rsidR="000604C7" w:rsidRPr="008D54A5">
        <w:rPr>
          <w:szCs w:val="24"/>
        </w:rPr>
        <w:t xml:space="preserve"> </w:t>
      </w:r>
      <w:r w:rsidR="004121D3" w:rsidRPr="008D54A5">
        <w:rPr>
          <w:szCs w:val="24"/>
        </w:rPr>
        <w:t>4</w:t>
      </w:r>
      <w:r w:rsidR="00B97ABD" w:rsidRPr="008D54A5">
        <w:rPr>
          <w:szCs w:val="24"/>
        </w:rPr>
        <w:t xml:space="preserve"> billion MPC and HC pairs, specifically:</w:t>
      </w:r>
    </w:p>
    <w:p w14:paraId="6D7666D3" w14:textId="712C0C85" w:rsidR="00B97ABD" w:rsidRPr="008D54A5" w:rsidRDefault="000753D0" w:rsidP="00944BDD">
      <w:pPr>
        <w:pStyle w:val="aequ"/>
      </w:pPr>
      <w:r w:rsidRPr="008D54A5">
        <w:t>57,837</w:t>
      </w:r>
      <w:r w:rsidR="00B97ABD" w:rsidRPr="008D54A5">
        <w:t xml:space="preserve"> </w:t>
      </w:r>
      <w:r w:rsidR="00CB1980" w:rsidRPr="008D54A5">
        <w:t>*</w:t>
      </w:r>
      <w:r w:rsidR="00B97ABD" w:rsidRPr="008D54A5">
        <w:t xml:space="preserve"> </w:t>
      </w:r>
      <w:r w:rsidRPr="008D54A5">
        <w:t>68,836</w:t>
      </w:r>
      <w:r w:rsidRPr="008D54A5">
        <w:rPr>
          <w:color w:val="000000"/>
          <w:szCs w:val="24"/>
        </w:rPr>
        <w:t xml:space="preserve"> </w:t>
      </w:r>
      <w:r w:rsidR="006114B1" w:rsidRPr="008D54A5">
        <w:t>=</w:t>
      </w:r>
      <w:r w:rsidR="00B97ABD" w:rsidRPr="008D54A5">
        <w:t xml:space="preserve"> </w:t>
      </w:r>
      <w:bdo w:val="ltr">
        <w:r w:rsidRPr="008D54A5">
          <w:t>3,981,267,732</w:t>
        </w:r>
        <w:r w:rsidR="004121D3" w:rsidRPr="008D54A5">
          <w:t xml:space="preserve"> MPC - HC </w:t>
        </w:r>
        <w:r w:rsidR="00F66AD2" w:rsidRPr="008D54A5">
          <w:t>pairs</w:t>
        </w:r>
        <w:r w:rsidR="007D3E06" w:rsidRPr="008D54A5">
          <w:t xml:space="preserve"> of event</w:t>
        </w:r>
        <w:r w:rsidR="000604C7" w:rsidRPr="008D54A5">
          <w:t>s</w:t>
        </w:r>
        <w:r w:rsidR="00F66AD2" w:rsidRPr="008D54A5">
          <w:t>.</w:t>
        </w:r>
        <w:r w:rsidR="008D664B" w:rsidRPr="008D54A5">
          <w:t>‬</w:t>
        </w:r>
        <w:r w:rsidR="00C85710" w:rsidRPr="008D54A5">
          <w:t>‬</w:t>
        </w:r>
        <w:r w:rsidR="004172D5" w:rsidRPr="008D54A5">
          <w:t>‬</w:t>
        </w:r>
        <w:r w:rsidR="00867DAB" w:rsidRPr="008D54A5">
          <w:t>‬</w:t>
        </w:r>
        <w:r w:rsidR="00F25C5A" w:rsidRPr="008D54A5">
          <w:t>‬</w:t>
        </w:r>
        <w:r w:rsidR="00174B6C" w:rsidRPr="008D54A5">
          <w:t>‬</w:t>
        </w:r>
        <w:r w:rsidR="00FE5E46" w:rsidRPr="008D54A5">
          <w:t>‬</w:t>
        </w:r>
        <w:r w:rsidR="00030626" w:rsidRPr="008D54A5">
          <w:t>‬</w:t>
        </w:r>
        <w:r w:rsidR="00E121EE" w:rsidRPr="008D54A5">
          <w:t>‬</w:t>
        </w:r>
        <w:r w:rsidR="00BD4049" w:rsidRPr="008D54A5">
          <w:t>‬</w:t>
        </w:r>
        <w:r w:rsidR="004B6642" w:rsidRPr="008D54A5">
          <w:t>‬</w:t>
        </w:r>
        <w:r w:rsidR="004B6642" w:rsidRPr="008D54A5">
          <w:t>‬</w:t>
        </w:r>
        <w:r w:rsidR="00706BA2" w:rsidRPr="008D54A5">
          <w:t>‬</w:t>
        </w:r>
        <w:r w:rsidR="00837C7A" w:rsidRPr="008D54A5">
          <w:t>‬</w:t>
        </w:r>
        <w:r w:rsidR="008A57E9" w:rsidRPr="008D54A5">
          <w:t>‬</w:t>
        </w:r>
        <w:r w:rsidR="00D83D0D" w:rsidRPr="008D54A5">
          <w:t>‬</w:t>
        </w:r>
        <w:r w:rsidR="002D6031" w:rsidRPr="008D54A5">
          <w:t>‬</w:t>
        </w:r>
        <w:r w:rsidR="00A7788F" w:rsidRPr="008D54A5">
          <w:t>‬</w:t>
        </w:r>
        <w:r w:rsidR="00346C53" w:rsidRPr="008D54A5">
          <w:t>‬</w:t>
        </w:r>
        <w:r w:rsidR="000145C2" w:rsidRPr="008D54A5">
          <w:t>‬</w:t>
        </w:r>
        <w:r w:rsidR="00756042" w:rsidRPr="008D54A5">
          <w:t>‬</w:t>
        </w:r>
        <w:r w:rsidR="00F03A15" w:rsidRPr="008D54A5">
          <w:t>‬</w:t>
        </w:r>
        <w:r w:rsidR="00CD756C" w:rsidRPr="008D54A5">
          <w:t>‬</w:t>
        </w:r>
        <w:r w:rsidR="00BB043D" w:rsidRPr="008D54A5">
          <w:t>‬</w:t>
        </w:r>
        <w:r w:rsidR="006562FC" w:rsidRPr="008D54A5">
          <w:t>‬</w:t>
        </w:r>
        <w:r w:rsidR="00D1041A" w:rsidRPr="008D54A5">
          <w:t>‬</w:t>
        </w:r>
        <w:r w:rsidR="00FD26AD" w:rsidRPr="008D54A5">
          <w:t>‬</w:t>
        </w:r>
        <w:r w:rsidR="00FC045E" w:rsidRPr="008D54A5">
          <w:t>‬</w:t>
        </w:r>
        <w:r w:rsidR="00F679C7" w:rsidRPr="008D54A5">
          <w:t>‬</w:t>
        </w:r>
        <w:r w:rsidR="0083792E" w:rsidRPr="008D54A5">
          <w:t>‬</w:t>
        </w:r>
        <w:r w:rsidR="009B294F" w:rsidRPr="008D54A5">
          <w:t>‬</w:t>
        </w:r>
        <w:r w:rsidR="00355196" w:rsidRPr="008D54A5">
          <w:t>‬</w:t>
        </w:r>
        <w:r w:rsidR="00C54B11" w:rsidRPr="008D54A5">
          <w:t>‬</w:t>
        </w:r>
        <w:r w:rsidR="003B7583" w:rsidRPr="008D54A5">
          <w:t>‬</w:t>
        </w:r>
        <w:r w:rsidR="0085259A" w:rsidRPr="008D54A5">
          <w:t>‬</w:t>
        </w:r>
        <w:r w:rsidR="009F5E7B" w:rsidRPr="008D54A5">
          <w:t>‬</w:t>
        </w:r>
        <w:r w:rsidR="00910141" w:rsidRPr="008D54A5">
          <w:t>‬</w:t>
        </w:r>
        <w:r w:rsidR="000E4381" w:rsidRPr="008D54A5">
          <w:t>‬</w:t>
        </w:r>
        <w:r w:rsidR="00102DA6" w:rsidRPr="008D54A5">
          <w:t>‬</w:t>
        </w:r>
        <w:r w:rsidR="008C2C53" w:rsidRPr="008D54A5">
          <w:t>‬</w:t>
        </w:r>
        <w:r w:rsidR="00946D00" w:rsidRPr="008D54A5">
          <w:t>‬</w:t>
        </w:r>
        <w:r w:rsidR="00122991" w:rsidRPr="008D54A5">
          <w:t>‬</w:t>
        </w:r>
        <w:r w:rsidR="0080600C" w:rsidRPr="008D54A5">
          <w:t>‬</w:t>
        </w:r>
        <w:r w:rsidR="00E94B9C" w:rsidRPr="008D54A5">
          <w:t>‬</w:t>
        </w:r>
        <w:r w:rsidR="00727BB7" w:rsidRPr="008D54A5">
          <w:t>‬</w:t>
        </w:r>
        <w:r w:rsidR="00A40436" w:rsidRPr="008D54A5">
          <w:t>‬</w:t>
        </w:r>
        <w:r w:rsidR="00D86984" w:rsidRPr="008D54A5">
          <w:t>‬</w:t>
        </w:r>
        <w:r w:rsidR="00A65938" w:rsidRPr="008D54A5">
          <w:t>‬</w:t>
        </w:r>
        <w:r w:rsidR="007F5DC8" w:rsidRPr="008D54A5">
          <w:t>‬</w:t>
        </w:r>
        <w:r w:rsidR="00FB0EB9" w:rsidRPr="008D54A5">
          <w:t>‬</w:t>
        </w:r>
        <w:r w:rsidR="00E74836" w:rsidRPr="008D54A5">
          <w:t>‬</w:t>
        </w:r>
        <w:r w:rsidR="00B02143" w:rsidRPr="008D54A5">
          <w:t>‬</w:t>
        </w:r>
        <w:r w:rsidR="00750CF9" w:rsidRPr="008D54A5">
          <w:t>‬</w:t>
        </w:r>
        <w:r w:rsidR="00077406" w:rsidRPr="008D54A5">
          <w:t>‬</w:t>
        </w:r>
        <w:r w:rsidR="00661A91" w:rsidRPr="008D54A5">
          <w:t>‬</w:t>
        </w:r>
        <w:r w:rsidR="001223C8" w:rsidRPr="008D54A5">
          <w:t>‬</w:t>
        </w:r>
        <w:r w:rsidR="00CC2A1D" w:rsidRPr="008D54A5">
          <w:t>‬</w:t>
        </w:r>
        <w:r w:rsidR="00D8019A" w:rsidRPr="008D54A5">
          <w:t>‬</w:t>
        </w:r>
        <w:r w:rsidR="008A3C9F" w:rsidRPr="008D54A5">
          <w:t>‬</w:t>
        </w:r>
        <w:r w:rsidR="009901B3" w:rsidRPr="008D54A5">
          <w:t>‬</w:t>
        </w:r>
        <w:r w:rsidR="00C7658B" w:rsidRPr="008D54A5">
          <w:t>‬</w:t>
        </w:r>
        <w:r w:rsidR="0035710B" w:rsidRPr="008D54A5">
          <w:t>‬</w:t>
        </w:r>
        <w:r w:rsidR="00E66A19" w:rsidRPr="008D54A5">
          <w:t>‬</w:t>
        </w:r>
        <w:r w:rsidR="00292638" w:rsidRPr="008D54A5">
          <w:t>‬</w:t>
        </w:r>
        <w:r w:rsidR="00394C81" w:rsidRPr="008D54A5">
          <w:t>‬</w:t>
        </w:r>
        <w:r w:rsidR="00513B3C" w:rsidRPr="008D54A5">
          <w:t>‬</w:t>
        </w:r>
        <w:r w:rsidR="0073675E" w:rsidRPr="008D54A5">
          <w:t>‬</w:t>
        </w:r>
        <w:r w:rsidR="00D71FB1" w:rsidRPr="008D54A5">
          <w:t>‬</w:t>
        </w:r>
        <w:r w:rsidR="00F77221" w:rsidRPr="008D54A5">
          <w:t>‬</w:t>
        </w:r>
        <w:r w:rsidR="00AB776A" w:rsidRPr="008D54A5">
          <w:t>‬</w:t>
        </w:r>
        <w:r w:rsidR="00172FFB" w:rsidRPr="008D54A5">
          <w:t>‬</w:t>
        </w:r>
        <w:r w:rsidR="003E77E3" w:rsidRPr="008D54A5">
          <w:t>‬</w:t>
        </w:r>
        <w:r w:rsidR="000E63F8" w:rsidRPr="008D54A5">
          <w:t>‬</w:t>
        </w:r>
        <w:r w:rsidR="000E4EBF" w:rsidRPr="008D54A5">
          <w:t>‬</w:t>
        </w:r>
        <w:r w:rsidR="00E116BE" w:rsidRPr="008D54A5">
          <w:t>‬</w:t>
        </w:r>
        <w:r w:rsidR="00AB15B2" w:rsidRPr="008D54A5">
          <w:t>‬</w:t>
        </w:r>
        <w:r w:rsidR="000931DC" w:rsidRPr="008D54A5">
          <w:t>‬</w:t>
        </w:r>
        <w:r w:rsidR="00296A08" w:rsidRPr="008D54A5">
          <w:t>‬</w:t>
        </w:r>
        <w:r w:rsidR="00AE51B0" w:rsidRPr="008D54A5">
          <w:t>‬</w:t>
        </w:r>
        <w:r w:rsidR="00EC4C1B" w:rsidRPr="008D54A5">
          <w:t>‬</w:t>
        </w:r>
        <w:r w:rsidR="00E77B03" w:rsidRPr="008D54A5">
          <w:t>‬</w:t>
        </w:r>
        <w:r w:rsidR="00BC74A9" w:rsidRPr="008D54A5">
          <w:t>‬</w:t>
        </w:r>
        <w:r w:rsidR="007D3EEB" w:rsidRPr="008D54A5">
          <w:t>‬</w:t>
        </w:r>
        <w:r w:rsidR="005456F8" w:rsidRPr="008D54A5">
          <w:t>‬</w:t>
        </w:r>
        <w:r w:rsidR="006E3444" w:rsidRPr="008D54A5">
          <w:t>‬</w:t>
        </w:r>
        <w:r w:rsidR="00764F85" w:rsidRPr="008D54A5">
          <w:t>‬</w:t>
        </w:r>
        <w:r w:rsidR="00EF4CDD" w:rsidRPr="008D54A5">
          <w:t>‬</w:t>
        </w:r>
        <w:r w:rsidR="00732283" w:rsidRPr="008D54A5">
          <w:t>‬</w:t>
        </w:r>
        <w:r w:rsidR="00222C81" w:rsidRPr="008D54A5">
          <w:t>‬</w:t>
        </w:r>
        <w:r w:rsidR="005D569E" w:rsidRPr="008D54A5">
          <w:t>‬</w:t>
        </w:r>
        <w:r w:rsidR="00BC21AF" w:rsidRPr="008D54A5">
          <w:t>‬</w:t>
        </w:r>
        <w:r w:rsidR="00E803DA" w:rsidRPr="008D54A5">
          <w:t>‬</w:t>
        </w:r>
        <w:r w:rsidR="00FC7F16" w:rsidRPr="008D54A5">
          <w:t>‬</w:t>
        </w:r>
        <w:r w:rsidR="00F45691" w:rsidRPr="008D54A5">
          <w:t>‬</w:t>
        </w:r>
        <w:r w:rsidR="0017433A" w:rsidRPr="008D54A5">
          <w:t>‬</w:t>
        </w:r>
        <w:r w:rsidR="00291196" w:rsidRPr="008D54A5">
          <w:t>‬</w:t>
        </w:r>
        <w:r w:rsidR="00F56C6E" w:rsidRPr="008D54A5">
          <w:t>‬</w:t>
        </w:r>
        <w:r w:rsidR="004478B9" w:rsidRPr="008D54A5">
          <w:t>‬</w:t>
        </w:r>
        <w:r w:rsidR="00CF4866" w:rsidRPr="008D54A5">
          <w:t>‬</w:t>
        </w:r>
        <w:r w:rsidR="00DE1386" w:rsidRPr="008D54A5">
          <w:t>‬</w:t>
        </w:r>
        <w:r w:rsidR="00A42090" w:rsidRPr="008D54A5">
          <w:t>‬</w:t>
        </w:r>
        <w:r w:rsidR="00A414C5" w:rsidRPr="008D54A5">
          <w:t>‬</w:t>
        </w:r>
        <w:r w:rsidR="008B4FC4" w:rsidRPr="008D54A5">
          <w:t>‬</w:t>
        </w:r>
        <w:r w:rsidR="00FB681C" w:rsidRPr="008D54A5">
          <w:t>‬</w:t>
        </w:r>
        <w:r w:rsidR="00AB7314" w:rsidRPr="008D54A5">
          <w:t>‬</w:t>
        </w:r>
        <w:r w:rsidR="00146C1F" w:rsidRPr="008D54A5">
          <w:t>‬</w:t>
        </w:r>
        <w:r w:rsidR="00576BDD" w:rsidRPr="008D54A5">
          <w:t>‬</w:t>
        </w:r>
        <w:r w:rsidR="00E92FE0" w:rsidRPr="008D54A5">
          <w:t>‬</w:t>
        </w:r>
        <w:r w:rsidR="00607538" w:rsidRPr="008D54A5">
          <w:t>‬</w:t>
        </w:r>
        <w:r w:rsidR="003C0B84" w:rsidRPr="008D54A5">
          <w:t>‬</w:t>
        </w:r>
        <w:r w:rsidR="00AA27E3" w:rsidRPr="008D54A5">
          <w:t>‬</w:t>
        </w:r>
        <w:r w:rsidR="00B91DE4" w:rsidRPr="008D54A5">
          <w:t>‬</w:t>
        </w:r>
        <w:r w:rsidR="00F77587" w:rsidRPr="008D54A5">
          <w:t>‬</w:t>
        </w:r>
        <w:r w:rsidR="00176ACE" w:rsidRPr="008D54A5">
          <w:t>‬</w:t>
        </w:r>
        <w:r w:rsidR="00845119" w:rsidRPr="008D54A5">
          <w:t>‬</w:t>
        </w:r>
        <w:r w:rsidR="00B034E1" w:rsidRPr="008D54A5">
          <w:t>‬</w:t>
        </w:r>
        <w:r w:rsidR="00EC07E1" w:rsidRPr="008D54A5">
          <w:t>‬</w:t>
        </w:r>
        <w:r w:rsidR="00EA05D9" w:rsidRPr="008D54A5">
          <w:t>‬</w:t>
        </w:r>
        <w:r w:rsidR="00345B56" w:rsidRPr="008D54A5">
          <w:t>‬</w:t>
        </w:r>
        <w:r w:rsidR="00DF22B8" w:rsidRPr="008D54A5">
          <w:t>‬</w:t>
        </w:r>
        <w:r w:rsidR="009B39ED" w:rsidRPr="008D54A5">
          <w:t>‬</w:t>
        </w:r>
        <w:r w:rsidR="00C265A6" w:rsidRPr="008D54A5">
          <w:t>‬</w:t>
        </w:r>
        <w:r w:rsidR="00426BB2" w:rsidRPr="008D54A5">
          <w:t>‬</w:t>
        </w:r>
        <w:r w:rsidR="009901E0" w:rsidRPr="008D54A5">
          <w:t>‬</w:t>
        </w:r>
        <w:r w:rsidR="00802B1B" w:rsidRPr="008D54A5">
          <w:t>‬</w:t>
        </w:r>
        <w:r w:rsidR="00685B73" w:rsidRPr="008D54A5">
          <w:t>‬</w:t>
        </w:r>
        <w:r w:rsidR="00803A5E" w:rsidRPr="008D54A5">
          <w:t>‬</w:t>
        </w:r>
        <w:r w:rsidR="006A3C2A" w:rsidRPr="008D54A5">
          <w:t>‬</w:t>
        </w:r>
        <w:r w:rsidR="00F3702C" w:rsidRPr="008D54A5">
          <w:t>‬</w:t>
        </w:r>
        <w:r w:rsidR="00C63102" w:rsidRPr="008D54A5">
          <w:t>‬</w:t>
        </w:r>
        <w:r w:rsidR="006F7D97" w:rsidRPr="008D54A5">
          <w:t>‬</w:t>
        </w:r>
        <w:r w:rsidR="00C95D11" w:rsidRPr="008D54A5">
          <w:t>‬</w:t>
        </w:r>
        <w:r w:rsidR="002979AB" w:rsidRPr="008D54A5">
          <w:t>‬</w:t>
        </w:r>
        <w:r w:rsidR="00F82A79" w:rsidRPr="008D54A5">
          <w:t>‬</w:t>
        </w:r>
        <w:r w:rsidR="00095F82" w:rsidRPr="008D54A5">
          <w:t>‬</w:t>
        </w:r>
        <w:r w:rsidR="00C72C47" w:rsidRPr="008D54A5">
          <w:t>‬</w:t>
        </w:r>
        <w:r w:rsidR="00034F7D" w:rsidRPr="008D54A5">
          <w:t>‬</w:t>
        </w:r>
        <w:r w:rsidR="00AA7770" w:rsidRPr="008D54A5">
          <w:t>‬</w:t>
        </w:r>
        <w:r w:rsidR="00C648EB" w:rsidRPr="008D54A5">
          <w:t>‬</w:t>
        </w:r>
        <w:r w:rsidR="00C73A67" w:rsidRPr="008D54A5">
          <w:t>‬</w:t>
        </w:r>
        <w:r w:rsidR="00EA4F2D" w:rsidRPr="008D54A5">
          <w:t>‬</w:t>
        </w:r>
        <w:r w:rsidR="005E5A45" w:rsidRPr="008D54A5">
          <w:t>‬</w:t>
        </w:r>
        <w:r w:rsidR="00477129" w:rsidRPr="008D54A5">
          <w:t>‬</w:t>
        </w:r>
        <w:r w:rsidR="00227B6D" w:rsidRPr="008D54A5">
          <w:t>‬</w:t>
        </w:r>
        <w:r w:rsidR="00455538" w:rsidRPr="008D54A5">
          <w:t>‬</w:t>
        </w:r>
        <w:r w:rsidR="008871C6" w:rsidRPr="008D54A5">
          <w:t>‬</w:t>
        </w:r>
        <w:r w:rsidR="00836C55" w:rsidRPr="008D54A5">
          <w:t>‬</w:t>
        </w:r>
        <w:r w:rsidR="00AB77F0" w:rsidRPr="008D54A5">
          <w:t>‬</w:t>
        </w:r>
        <w:r w:rsidR="00F26574" w:rsidRPr="008D54A5">
          <w:t>‬</w:t>
        </w:r>
        <w:r w:rsidR="00C77F4B" w:rsidRPr="008D54A5">
          <w:t>‬</w:t>
        </w:r>
        <w:r w:rsidR="00204C3E" w:rsidRPr="008D54A5">
          <w:t>‬</w:t>
        </w:r>
        <w:r w:rsidR="006C6E90" w:rsidRPr="008D54A5">
          <w:t>‬</w:t>
        </w:r>
        <w:r w:rsidR="00657D86" w:rsidRPr="008D54A5">
          <w:t>‬</w:t>
        </w:r>
        <w:r w:rsidR="00BC6415" w:rsidRPr="008D54A5">
          <w:t>‬</w:t>
        </w:r>
        <w:r w:rsidR="00386741" w:rsidRPr="008D54A5">
          <w:t>‬</w:t>
        </w:r>
        <w:r w:rsidR="003C4BDF" w:rsidRPr="008D54A5">
          <w:t>‬</w:t>
        </w:r>
        <w:r w:rsidR="00753BAC" w:rsidRPr="008D54A5">
          <w:t>‬</w:t>
        </w:r>
        <w:r w:rsidR="00666FE6" w:rsidRPr="008D54A5">
          <w:t>‬</w:t>
        </w:r>
        <w:r w:rsidR="009C638F" w:rsidRPr="008D54A5">
          <w:t>‬</w:t>
        </w:r>
        <w:r w:rsidR="002D1587" w:rsidRPr="008D54A5">
          <w:t>‬</w:t>
        </w:r>
        <w:r w:rsidR="00DD6238" w:rsidRPr="008D54A5">
          <w:t>‬</w:t>
        </w:r>
        <w:r w:rsidR="007B19FD" w:rsidRPr="008D54A5">
          <w:t>‬</w:t>
        </w:r>
        <w:r w:rsidR="00596242" w:rsidRPr="008D54A5">
          <w:t>‬</w:t>
        </w:r>
        <w:r w:rsidR="008A3711" w:rsidRPr="008D54A5">
          <w:t>‬</w:t>
        </w:r>
        <w:r w:rsidR="00BA1782" w:rsidRPr="008D54A5">
          <w:t>‬</w:t>
        </w:r>
        <w:r w:rsidR="001428A4" w:rsidRPr="008D54A5">
          <w:t>‬</w:t>
        </w:r>
        <w:r w:rsidR="00383725" w:rsidRPr="008D54A5">
          <w:t>‬</w:t>
        </w:r>
        <w:r w:rsidR="002C1B91" w:rsidRPr="008D54A5">
          <w:t>‬</w:t>
        </w:r>
        <w:r w:rsidR="00FA229A" w:rsidRPr="008D54A5">
          <w:t>‬</w:t>
        </w:r>
        <w:r w:rsidR="00C113E4" w:rsidRPr="008D54A5">
          <w:t>‬</w:t>
        </w:r>
        <w:r w:rsidR="00FD68F0" w:rsidRPr="008D54A5">
          <w:t>‬</w:t>
        </w:r>
        <w:r w:rsidR="00BE4BF3" w:rsidRPr="008D54A5">
          <w:t>‬</w:t>
        </w:r>
        <w:r w:rsidR="00CE7893" w:rsidRPr="008D54A5">
          <w:t>‬</w:t>
        </w:r>
        <w:r w:rsidR="00E405F2" w:rsidRPr="008D54A5">
          <w:t>‬</w:t>
        </w:r>
        <w:r w:rsidR="0004187E" w:rsidRPr="008D54A5">
          <w:t>‬</w:t>
        </w:r>
        <w:r w:rsidR="000D2904" w:rsidRPr="008D54A5">
          <w:t>‬</w:t>
        </w:r>
        <w:r w:rsidR="002C4CEC" w:rsidRPr="008D54A5">
          <w:t>‬</w:t>
        </w:r>
        <w:r w:rsidR="00E3741C" w:rsidRPr="008D54A5">
          <w:t>‬</w:t>
        </w:r>
        <w:r w:rsidR="00A20756" w:rsidRPr="008D54A5">
          <w:t>‬</w:t>
        </w:r>
        <w:r w:rsidR="00147C3E" w:rsidRPr="008D54A5">
          <w:t>‬</w:t>
        </w:r>
        <w:r w:rsidR="004F5093" w:rsidRPr="008D54A5">
          <w:t>‬</w:t>
        </w:r>
        <w:r w:rsidR="00F62B3C" w:rsidRPr="008D54A5">
          <w:t>‬</w:t>
        </w:r>
        <w:r w:rsidR="00983ED7" w:rsidRPr="008D54A5">
          <w:t>‬</w:t>
        </w:r>
        <w:r w:rsidR="00963B7C" w:rsidRPr="008D54A5">
          <w:t>‬</w:t>
        </w:r>
        <w:r w:rsidR="00FE0A70" w:rsidRPr="008D54A5">
          <w:t>‬</w:t>
        </w:r>
        <w:r w:rsidR="002B2330" w:rsidRPr="008D54A5">
          <w:t>‬</w:t>
        </w:r>
        <w:r w:rsidR="00B60DF1" w:rsidRPr="008D54A5">
          <w:t>‬</w:t>
        </w:r>
        <w:r w:rsidR="00E53000" w:rsidRPr="008D54A5">
          <w:t>‬</w:t>
        </w:r>
        <w:r w:rsidR="00FE3A77" w:rsidRPr="008D54A5">
          <w:t>‬</w:t>
        </w:r>
        <w:r w:rsidR="006004C2" w:rsidRPr="008D54A5">
          <w:t>‬</w:t>
        </w:r>
        <w:r w:rsidR="000E0528" w:rsidRPr="008D54A5">
          <w:t>‬</w:t>
        </w:r>
        <w:r w:rsidR="00B25C91" w:rsidRPr="008D54A5">
          <w:t>‬</w:t>
        </w:r>
        <w:r w:rsidR="00F5336C" w:rsidRPr="008D54A5">
          <w:t>‬</w:t>
        </w:r>
        <w:r w:rsidR="00E06907" w:rsidRPr="008D54A5">
          <w:t>‬</w:t>
        </w:r>
        <w:r w:rsidR="00105446" w:rsidRPr="008D54A5">
          <w:t>‬</w:t>
        </w:r>
        <w:r w:rsidR="002D072E" w:rsidRPr="008D54A5">
          <w:t>‬</w:t>
        </w:r>
        <w:r w:rsidR="00820B22" w:rsidRPr="008D54A5">
          <w:t>‬</w:t>
        </w:r>
        <w:r w:rsidR="006B1C61" w:rsidRPr="008D54A5">
          <w:t>‬</w:t>
        </w:r>
        <w:r w:rsidR="007B0519" w:rsidRPr="008D54A5">
          <w:t>‬</w:t>
        </w:r>
        <w:r w:rsidR="006F2755" w:rsidRPr="008D54A5">
          <w:t>‬</w:t>
        </w:r>
        <w:r w:rsidR="009C2812" w:rsidRPr="008D54A5">
          <w:t>‬</w:t>
        </w:r>
        <w:r w:rsidR="00552757" w:rsidRPr="008D54A5">
          <w:t>‬</w:t>
        </w:r>
        <w:r w:rsidR="00A94181" w:rsidRPr="008D54A5">
          <w:t>‬</w:t>
        </w:r>
        <w:r w:rsidR="00D67F22" w:rsidRPr="008D54A5">
          <w:t>‬</w:t>
        </w:r>
        <w:r w:rsidR="00666296" w:rsidRPr="008D54A5">
          <w:t>‬</w:t>
        </w:r>
        <w:r w:rsidR="00637441" w:rsidRPr="008D54A5">
          <w:t>‬</w:t>
        </w:r>
        <w:r w:rsidR="005D3B59" w:rsidRPr="008D54A5">
          <w:t>‬</w:t>
        </w:r>
        <w:r w:rsidR="00E6610B" w:rsidRPr="008D54A5">
          <w:t>‬</w:t>
        </w:r>
        <w:r w:rsidR="004D2AAC" w:rsidRPr="008D54A5">
          <w:t>‬</w:t>
        </w:r>
        <w:r w:rsidR="0067274B" w:rsidRPr="008D54A5">
          <w:t>‬</w:t>
        </w:r>
        <w:r w:rsidR="007258E9" w:rsidRPr="008D54A5">
          <w:t>‬</w:t>
        </w:r>
        <w:r w:rsidR="001D3A27" w:rsidRPr="008D54A5">
          <w:t>‬</w:t>
        </w:r>
        <w:r w:rsidR="00477CC2" w:rsidRPr="008D54A5">
          <w:t>‬</w:t>
        </w:r>
        <w:r w:rsidR="003F54A1" w:rsidRPr="008D54A5">
          <w:t>‬</w:t>
        </w:r>
        <w:r w:rsidR="00757C01" w:rsidRPr="008D54A5">
          <w:t>‬</w:t>
        </w:r>
        <w:r w:rsidR="00423E52" w:rsidRPr="008D54A5">
          <w:t>‬</w:t>
        </w:r>
        <w:r w:rsidR="0069040C" w:rsidRPr="008D54A5">
          <w:t>‬</w:t>
        </w:r>
        <w:r w:rsidR="00125226" w:rsidRPr="008D54A5">
          <w:t>‬</w:t>
        </w:r>
        <w:r w:rsidR="001D0CDD" w:rsidRPr="008D54A5">
          <w:t>‬</w:t>
        </w:r>
        <w:r w:rsidR="00676E3B" w:rsidRPr="008D54A5">
          <w:t>‬</w:t>
        </w:r>
        <w:r w:rsidR="00D61695" w:rsidRPr="008D54A5">
          <w:t>‬</w:t>
        </w:r>
        <w:r w:rsidR="00212915" w:rsidRPr="008D54A5">
          <w:t>‬</w:t>
        </w:r>
        <w:r w:rsidR="000B52D2" w:rsidRPr="008D54A5">
          <w:t>‬</w:t>
        </w:r>
        <w:r w:rsidR="006F42D2" w:rsidRPr="008D54A5">
          <w:t>‬</w:t>
        </w:r>
        <w:r w:rsidR="00D41D8D" w:rsidRPr="008D54A5">
          <w:t>‬</w:t>
        </w:r>
        <w:r w:rsidR="004E3F6F" w:rsidRPr="008D54A5">
          <w:t>‬</w:t>
        </w:r>
        <w:r w:rsidR="002D0C48" w:rsidRPr="008D54A5">
          <w:t>‬</w:t>
        </w:r>
        <w:r w:rsidR="00684881" w:rsidRPr="008D54A5">
          <w:t>‬</w:t>
        </w:r>
        <w:r w:rsidR="00EB2641" w:rsidRPr="008D54A5">
          <w:t>‬</w:t>
        </w:r>
        <w:r w:rsidR="00E03886" w:rsidRPr="008D54A5">
          <w:t>‬</w:t>
        </w:r>
        <w:r w:rsidR="00971DA1" w:rsidRPr="008D54A5">
          <w:t>‬</w:t>
        </w:r>
        <w:r w:rsidR="00AC2993" w:rsidRPr="008D54A5">
          <w:t>‬</w:t>
        </w:r>
        <w:r w:rsidR="00084DD6" w:rsidRPr="008D54A5">
          <w:t>‬</w:t>
        </w:r>
        <w:r w:rsidR="00D90305" w:rsidRPr="008D54A5">
          <w:t>‬</w:t>
        </w:r>
        <w:r w:rsidR="00761DB6" w:rsidRPr="008D54A5">
          <w:t>‬</w:t>
        </w:r>
        <w:r w:rsidR="00A4439D" w:rsidRPr="008D54A5">
          <w:t>‬</w:t>
        </w:r>
        <w:r w:rsidR="0004046B" w:rsidRPr="008D54A5">
          <w:t>‬</w:t>
        </w:r>
        <w:r w:rsidR="00F90FD4" w:rsidRPr="008D54A5">
          <w:t>‬</w:t>
        </w:r>
        <w:r w:rsidR="00CE3C81" w:rsidRPr="008D54A5">
          <w:t>‬</w:t>
        </w:r>
        <w:r w:rsidR="00722131" w:rsidRPr="008D54A5">
          <w:t>‬</w:t>
        </w:r>
        <w:r w:rsidR="00E7595A" w:rsidRPr="008D54A5">
          <w:t>‬</w:t>
        </w:r>
        <w:r w:rsidR="00FC7680" w:rsidRPr="008D54A5">
          <w:t>‬</w:t>
        </w:r>
        <w:r w:rsidR="00FD61E2" w:rsidRPr="008D54A5">
          <w:t>‬</w:t>
        </w:r>
        <w:r w:rsidR="00453A67" w:rsidRPr="008D54A5">
          <w:t>‬</w:t>
        </w:r>
        <w:r w:rsidR="00167207" w:rsidRPr="008D54A5">
          <w:t>‬</w:t>
        </w:r>
        <w:r w:rsidR="00962707" w:rsidRPr="008D54A5">
          <w:t>‬</w:t>
        </w:r>
        <w:r w:rsidR="00EA1043" w:rsidRPr="008D54A5">
          <w:t>‬</w:t>
        </w:r>
        <w:r w:rsidR="003D5BB0" w:rsidRPr="008D54A5">
          <w:t>‬</w:t>
        </w:r>
        <w:r w:rsidR="0024349A" w:rsidRPr="008D54A5">
          <w:t>‬</w:t>
        </w:r>
        <w:r w:rsidR="00705D32" w:rsidRPr="008D54A5">
          <w:t>‬</w:t>
        </w:r>
        <w:r w:rsidR="00CF0132" w:rsidRPr="008D54A5">
          <w:t>‬</w:t>
        </w:r>
        <w:r w:rsidR="00E9407B" w:rsidRPr="008D54A5">
          <w:t>‬</w:t>
        </w:r>
        <w:r w:rsidR="002767FE" w:rsidRPr="008D54A5">
          <w:t>‬</w:t>
        </w:r>
        <w:r w:rsidR="00FE1DFE" w:rsidRPr="008D54A5">
          <w:t>‬</w:t>
        </w:r>
        <w:r w:rsidR="00DF140D" w:rsidRPr="008D54A5">
          <w:t>‬</w:t>
        </w:r>
        <w:r w:rsidR="00486575" w:rsidRPr="008D54A5">
          <w:t>‬</w:t>
        </w:r>
        <w:r w:rsidR="00C95A71" w:rsidRPr="008D54A5">
          <w:t>‬</w:t>
        </w:r>
        <w:r w:rsidR="00971B60" w:rsidRPr="008D54A5">
          <w:t>‬</w:t>
        </w:r>
        <w:r w:rsidR="00246183" w:rsidRPr="008D54A5">
          <w:t>‬</w:t>
        </w:r>
        <w:r w:rsidR="00B1365D" w:rsidRPr="008D54A5">
          <w:t>‬</w:t>
        </w:r>
        <w:r w:rsidR="00EC57DF" w:rsidRPr="008D54A5">
          <w:t>‬</w:t>
        </w:r>
        <w:r w:rsidR="00986DE7" w:rsidRPr="008D54A5">
          <w:t>‬</w:t>
        </w:r>
        <w:r w:rsidR="00290933" w:rsidRPr="008D54A5">
          <w:t>‬</w:t>
        </w:r>
        <w:r w:rsidR="0050103F" w:rsidRPr="008D54A5">
          <w:t>‬</w:t>
        </w:r>
        <w:r w:rsidR="00444D8B" w:rsidRPr="008D54A5">
          <w:t>‬</w:t>
        </w:r>
        <w:r w:rsidR="00891B01" w:rsidRPr="008D54A5">
          <w:t>‬</w:t>
        </w:r>
        <w:r w:rsidR="00806B9A" w:rsidRPr="008D54A5">
          <w:t>‬</w:t>
        </w:r>
        <w:r w:rsidR="0007503A" w:rsidRPr="008D54A5">
          <w:t>‬</w:t>
        </w:r>
        <w:r w:rsidR="00B3754E" w:rsidRPr="008D54A5">
          <w:t>‬</w:t>
        </w:r>
        <w:r w:rsidR="00BB6A32" w:rsidRPr="008D54A5">
          <w:t>‬</w:t>
        </w:r>
        <w:r w:rsidR="00956FC8" w:rsidRPr="008D54A5">
          <w:t>‬</w:t>
        </w:r>
        <w:r w:rsidR="009E79EB" w:rsidRPr="008D54A5">
          <w:t>‬</w:t>
        </w:r>
        <w:r w:rsidR="00E67487" w:rsidRPr="008D54A5">
          <w:t>‬</w:t>
        </w:r>
        <w:r w:rsidR="009B21B3" w:rsidRPr="008D54A5">
          <w:t>‬</w:t>
        </w:r>
        <w:r w:rsidR="00B45790" w:rsidRPr="008D54A5">
          <w:t>‬</w:t>
        </w:r>
        <w:r w:rsidR="00564814" w:rsidRPr="008D54A5">
          <w:t>‬</w:t>
        </w:r>
        <w:r w:rsidR="00890218" w:rsidRPr="008D54A5">
          <w:t>‬</w:t>
        </w:r>
        <w:r w:rsidR="00514FF9" w:rsidRPr="008D54A5">
          <w:t>‬</w:t>
        </w:r>
        <w:r w:rsidR="00C7725A" w:rsidRPr="008D54A5">
          <w:t>‬</w:t>
        </w:r>
        <w:r w:rsidR="009C07F2" w:rsidRPr="008D54A5">
          <w:t>‬</w:t>
        </w:r>
        <w:r w:rsidR="00CB3BD7" w:rsidRPr="008D54A5">
          <w:t>‬</w:t>
        </w:r>
        <w:r w:rsidR="00157CDC" w:rsidRPr="008D54A5">
          <w:t>‬</w:t>
        </w:r>
        <w:r w:rsidR="00457ECB" w:rsidRPr="008D54A5">
          <w:t>‬</w:t>
        </w:r>
        <w:r w:rsidR="00980F54" w:rsidRPr="008D54A5">
          <w:t>‬</w:t>
        </w:r>
        <w:r w:rsidR="00B410D4" w:rsidRPr="008D54A5">
          <w:t>‬</w:t>
        </w:r>
        <w:r w:rsidR="00774E5D" w:rsidRPr="008D54A5">
          <w:t>‬</w:t>
        </w:r>
        <w:r w:rsidR="00AB1FAC" w:rsidRPr="008D54A5">
          <w:t>‬</w:t>
        </w:r>
        <w:r w:rsidR="00094B0B" w:rsidRPr="008D54A5">
          <w:t>‬</w:t>
        </w:r>
        <w:r w:rsidR="00963A5A" w:rsidRPr="008D54A5">
          <w:t>‬</w:t>
        </w:r>
        <w:r w:rsidR="005D4795" w:rsidRPr="008D54A5">
          <w:t>‬</w:t>
        </w:r>
        <w:r w:rsidR="001B42D8" w:rsidRPr="008D54A5">
          <w:t>‬</w:t>
        </w:r>
        <w:r w:rsidR="001B42D8" w:rsidRPr="008D54A5">
          <w:t>‬</w:t>
        </w:r>
        <w:r w:rsidR="00144DC8" w:rsidRPr="008D54A5">
          <w:t>‬</w:t>
        </w:r>
        <w:r w:rsidR="00ED556B" w:rsidRPr="008D54A5">
          <w:t>‬</w:t>
        </w:r>
        <w:r w:rsidR="0069479F" w:rsidRPr="008D54A5">
          <w:t>‬</w:t>
        </w:r>
        <w:r w:rsidR="00B43B1B" w:rsidRPr="008D54A5">
          <w:t>‬</w:t>
        </w:r>
        <w:r w:rsidR="008E2E4E" w:rsidRPr="008D54A5">
          <w:t>‬</w:t>
        </w:r>
        <w:r w:rsidR="00BC51C2" w:rsidRPr="008D54A5">
          <w:t>‬</w:t>
        </w:r>
        <w:r w:rsidR="00DE3792" w:rsidRPr="008D54A5">
          <w:t>‬</w:t>
        </w:r>
        <w:r w:rsidR="00B16E32" w:rsidRPr="008D54A5">
          <w:t>‬</w:t>
        </w:r>
        <w:r w:rsidR="00C63AB0" w:rsidRPr="008D54A5">
          <w:t>‬</w:t>
        </w:r>
        <w:r w:rsidR="00DA3487" w:rsidRPr="008D54A5">
          <w:t>‬</w:t>
        </w:r>
        <w:r w:rsidR="00FD7C04" w:rsidRPr="008D54A5">
          <w:t>‬</w:t>
        </w:r>
        <w:r w:rsidR="00E02776" w:rsidRPr="008D54A5">
          <w:t>‬</w:t>
        </w:r>
        <w:r w:rsidR="00185B8C" w:rsidRPr="008D54A5">
          <w:t>‬</w:t>
        </w:r>
        <w:r w:rsidR="0033157C" w:rsidRPr="008D54A5">
          <w:t>‬</w:t>
        </w:r>
        <w:r w:rsidR="00B0786C" w:rsidRPr="008D54A5">
          <w:t>‬</w:t>
        </w:r>
        <w:r w:rsidR="009830B0" w:rsidRPr="008D54A5">
          <w:t>‬</w:t>
        </w:r>
        <w:r w:rsidR="00823306" w:rsidRPr="008D54A5">
          <w:t>‬</w:t>
        </w:r>
        <w:r w:rsidR="00B240E6" w:rsidRPr="008D54A5">
          <w:t>‬</w:t>
        </w:r>
        <w:r w:rsidR="004E5E0C" w:rsidRPr="008D54A5">
          <w:t>‬</w:t>
        </w:r>
        <w:r w:rsidR="001108E9" w:rsidRPr="008D54A5">
          <w:t>‬</w:t>
        </w:r>
        <w:r w:rsidR="000600B1" w:rsidRPr="008D54A5">
          <w:t>‬</w:t>
        </w:r>
        <w:r w:rsidR="0083220A" w:rsidRPr="008D54A5">
          <w:t>‬</w:t>
        </w:r>
        <w:r w:rsidR="00F63B07" w:rsidRPr="008D54A5">
          <w:t>‬</w:t>
        </w:r>
        <w:r w:rsidR="00867971" w:rsidRPr="008D54A5">
          <w:t>‬</w:t>
        </w:r>
        <w:r w:rsidR="007C6C84" w:rsidRPr="008D54A5">
          <w:t>‬</w:t>
        </w:r>
        <w:r w:rsidR="00DF0936" w:rsidRPr="008D54A5">
          <w:t>‬</w:t>
        </w:r>
        <w:r w:rsidR="0031551B" w:rsidRPr="008D54A5">
          <w:t>‬</w:t>
        </w:r>
        <w:r w:rsidR="00D7509F" w:rsidRPr="008D54A5">
          <w:t>‬</w:t>
        </w:r>
        <w:r w:rsidR="00F75ABF" w:rsidRPr="008D54A5">
          <w:t>‬</w:t>
        </w:r>
        <w:r w:rsidR="006C210D" w:rsidRPr="008D54A5">
          <w:t>‬</w:t>
        </w:r>
        <w:r w:rsidR="00B627AF" w:rsidRPr="008D54A5">
          <w:t>‬</w:t>
        </w:r>
        <w:r w:rsidR="00FB57AF" w:rsidRPr="008D54A5">
          <w:t>‬</w:t>
        </w:r>
        <w:r w:rsidR="00E5641C" w:rsidRPr="008D54A5">
          <w:t>‬</w:t>
        </w:r>
        <w:r w:rsidR="000A005A" w:rsidRPr="008D54A5">
          <w:t>‬</w:t>
        </w:r>
        <w:r w:rsidR="00F66A06" w:rsidRPr="008D54A5">
          <w:t>‬</w:t>
        </w:r>
        <w:r w:rsidR="00652EC4" w:rsidRPr="008D54A5">
          <w:t>‬</w:t>
        </w:r>
        <w:r w:rsidR="009C79FD" w:rsidRPr="008D54A5">
          <w:t>‬</w:t>
        </w:r>
        <w:r w:rsidR="00673537" w:rsidRPr="008D54A5">
          <w:t>‬</w:t>
        </w:r>
        <w:r w:rsidR="00F41CC7" w:rsidRPr="008D54A5">
          <w:t>‬</w:t>
        </w:r>
        <w:r w:rsidR="0024693E" w:rsidRPr="008D54A5">
          <w:t>‬</w:t>
        </w:r>
        <w:r w:rsidR="00B47921" w:rsidRPr="008D54A5">
          <w:t>‬</w:t>
        </w:r>
        <w:r w:rsidR="00894F5C" w:rsidRPr="008D54A5">
          <w:t>‬</w:t>
        </w:r>
        <w:r w:rsidR="00A5619D" w:rsidRPr="008D54A5">
          <w:t>‬</w:t>
        </w:r>
        <w:r w:rsidR="009D285F" w:rsidRPr="008D54A5">
          <w:t>‬</w:t>
        </w:r>
        <w:r w:rsidR="00EC4B86" w:rsidRPr="008D54A5">
          <w:t>‬</w:t>
        </w:r>
        <w:r w:rsidR="00DA7E8D" w:rsidRPr="008D54A5">
          <w:t>‬</w:t>
        </w:r>
        <w:r w:rsidR="000604C7" w:rsidRPr="008D54A5">
          <w:t>‬</w:t>
        </w:r>
        <w:r w:rsidR="00803D7E" w:rsidRPr="008D54A5">
          <w:t>‬</w:t>
        </w:r>
        <w:r w:rsidR="00FB1E5E" w:rsidRPr="008D54A5">
          <w:t>‬</w:t>
        </w:r>
        <w:r w:rsidR="00963F8C" w:rsidRPr="008D54A5">
          <w:t>‬</w:t>
        </w:r>
        <w:r w:rsidR="00B2467C" w:rsidRPr="008D54A5">
          <w:t>‬</w:t>
        </w:r>
        <w:r w:rsidR="00C76B70" w:rsidRPr="008D54A5">
          <w:t>‬</w:t>
        </w:r>
        <w:r w:rsidR="0075008A" w:rsidRPr="008D54A5">
          <w:t>‬</w:t>
        </w:r>
        <w:r w:rsidR="00065881" w:rsidRPr="008D54A5">
          <w:t>‬</w:t>
        </w:r>
        <w:r w:rsidR="004E1824" w:rsidRPr="008D54A5">
          <w:t>‬</w:t>
        </w:r>
        <w:r w:rsidR="00FF32BD" w:rsidRPr="008D54A5">
          <w:t>‬</w:t>
        </w:r>
        <w:r w:rsidR="009F2EC2" w:rsidRPr="008D54A5">
          <w:t>‬</w:t>
        </w:r>
        <w:r w:rsidR="00BD7B82" w:rsidRPr="008D54A5">
          <w:t>‬</w:t>
        </w:r>
        <w:r w:rsidR="00432A4A" w:rsidRPr="008D54A5">
          <w:t>‬</w:t>
        </w:r>
        <w:r w:rsidR="008D54A5" w:rsidRPr="008D54A5">
          <w:t>‬</w:t>
        </w:r>
        <w:r w:rsidR="005D695D">
          <w:t>‬</w:t>
        </w:r>
        <w:r w:rsidR="00910C24">
          <w:t>‬</w:t>
        </w:r>
        <w:r w:rsidR="00552936">
          <w:t>‬</w:t>
        </w:r>
        <w:r w:rsidR="00BD40E2">
          <w:t>‬</w:t>
        </w:r>
        <w:r w:rsidR="00832717">
          <w:t>‬</w:t>
        </w:r>
        <w:r w:rsidR="007F0EC9">
          <w:t>‬</w:t>
        </w:r>
        <w:r w:rsidR="00B30D94">
          <w:t>‬</w:t>
        </w:r>
        <w:r w:rsidR="00137C94">
          <w:t>‬</w:t>
        </w:r>
        <w:r w:rsidR="00FB6EEF">
          <w:t>‬</w:t>
        </w:r>
        <w:r w:rsidR="00AA5D9F">
          <w:t>‬</w:t>
        </w:r>
        <w:r w:rsidR="009D541A">
          <w:t>‬</w:t>
        </w:r>
        <w:r w:rsidR="00A94D96">
          <w:t>‬</w:t>
        </w:r>
        <w:r w:rsidR="00E64B4B">
          <w:t>‬</w:t>
        </w:r>
        <w:r w:rsidR="00E737A1">
          <w:t>‬</w:t>
        </w:r>
        <w:r w:rsidR="00355087">
          <w:t>‬</w:t>
        </w:r>
        <w:r w:rsidR="00663E22">
          <w:t>‬</w:t>
        </w:r>
        <w:r w:rsidR="00282727">
          <w:t>‬</w:t>
        </w:r>
        <w:r w:rsidR="006E4110">
          <w:t>‬</w:t>
        </w:r>
        <w:r w:rsidR="00B52D43">
          <w:t>‬</w:t>
        </w:r>
        <w:r>
          <w:t>‬</w:t>
        </w:r>
        <w:r>
          <w:t>‬</w:t>
        </w:r>
        <w:r>
          <w:t>‬</w:t>
        </w:r>
        <w:r w:rsidR="00193477">
          <w:t>‬</w:t>
        </w:r>
        <w:r w:rsidR="00FD555C">
          <w:t>‬</w:t>
        </w:r>
        <w:r w:rsidR="00EB318B">
          <w:t>‬</w:t>
        </w:r>
        <w:r w:rsidR="00453A85">
          <w:t>‬</w:t>
        </w:r>
        <w:r w:rsidR="004C2409">
          <w:t>‬</w:t>
        </w:r>
        <w:r w:rsidR="009A0852">
          <w:t>‬</w:t>
        </w:r>
        <w:r>
          <w:t>‬</w:t>
        </w:r>
        <w:r>
          <w:t>‬</w:t>
        </w:r>
        <w:r>
          <w:t>‬</w:t>
        </w:r>
        <w:r w:rsidR="00000000">
          <w:t>‬</w:t>
        </w:r>
      </w:bdo>
    </w:p>
    <w:p w14:paraId="727052AD" w14:textId="29A9926F" w:rsidR="00A322E7" w:rsidRPr="008D54A5" w:rsidRDefault="0058399B" w:rsidP="00FD4A4F">
      <w:pPr>
        <w:pStyle w:val="ExhibitTitle"/>
      </w:pPr>
      <w:bookmarkStart w:id="250" w:name="RANGE!A1:G9"/>
      <w:bookmarkStart w:id="251" w:name="_Toc128574195"/>
      <w:bookmarkStart w:id="252" w:name="_Toc188622352"/>
      <w:bookmarkEnd w:id="248"/>
      <w:r w:rsidRPr="00404E1F">
        <w:t>Exhibit </w:t>
      </w:r>
      <w:r w:rsidRPr="008D54A5">
        <w:rPr>
          <w:noProof/>
        </w:rPr>
        <w:fldChar w:fldCharType="begin"/>
      </w:r>
      <w:r w:rsidRPr="008D54A5">
        <w:rPr>
          <w:noProof/>
        </w:rPr>
        <w:instrText xml:space="preserve"> STYLEREF 1 \s </w:instrText>
      </w:r>
      <w:r w:rsidRPr="008D54A5">
        <w:rPr>
          <w:noProof/>
        </w:rPr>
        <w:fldChar w:fldCharType="separate"/>
      </w:r>
      <w:r w:rsidR="00EC2444" w:rsidRPr="008D54A5">
        <w:rPr>
          <w:noProof/>
        </w:rPr>
        <w:t>8</w:t>
      </w:r>
      <w:r w:rsidRPr="008D54A5">
        <w:rPr>
          <w:noProof/>
        </w:rPr>
        <w:fldChar w:fldCharType="end"/>
      </w:r>
      <w:r w:rsidRPr="008D54A5">
        <w:t>.</w:t>
      </w:r>
      <w:r w:rsidRPr="008D54A5">
        <w:rPr>
          <w:noProof/>
        </w:rPr>
        <w:fldChar w:fldCharType="begin"/>
      </w:r>
      <w:r w:rsidRPr="008D54A5">
        <w:rPr>
          <w:noProof/>
        </w:rPr>
        <w:instrText xml:space="preserve"> SEQ Exhibit \* ARABIC \s 1 </w:instrText>
      </w:r>
      <w:r w:rsidRPr="008D54A5">
        <w:rPr>
          <w:noProof/>
        </w:rPr>
        <w:fldChar w:fldCharType="separate"/>
      </w:r>
      <w:r w:rsidR="00EC2444" w:rsidRPr="008D54A5">
        <w:rPr>
          <w:noProof/>
        </w:rPr>
        <w:t>1</w:t>
      </w:r>
      <w:r w:rsidRPr="008D54A5">
        <w:rPr>
          <w:noProof/>
        </w:rPr>
        <w:fldChar w:fldCharType="end"/>
      </w:r>
      <w:r w:rsidRPr="008D54A5">
        <w:tab/>
        <w:t>E</w:t>
      </w:r>
      <w:r w:rsidR="00A322E7" w:rsidRPr="008D54A5">
        <w:t xml:space="preserve">vents Eligible for Matching, </w:t>
      </w:r>
      <w:bookmarkEnd w:id="250"/>
      <w:r w:rsidR="004121D3" w:rsidRPr="008D54A5">
        <w:t>20</w:t>
      </w:r>
      <w:r w:rsidR="00E737A1">
        <w:t>20</w:t>
      </w:r>
      <w:r w:rsidR="006A1542" w:rsidRPr="008D54A5">
        <w:t>–</w:t>
      </w:r>
      <w:r w:rsidR="004121D3" w:rsidRPr="008D54A5">
        <w:t>202</w:t>
      </w:r>
      <w:bookmarkEnd w:id="251"/>
      <w:r w:rsidR="00E737A1">
        <w:t>2</w:t>
      </w:r>
      <w:bookmarkEnd w:id="252"/>
    </w:p>
    <w:tbl>
      <w:tblPr>
        <w:tblStyle w:val="TableGrid"/>
        <w:tblW w:w="5000" w:type="pct"/>
        <w:tblLook w:val="04A0" w:firstRow="1" w:lastRow="0" w:firstColumn="1" w:lastColumn="0" w:noHBand="0" w:noVBand="1"/>
      </w:tblPr>
      <w:tblGrid>
        <w:gridCol w:w="2854"/>
        <w:gridCol w:w="1392"/>
        <w:gridCol w:w="773"/>
        <w:gridCol w:w="1392"/>
        <w:gridCol w:w="774"/>
        <w:gridCol w:w="1393"/>
        <w:gridCol w:w="772"/>
      </w:tblGrid>
      <w:tr w:rsidR="00C90C6E" w:rsidRPr="008D54A5" w14:paraId="6DBB1B0D" w14:textId="77777777" w:rsidTr="00C90C6E">
        <w:trPr>
          <w:cnfStyle w:val="100000000000" w:firstRow="1" w:lastRow="0" w:firstColumn="0" w:lastColumn="0" w:oddVBand="0" w:evenVBand="0" w:oddHBand="0" w:evenHBand="0" w:firstRowFirstColumn="0" w:firstRowLastColumn="0" w:lastRowFirstColumn="0" w:lastRowLastColumn="0"/>
          <w:trHeight w:val="20"/>
        </w:trPr>
        <w:tc>
          <w:tcPr>
            <w:tcW w:w="1320" w:type="pct"/>
            <w:vMerge w:val="restart"/>
            <w:noWrap/>
            <w:hideMark/>
          </w:tcPr>
          <w:p w14:paraId="5A20A6F0" w14:textId="77777777" w:rsidR="00C90C6E" w:rsidRPr="008D54A5" w:rsidRDefault="00C90C6E" w:rsidP="00B040C8">
            <w:pPr>
              <w:pStyle w:val="TableHeading-12"/>
              <w:rPr>
                <w:sz w:val="20"/>
                <w:szCs w:val="20"/>
              </w:rPr>
            </w:pPr>
            <w:r w:rsidRPr="008D54A5">
              <w:rPr>
                <w:sz w:val="20"/>
                <w:szCs w:val="20"/>
              </w:rPr>
              <w:t> </w:t>
            </w:r>
          </w:p>
        </w:tc>
        <w:tc>
          <w:tcPr>
            <w:tcW w:w="1227" w:type="pct"/>
            <w:gridSpan w:val="2"/>
            <w:noWrap/>
            <w:hideMark/>
          </w:tcPr>
          <w:p w14:paraId="31B13B33" w14:textId="69636D0F" w:rsidR="00C90C6E" w:rsidRPr="008D54A5" w:rsidRDefault="00C90C6E" w:rsidP="003C087D">
            <w:pPr>
              <w:pStyle w:val="TableHeading-12"/>
              <w:rPr>
                <w:sz w:val="20"/>
                <w:szCs w:val="20"/>
              </w:rPr>
            </w:pPr>
            <w:r w:rsidRPr="008D54A5">
              <w:rPr>
                <w:sz w:val="20"/>
                <w:szCs w:val="20"/>
              </w:rPr>
              <w:t>2020 MPC</w:t>
            </w:r>
          </w:p>
        </w:tc>
        <w:tc>
          <w:tcPr>
            <w:tcW w:w="1227" w:type="pct"/>
            <w:gridSpan w:val="2"/>
            <w:noWrap/>
            <w:hideMark/>
          </w:tcPr>
          <w:p w14:paraId="7738F096" w14:textId="265BD641" w:rsidR="00C90C6E" w:rsidRPr="008D54A5" w:rsidRDefault="00C90C6E" w:rsidP="003C087D">
            <w:pPr>
              <w:pStyle w:val="TableHeading-12"/>
              <w:rPr>
                <w:sz w:val="20"/>
                <w:szCs w:val="20"/>
              </w:rPr>
            </w:pPr>
            <w:r w:rsidRPr="008D54A5">
              <w:rPr>
                <w:sz w:val="20"/>
                <w:szCs w:val="20"/>
              </w:rPr>
              <w:t>2021 MPC</w:t>
            </w:r>
          </w:p>
        </w:tc>
        <w:tc>
          <w:tcPr>
            <w:tcW w:w="1227" w:type="pct"/>
            <w:gridSpan w:val="2"/>
            <w:noWrap/>
            <w:hideMark/>
          </w:tcPr>
          <w:p w14:paraId="5E729B42" w14:textId="2C37547B" w:rsidR="00C90C6E" w:rsidRPr="008D54A5" w:rsidRDefault="00C90C6E" w:rsidP="000B7479">
            <w:pPr>
              <w:pStyle w:val="TableHeading-12"/>
              <w:rPr>
                <w:sz w:val="20"/>
                <w:szCs w:val="20"/>
              </w:rPr>
            </w:pPr>
            <w:r w:rsidRPr="008D54A5">
              <w:rPr>
                <w:sz w:val="20"/>
                <w:szCs w:val="20"/>
              </w:rPr>
              <w:t>2022 MPC</w:t>
            </w:r>
          </w:p>
        </w:tc>
      </w:tr>
      <w:tr w:rsidR="00C90C6E" w:rsidRPr="008D54A5" w14:paraId="0DAC738D" w14:textId="77777777" w:rsidTr="00C90C6E">
        <w:trPr>
          <w:trHeight w:val="20"/>
        </w:trPr>
        <w:tc>
          <w:tcPr>
            <w:tcW w:w="1320" w:type="pct"/>
            <w:vMerge/>
            <w:shd w:val="clear" w:color="auto" w:fill="BFBFBF"/>
            <w:hideMark/>
          </w:tcPr>
          <w:p w14:paraId="3E09A707" w14:textId="77777777" w:rsidR="00C90C6E" w:rsidRPr="008D54A5" w:rsidRDefault="00C90C6E" w:rsidP="00B040C8">
            <w:pPr>
              <w:pStyle w:val="TableHeading-12"/>
              <w:rPr>
                <w:sz w:val="20"/>
                <w:szCs w:val="20"/>
              </w:rPr>
            </w:pPr>
          </w:p>
        </w:tc>
        <w:tc>
          <w:tcPr>
            <w:tcW w:w="779" w:type="pct"/>
            <w:shd w:val="clear" w:color="auto" w:fill="BFBFBF"/>
          </w:tcPr>
          <w:p w14:paraId="429DDAE0" w14:textId="70FB0746" w:rsidR="00C90C6E" w:rsidRPr="008D54A5" w:rsidRDefault="00C90C6E" w:rsidP="00B040C8">
            <w:pPr>
              <w:pStyle w:val="TableHeading-12"/>
              <w:rPr>
                <w:sz w:val="20"/>
                <w:szCs w:val="20"/>
              </w:rPr>
            </w:pPr>
            <w:r w:rsidRPr="008D54A5">
              <w:rPr>
                <w:sz w:val="20"/>
                <w:szCs w:val="20"/>
              </w:rPr>
              <w:t>Total</w:t>
            </w:r>
          </w:p>
        </w:tc>
        <w:tc>
          <w:tcPr>
            <w:tcW w:w="448" w:type="pct"/>
            <w:shd w:val="clear" w:color="auto" w:fill="BFBFBF"/>
          </w:tcPr>
          <w:p w14:paraId="3CE291AD" w14:textId="2D041420" w:rsidR="00C90C6E" w:rsidRPr="008D54A5" w:rsidRDefault="00C90C6E" w:rsidP="00B040C8">
            <w:pPr>
              <w:pStyle w:val="TableHeading-12"/>
              <w:rPr>
                <w:sz w:val="20"/>
                <w:szCs w:val="20"/>
              </w:rPr>
            </w:pPr>
            <w:r w:rsidRPr="008D54A5">
              <w:rPr>
                <w:sz w:val="20"/>
                <w:szCs w:val="20"/>
              </w:rPr>
              <w:t>Percent</w:t>
            </w:r>
          </w:p>
        </w:tc>
        <w:tc>
          <w:tcPr>
            <w:tcW w:w="779" w:type="pct"/>
            <w:shd w:val="clear" w:color="auto" w:fill="BFBFBF"/>
          </w:tcPr>
          <w:p w14:paraId="2FBFF2F1" w14:textId="551FF5DC" w:rsidR="00C90C6E" w:rsidRPr="008D54A5" w:rsidRDefault="00C90C6E" w:rsidP="00B040C8">
            <w:pPr>
              <w:pStyle w:val="TableHeading-12"/>
              <w:rPr>
                <w:sz w:val="20"/>
                <w:szCs w:val="20"/>
              </w:rPr>
            </w:pPr>
            <w:r w:rsidRPr="008D54A5">
              <w:rPr>
                <w:sz w:val="20"/>
                <w:szCs w:val="20"/>
              </w:rPr>
              <w:t>Total</w:t>
            </w:r>
          </w:p>
        </w:tc>
        <w:tc>
          <w:tcPr>
            <w:tcW w:w="448" w:type="pct"/>
            <w:shd w:val="clear" w:color="auto" w:fill="BFBFBF"/>
          </w:tcPr>
          <w:p w14:paraId="71D7DBD8" w14:textId="024BA351" w:rsidR="00C90C6E" w:rsidRPr="008D54A5" w:rsidRDefault="00C90C6E" w:rsidP="00B040C8">
            <w:pPr>
              <w:pStyle w:val="TableHeading-12"/>
              <w:rPr>
                <w:sz w:val="20"/>
                <w:szCs w:val="20"/>
              </w:rPr>
            </w:pPr>
            <w:r w:rsidRPr="008D54A5">
              <w:rPr>
                <w:sz w:val="20"/>
                <w:szCs w:val="20"/>
              </w:rPr>
              <w:t>Percent</w:t>
            </w:r>
          </w:p>
        </w:tc>
        <w:tc>
          <w:tcPr>
            <w:tcW w:w="779" w:type="pct"/>
            <w:shd w:val="clear" w:color="auto" w:fill="BFBFBF"/>
            <w:noWrap/>
            <w:hideMark/>
          </w:tcPr>
          <w:p w14:paraId="13598133" w14:textId="62FB5C61" w:rsidR="00C90C6E" w:rsidRPr="008D54A5" w:rsidRDefault="00C90C6E" w:rsidP="00B040C8">
            <w:pPr>
              <w:pStyle w:val="TableHeading-12"/>
              <w:rPr>
                <w:sz w:val="20"/>
                <w:szCs w:val="20"/>
              </w:rPr>
            </w:pPr>
            <w:r w:rsidRPr="008D54A5">
              <w:rPr>
                <w:sz w:val="20"/>
                <w:szCs w:val="20"/>
              </w:rPr>
              <w:t>Total</w:t>
            </w:r>
          </w:p>
        </w:tc>
        <w:tc>
          <w:tcPr>
            <w:tcW w:w="448" w:type="pct"/>
            <w:shd w:val="clear" w:color="auto" w:fill="BFBFBF"/>
            <w:noWrap/>
            <w:hideMark/>
          </w:tcPr>
          <w:p w14:paraId="6BBE4A35" w14:textId="731E8262" w:rsidR="00C90C6E" w:rsidRPr="008D54A5" w:rsidRDefault="00C90C6E" w:rsidP="00B040C8">
            <w:pPr>
              <w:pStyle w:val="TableHeading-12"/>
              <w:rPr>
                <w:sz w:val="20"/>
                <w:szCs w:val="20"/>
              </w:rPr>
            </w:pPr>
            <w:r w:rsidRPr="008D54A5">
              <w:rPr>
                <w:sz w:val="20"/>
                <w:szCs w:val="20"/>
              </w:rPr>
              <w:t>Percent</w:t>
            </w:r>
          </w:p>
        </w:tc>
      </w:tr>
      <w:tr w:rsidR="00C90C6E" w:rsidRPr="008D54A5" w14:paraId="1C1FE573" w14:textId="77777777" w:rsidTr="00C90C6E">
        <w:trPr>
          <w:trHeight w:val="20"/>
        </w:trPr>
        <w:tc>
          <w:tcPr>
            <w:tcW w:w="1320" w:type="pct"/>
            <w:noWrap/>
            <w:hideMark/>
          </w:tcPr>
          <w:p w14:paraId="2BD998A1" w14:textId="77777777" w:rsidR="000753D0" w:rsidRPr="008D54A5" w:rsidRDefault="000753D0" w:rsidP="00E47419">
            <w:pPr>
              <w:pStyle w:val="TableText-12"/>
            </w:pPr>
            <w:r w:rsidRPr="008D54A5">
              <w:t>HC Events on File</w:t>
            </w:r>
          </w:p>
        </w:tc>
        <w:tc>
          <w:tcPr>
            <w:tcW w:w="779" w:type="pct"/>
            <w:tcBorders>
              <w:top w:val="single" w:sz="4" w:space="0" w:color="auto"/>
              <w:left w:val="single" w:sz="4" w:space="0" w:color="auto"/>
              <w:bottom w:val="single" w:sz="4" w:space="0" w:color="auto"/>
              <w:right w:val="single" w:sz="4" w:space="0" w:color="auto"/>
            </w:tcBorders>
            <w:shd w:val="clear" w:color="auto" w:fill="auto"/>
          </w:tcPr>
          <w:p w14:paraId="7A80E4E4" w14:textId="61B0B67E" w:rsidR="000753D0" w:rsidRPr="008D54A5" w:rsidRDefault="000753D0" w:rsidP="00E47419">
            <w:pPr>
              <w:pStyle w:val="TableText-center-12"/>
            </w:pPr>
            <w:r w:rsidRPr="008D54A5">
              <w:t>174,464</w:t>
            </w:r>
          </w:p>
        </w:tc>
        <w:tc>
          <w:tcPr>
            <w:tcW w:w="448" w:type="pct"/>
            <w:tcBorders>
              <w:top w:val="single" w:sz="4" w:space="0" w:color="auto"/>
              <w:left w:val="nil"/>
              <w:bottom w:val="single" w:sz="4" w:space="0" w:color="auto"/>
              <w:right w:val="single" w:sz="4" w:space="0" w:color="auto"/>
            </w:tcBorders>
            <w:shd w:val="clear" w:color="auto" w:fill="auto"/>
          </w:tcPr>
          <w:p w14:paraId="3DDA0673" w14:textId="5355E85F" w:rsidR="000753D0" w:rsidRPr="008D54A5" w:rsidRDefault="000753D0" w:rsidP="00E47419">
            <w:pPr>
              <w:pStyle w:val="TableText-center-12"/>
            </w:pPr>
          </w:p>
        </w:tc>
        <w:tc>
          <w:tcPr>
            <w:tcW w:w="779" w:type="pct"/>
            <w:tcBorders>
              <w:top w:val="single" w:sz="4" w:space="0" w:color="auto"/>
              <w:left w:val="nil"/>
              <w:bottom w:val="single" w:sz="4" w:space="0" w:color="auto"/>
              <w:right w:val="single" w:sz="4" w:space="0" w:color="auto"/>
            </w:tcBorders>
            <w:shd w:val="clear" w:color="auto" w:fill="auto"/>
          </w:tcPr>
          <w:p w14:paraId="56FCBC7B" w14:textId="21C0743B" w:rsidR="000753D0" w:rsidRPr="008D54A5" w:rsidRDefault="000753D0" w:rsidP="00E47419">
            <w:pPr>
              <w:pStyle w:val="TableText-center-12"/>
            </w:pPr>
            <w:r w:rsidRPr="008D54A5">
              <w:t>207,966</w:t>
            </w:r>
          </w:p>
        </w:tc>
        <w:tc>
          <w:tcPr>
            <w:tcW w:w="448" w:type="pct"/>
            <w:tcBorders>
              <w:top w:val="single" w:sz="4" w:space="0" w:color="auto"/>
              <w:left w:val="nil"/>
              <w:bottom w:val="single" w:sz="4" w:space="0" w:color="auto"/>
              <w:right w:val="single" w:sz="4" w:space="0" w:color="auto"/>
            </w:tcBorders>
            <w:shd w:val="clear" w:color="auto" w:fill="auto"/>
          </w:tcPr>
          <w:p w14:paraId="38D7938D" w14:textId="6F37CE9A" w:rsidR="000753D0" w:rsidRPr="008D54A5" w:rsidRDefault="000753D0" w:rsidP="00E47419">
            <w:pPr>
              <w:pStyle w:val="TableText-center-12"/>
            </w:pPr>
          </w:p>
        </w:tc>
        <w:tc>
          <w:tcPr>
            <w:tcW w:w="779" w:type="pct"/>
            <w:tcBorders>
              <w:top w:val="single" w:sz="4" w:space="0" w:color="auto"/>
              <w:left w:val="nil"/>
              <w:bottom w:val="single" w:sz="4" w:space="0" w:color="auto"/>
              <w:right w:val="single" w:sz="4" w:space="0" w:color="auto"/>
            </w:tcBorders>
            <w:shd w:val="clear" w:color="auto" w:fill="auto"/>
            <w:noWrap/>
            <w:hideMark/>
          </w:tcPr>
          <w:p w14:paraId="55C11900" w14:textId="4AFDDB9C" w:rsidR="000753D0" w:rsidRPr="008D54A5" w:rsidRDefault="000753D0" w:rsidP="00E47419">
            <w:pPr>
              <w:pStyle w:val="TableText-center-12"/>
            </w:pPr>
            <w:r w:rsidRPr="008D54A5">
              <w:t>151,440</w:t>
            </w:r>
          </w:p>
        </w:tc>
        <w:tc>
          <w:tcPr>
            <w:tcW w:w="448" w:type="pct"/>
            <w:tcBorders>
              <w:top w:val="single" w:sz="4" w:space="0" w:color="auto"/>
              <w:left w:val="nil"/>
              <w:bottom w:val="single" w:sz="4" w:space="0" w:color="auto"/>
              <w:right w:val="single" w:sz="4" w:space="0" w:color="auto"/>
            </w:tcBorders>
            <w:shd w:val="clear" w:color="auto" w:fill="auto"/>
            <w:noWrap/>
            <w:hideMark/>
          </w:tcPr>
          <w:p w14:paraId="6BE8FDE6" w14:textId="07DEDEA5" w:rsidR="000753D0" w:rsidRPr="008D54A5" w:rsidRDefault="000753D0" w:rsidP="00E47419">
            <w:pPr>
              <w:pStyle w:val="TableText-center-12"/>
            </w:pPr>
          </w:p>
        </w:tc>
      </w:tr>
      <w:tr w:rsidR="00E47419" w:rsidRPr="008D54A5" w14:paraId="427CA230" w14:textId="77777777" w:rsidTr="00C90C6E">
        <w:trPr>
          <w:trHeight w:val="20"/>
        </w:trPr>
        <w:tc>
          <w:tcPr>
            <w:tcW w:w="1320" w:type="pct"/>
            <w:noWrap/>
            <w:hideMark/>
          </w:tcPr>
          <w:p w14:paraId="0EB239F6" w14:textId="77777777" w:rsidR="000753D0" w:rsidRPr="008D54A5" w:rsidRDefault="000753D0" w:rsidP="00E47419">
            <w:pPr>
              <w:pStyle w:val="TableText-12"/>
            </w:pPr>
            <w:r w:rsidRPr="008D54A5">
              <w:t>MPC Events on File</w:t>
            </w:r>
          </w:p>
        </w:tc>
        <w:tc>
          <w:tcPr>
            <w:tcW w:w="779" w:type="pct"/>
            <w:tcBorders>
              <w:top w:val="nil"/>
              <w:left w:val="single" w:sz="4" w:space="0" w:color="auto"/>
              <w:bottom w:val="single" w:sz="4" w:space="0" w:color="auto"/>
              <w:right w:val="single" w:sz="4" w:space="0" w:color="auto"/>
            </w:tcBorders>
            <w:shd w:val="clear" w:color="auto" w:fill="auto"/>
          </w:tcPr>
          <w:p w14:paraId="6B7F6512" w14:textId="0C1013CC" w:rsidR="000753D0" w:rsidRPr="008D54A5" w:rsidRDefault="000753D0" w:rsidP="00E47419">
            <w:pPr>
              <w:pStyle w:val="TableText-center-12"/>
            </w:pPr>
            <w:r w:rsidRPr="008D54A5">
              <w:t>87,226</w:t>
            </w:r>
          </w:p>
        </w:tc>
        <w:tc>
          <w:tcPr>
            <w:tcW w:w="448" w:type="pct"/>
            <w:tcBorders>
              <w:top w:val="nil"/>
              <w:left w:val="nil"/>
              <w:bottom w:val="single" w:sz="4" w:space="0" w:color="auto"/>
              <w:right w:val="single" w:sz="4" w:space="0" w:color="auto"/>
            </w:tcBorders>
            <w:shd w:val="clear" w:color="auto" w:fill="auto"/>
          </w:tcPr>
          <w:p w14:paraId="11554EC4" w14:textId="5FD420E5" w:rsidR="000753D0" w:rsidRPr="008D54A5" w:rsidRDefault="000753D0" w:rsidP="00E47419">
            <w:pPr>
              <w:pStyle w:val="TableText-center-12"/>
            </w:pPr>
          </w:p>
        </w:tc>
        <w:tc>
          <w:tcPr>
            <w:tcW w:w="779" w:type="pct"/>
            <w:tcBorders>
              <w:top w:val="nil"/>
              <w:left w:val="nil"/>
              <w:bottom w:val="single" w:sz="4" w:space="0" w:color="auto"/>
              <w:right w:val="single" w:sz="4" w:space="0" w:color="auto"/>
            </w:tcBorders>
            <w:shd w:val="clear" w:color="auto" w:fill="auto"/>
          </w:tcPr>
          <w:p w14:paraId="75DD83B7" w14:textId="67FEDC56" w:rsidR="000753D0" w:rsidRPr="008D54A5" w:rsidRDefault="000753D0" w:rsidP="00E47419">
            <w:pPr>
              <w:pStyle w:val="TableText-center-12"/>
            </w:pPr>
            <w:r w:rsidRPr="008D54A5">
              <w:t>91,660</w:t>
            </w:r>
          </w:p>
        </w:tc>
        <w:tc>
          <w:tcPr>
            <w:tcW w:w="448" w:type="pct"/>
            <w:tcBorders>
              <w:top w:val="nil"/>
              <w:left w:val="nil"/>
              <w:bottom w:val="single" w:sz="4" w:space="0" w:color="auto"/>
              <w:right w:val="single" w:sz="4" w:space="0" w:color="auto"/>
            </w:tcBorders>
            <w:shd w:val="clear" w:color="auto" w:fill="auto"/>
          </w:tcPr>
          <w:p w14:paraId="4E1308DA" w14:textId="3757C5B4" w:rsidR="000753D0" w:rsidRPr="008D54A5" w:rsidRDefault="000753D0" w:rsidP="00E47419">
            <w:pPr>
              <w:pStyle w:val="TableText-center-12"/>
            </w:pPr>
          </w:p>
        </w:tc>
        <w:tc>
          <w:tcPr>
            <w:tcW w:w="779" w:type="pct"/>
            <w:tcBorders>
              <w:top w:val="nil"/>
              <w:left w:val="nil"/>
              <w:bottom w:val="single" w:sz="4" w:space="0" w:color="auto"/>
              <w:right w:val="single" w:sz="4" w:space="0" w:color="auto"/>
            </w:tcBorders>
            <w:shd w:val="clear" w:color="auto" w:fill="auto"/>
            <w:noWrap/>
            <w:hideMark/>
          </w:tcPr>
          <w:p w14:paraId="666639ED" w14:textId="3D486AE6" w:rsidR="000753D0" w:rsidRPr="008D54A5" w:rsidRDefault="000753D0" w:rsidP="00E47419">
            <w:pPr>
              <w:pStyle w:val="TableText-center-12"/>
            </w:pPr>
            <w:r w:rsidRPr="008D54A5">
              <w:t>81,291</w:t>
            </w:r>
          </w:p>
        </w:tc>
        <w:tc>
          <w:tcPr>
            <w:tcW w:w="448" w:type="pct"/>
            <w:tcBorders>
              <w:top w:val="nil"/>
              <w:left w:val="nil"/>
              <w:bottom w:val="single" w:sz="4" w:space="0" w:color="auto"/>
              <w:right w:val="single" w:sz="4" w:space="0" w:color="auto"/>
            </w:tcBorders>
            <w:shd w:val="clear" w:color="auto" w:fill="auto"/>
            <w:noWrap/>
            <w:hideMark/>
          </w:tcPr>
          <w:p w14:paraId="7AC935B3" w14:textId="1E39D199" w:rsidR="000753D0" w:rsidRPr="008D54A5" w:rsidRDefault="000753D0" w:rsidP="00E47419">
            <w:pPr>
              <w:pStyle w:val="TableText-center-12"/>
            </w:pPr>
          </w:p>
        </w:tc>
      </w:tr>
      <w:tr w:rsidR="00E47419" w:rsidRPr="008D54A5" w14:paraId="7B7BDA48" w14:textId="77777777" w:rsidTr="00C90C6E">
        <w:trPr>
          <w:trHeight w:val="20"/>
        </w:trPr>
        <w:tc>
          <w:tcPr>
            <w:tcW w:w="1320" w:type="pct"/>
            <w:noWrap/>
            <w:hideMark/>
          </w:tcPr>
          <w:p w14:paraId="4266D817" w14:textId="77777777" w:rsidR="000753D0" w:rsidRPr="008D54A5" w:rsidRDefault="000753D0" w:rsidP="00E47419">
            <w:pPr>
              <w:pStyle w:val="TableText-12"/>
            </w:pPr>
            <w:r w:rsidRPr="008D54A5">
              <w:t xml:space="preserve">Match-Eligible HC Events </w:t>
            </w:r>
          </w:p>
        </w:tc>
        <w:tc>
          <w:tcPr>
            <w:tcW w:w="779" w:type="pct"/>
            <w:tcBorders>
              <w:top w:val="nil"/>
              <w:left w:val="single" w:sz="4" w:space="0" w:color="auto"/>
              <w:bottom w:val="single" w:sz="4" w:space="0" w:color="auto"/>
              <w:right w:val="single" w:sz="4" w:space="0" w:color="auto"/>
            </w:tcBorders>
            <w:shd w:val="clear" w:color="auto" w:fill="auto"/>
          </w:tcPr>
          <w:p w14:paraId="0044318B" w14:textId="2B2A9E78" w:rsidR="000753D0" w:rsidRPr="008D54A5" w:rsidRDefault="000753D0" w:rsidP="00E47419">
            <w:pPr>
              <w:pStyle w:val="TableText-center-12"/>
            </w:pPr>
            <w:r w:rsidRPr="008D54A5">
              <w:t>58,868</w:t>
            </w:r>
          </w:p>
        </w:tc>
        <w:tc>
          <w:tcPr>
            <w:tcW w:w="448" w:type="pct"/>
            <w:tcBorders>
              <w:top w:val="nil"/>
              <w:left w:val="nil"/>
              <w:bottom w:val="single" w:sz="4" w:space="0" w:color="auto"/>
              <w:right w:val="single" w:sz="4" w:space="0" w:color="auto"/>
            </w:tcBorders>
            <w:shd w:val="clear" w:color="auto" w:fill="auto"/>
          </w:tcPr>
          <w:p w14:paraId="532D4F6D" w14:textId="1D0E2ACD" w:rsidR="000753D0" w:rsidRPr="008D54A5" w:rsidRDefault="000753D0" w:rsidP="00E47419">
            <w:pPr>
              <w:pStyle w:val="TableText-center-12"/>
            </w:pPr>
            <w:r w:rsidRPr="008D54A5">
              <w:t>33.7</w:t>
            </w:r>
          </w:p>
        </w:tc>
        <w:tc>
          <w:tcPr>
            <w:tcW w:w="779" w:type="pct"/>
            <w:tcBorders>
              <w:top w:val="nil"/>
              <w:left w:val="nil"/>
              <w:bottom w:val="single" w:sz="4" w:space="0" w:color="auto"/>
              <w:right w:val="single" w:sz="4" w:space="0" w:color="auto"/>
            </w:tcBorders>
            <w:shd w:val="clear" w:color="auto" w:fill="auto"/>
          </w:tcPr>
          <w:p w14:paraId="10062EBC" w14:textId="438CBFB5" w:rsidR="000753D0" w:rsidRPr="008D54A5" w:rsidRDefault="000753D0" w:rsidP="00E47419">
            <w:pPr>
              <w:pStyle w:val="TableText-center-12"/>
            </w:pPr>
            <w:r w:rsidRPr="008D54A5">
              <w:t>63,302</w:t>
            </w:r>
          </w:p>
        </w:tc>
        <w:tc>
          <w:tcPr>
            <w:tcW w:w="448" w:type="pct"/>
            <w:tcBorders>
              <w:top w:val="nil"/>
              <w:left w:val="nil"/>
              <w:bottom w:val="single" w:sz="4" w:space="0" w:color="auto"/>
              <w:right w:val="single" w:sz="4" w:space="0" w:color="auto"/>
            </w:tcBorders>
            <w:shd w:val="clear" w:color="auto" w:fill="auto"/>
          </w:tcPr>
          <w:p w14:paraId="583BA402" w14:textId="09A3564D" w:rsidR="000753D0" w:rsidRPr="008D54A5" w:rsidRDefault="000753D0" w:rsidP="00E47419">
            <w:pPr>
              <w:pStyle w:val="TableText-center-12"/>
            </w:pPr>
            <w:r w:rsidRPr="008D54A5">
              <w:t>30.4</w:t>
            </w:r>
          </w:p>
        </w:tc>
        <w:tc>
          <w:tcPr>
            <w:tcW w:w="779" w:type="pct"/>
            <w:tcBorders>
              <w:top w:val="nil"/>
              <w:left w:val="nil"/>
              <w:bottom w:val="single" w:sz="4" w:space="0" w:color="auto"/>
              <w:right w:val="single" w:sz="4" w:space="0" w:color="auto"/>
            </w:tcBorders>
            <w:shd w:val="clear" w:color="auto" w:fill="auto"/>
            <w:noWrap/>
            <w:hideMark/>
          </w:tcPr>
          <w:p w14:paraId="7E7CBD39" w14:textId="5A328FC1" w:rsidR="000753D0" w:rsidRPr="008D54A5" w:rsidRDefault="000753D0" w:rsidP="00E47419">
            <w:pPr>
              <w:pStyle w:val="TableText-center-12"/>
            </w:pPr>
            <w:r w:rsidRPr="008D54A5">
              <w:t>57,837</w:t>
            </w:r>
          </w:p>
        </w:tc>
        <w:tc>
          <w:tcPr>
            <w:tcW w:w="448" w:type="pct"/>
            <w:tcBorders>
              <w:top w:val="nil"/>
              <w:left w:val="nil"/>
              <w:bottom w:val="single" w:sz="4" w:space="0" w:color="auto"/>
              <w:right w:val="single" w:sz="4" w:space="0" w:color="auto"/>
            </w:tcBorders>
            <w:shd w:val="clear" w:color="auto" w:fill="auto"/>
            <w:noWrap/>
            <w:hideMark/>
          </w:tcPr>
          <w:p w14:paraId="12742FDE" w14:textId="60C1B966" w:rsidR="000753D0" w:rsidRPr="008D54A5" w:rsidRDefault="000753D0" w:rsidP="00E47419">
            <w:pPr>
              <w:pStyle w:val="TableText-center-12"/>
            </w:pPr>
            <w:r w:rsidRPr="008D54A5">
              <w:t>38.2</w:t>
            </w:r>
          </w:p>
        </w:tc>
      </w:tr>
      <w:tr w:rsidR="00E47419" w:rsidRPr="008D54A5" w14:paraId="5C0C0F34" w14:textId="77777777" w:rsidTr="00C90C6E">
        <w:trPr>
          <w:trHeight w:val="20"/>
        </w:trPr>
        <w:tc>
          <w:tcPr>
            <w:tcW w:w="1320" w:type="pct"/>
            <w:noWrap/>
            <w:hideMark/>
          </w:tcPr>
          <w:p w14:paraId="5971E44E" w14:textId="77777777" w:rsidR="000753D0" w:rsidRPr="008D54A5" w:rsidRDefault="000753D0" w:rsidP="00E47419">
            <w:pPr>
              <w:pStyle w:val="TableText-12"/>
            </w:pPr>
            <w:r w:rsidRPr="008D54A5">
              <w:t xml:space="preserve">Match-Eligible MPC Events </w:t>
            </w:r>
          </w:p>
        </w:tc>
        <w:tc>
          <w:tcPr>
            <w:tcW w:w="779" w:type="pct"/>
            <w:tcBorders>
              <w:top w:val="nil"/>
              <w:left w:val="single" w:sz="4" w:space="0" w:color="auto"/>
              <w:bottom w:val="single" w:sz="4" w:space="0" w:color="auto"/>
              <w:right w:val="single" w:sz="4" w:space="0" w:color="auto"/>
            </w:tcBorders>
            <w:shd w:val="clear" w:color="auto" w:fill="auto"/>
          </w:tcPr>
          <w:p w14:paraId="7E948BDA" w14:textId="02F2798A" w:rsidR="000753D0" w:rsidRPr="008D54A5" w:rsidRDefault="000753D0" w:rsidP="00E47419">
            <w:pPr>
              <w:pStyle w:val="TableText-center-12"/>
            </w:pPr>
            <w:r w:rsidRPr="008D54A5">
              <w:t>70,467</w:t>
            </w:r>
          </w:p>
        </w:tc>
        <w:tc>
          <w:tcPr>
            <w:tcW w:w="448" w:type="pct"/>
            <w:tcBorders>
              <w:top w:val="nil"/>
              <w:left w:val="nil"/>
              <w:bottom w:val="single" w:sz="4" w:space="0" w:color="auto"/>
              <w:right w:val="single" w:sz="4" w:space="0" w:color="auto"/>
            </w:tcBorders>
            <w:shd w:val="clear" w:color="auto" w:fill="auto"/>
          </w:tcPr>
          <w:p w14:paraId="23C624A1" w14:textId="2B2D63CC" w:rsidR="000753D0" w:rsidRPr="008D54A5" w:rsidRDefault="000753D0" w:rsidP="00E47419">
            <w:pPr>
              <w:pStyle w:val="TableText-center-12"/>
            </w:pPr>
            <w:r w:rsidRPr="008D54A5">
              <w:t>80.8</w:t>
            </w:r>
          </w:p>
        </w:tc>
        <w:tc>
          <w:tcPr>
            <w:tcW w:w="779" w:type="pct"/>
            <w:tcBorders>
              <w:top w:val="nil"/>
              <w:left w:val="nil"/>
              <w:bottom w:val="single" w:sz="4" w:space="0" w:color="auto"/>
              <w:right w:val="single" w:sz="4" w:space="0" w:color="auto"/>
            </w:tcBorders>
            <w:shd w:val="clear" w:color="auto" w:fill="auto"/>
          </w:tcPr>
          <w:p w14:paraId="0F2CEA90" w14:textId="075A5997" w:rsidR="000753D0" w:rsidRPr="008D54A5" w:rsidRDefault="000753D0" w:rsidP="00E47419">
            <w:pPr>
              <w:pStyle w:val="TableText-center-12"/>
            </w:pPr>
            <w:r w:rsidRPr="008D54A5">
              <w:t>73,554</w:t>
            </w:r>
          </w:p>
        </w:tc>
        <w:tc>
          <w:tcPr>
            <w:tcW w:w="448" w:type="pct"/>
            <w:tcBorders>
              <w:top w:val="nil"/>
              <w:left w:val="nil"/>
              <w:bottom w:val="single" w:sz="4" w:space="0" w:color="auto"/>
              <w:right w:val="single" w:sz="4" w:space="0" w:color="auto"/>
            </w:tcBorders>
            <w:shd w:val="clear" w:color="auto" w:fill="auto"/>
          </w:tcPr>
          <w:p w14:paraId="492F5EFF" w14:textId="302B9D1F" w:rsidR="000753D0" w:rsidRPr="008D54A5" w:rsidRDefault="000753D0" w:rsidP="00E47419">
            <w:pPr>
              <w:pStyle w:val="TableText-center-12"/>
            </w:pPr>
            <w:r w:rsidRPr="008D54A5">
              <w:t>80.2</w:t>
            </w:r>
          </w:p>
        </w:tc>
        <w:tc>
          <w:tcPr>
            <w:tcW w:w="779" w:type="pct"/>
            <w:tcBorders>
              <w:top w:val="nil"/>
              <w:left w:val="nil"/>
              <w:bottom w:val="single" w:sz="4" w:space="0" w:color="auto"/>
              <w:right w:val="single" w:sz="4" w:space="0" w:color="auto"/>
            </w:tcBorders>
            <w:shd w:val="clear" w:color="auto" w:fill="auto"/>
            <w:noWrap/>
            <w:hideMark/>
          </w:tcPr>
          <w:p w14:paraId="015070C3" w14:textId="143768A2" w:rsidR="000753D0" w:rsidRPr="008D54A5" w:rsidRDefault="000753D0" w:rsidP="00E47419">
            <w:pPr>
              <w:pStyle w:val="TableText-center-12"/>
            </w:pPr>
            <w:r w:rsidRPr="008D54A5">
              <w:t>68,836</w:t>
            </w:r>
          </w:p>
        </w:tc>
        <w:tc>
          <w:tcPr>
            <w:tcW w:w="448" w:type="pct"/>
            <w:tcBorders>
              <w:top w:val="nil"/>
              <w:left w:val="nil"/>
              <w:bottom w:val="single" w:sz="4" w:space="0" w:color="auto"/>
              <w:right w:val="single" w:sz="4" w:space="0" w:color="auto"/>
            </w:tcBorders>
            <w:shd w:val="clear" w:color="auto" w:fill="auto"/>
            <w:noWrap/>
            <w:hideMark/>
          </w:tcPr>
          <w:p w14:paraId="060295F3" w14:textId="2CB5D56F" w:rsidR="000753D0" w:rsidRPr="008D54A5" w:rsidRDefault="000753D0" w:rsidP="00E47419">
            <w:pPr>
              <w:pStyle w:val="TableText-center-12"/>
            </w:pPr>
            <w:r w:rsidRPr="008D54A5">
              <w:t>84.7</w:t>
            </w:r>
          </w:p>
        </w:tc>
      </w:tr>
    </w:tbl>
    <w:p w14:paraId="6D3968C2" w14:textId="6BD99CB7" w:rsidR="002D4D78" w:rsidRPr="008D54A5" w:rsidRDefault="002D4D78" w:rsidP="002D4D78">
      <w:pPr>
        <w:pStyle w:val="Source-9-1"/>
      </w:pPr>
      <w:r w:rsidRPr="008D54A5">
        <w:t xml:space="preserve">HC = Household Component; </w:t>
      </w:r>
      <w:r w:rsidR="005908A5" w:rsidRPr="008D54A5">
        <w:t>MPC = Medical Provider Component</w:t>
      </w:r>
      <w:r w:rsidRPr="008D54A5">
        <w:t>.</w:t>
      </w:r>
    </w:p>
    <w:p w14:paraId="55B015B5" w14:textId="77777777" w:rsidR="00A322E7" w:rsidRPr="008D54A5" w:rsidRDefault="00A322E7" w:rsidP="00950102">
      <w:pPr>
        <w:pStyle w:val="Source10"/>
      </w:pPr>
      <w:r w:rsidRPr="008D54A5">
        <w:t>Note: A “match-eligible” event is an event that is eligible for the matching process. Events may be ineligible for a variety of reasons, such as the provider was in the HC sample but did not respond to the MPC, the event was declared a duplicate of another event in the files, and the date of the event indicated it was out-of-scope for the analysis. The counts are unique (nonreplicated) MPC events.</w:t>
      </w:r>
    </w:p>
    <w:p w14:paraId="55358201" w14:textId="434B31EA" w:rsidR="00944BDD" w:rsidRPr="008D54A5" w:rsidRDefault="00A322E7" w:rsidP="007127B0">
      <w:pPr>
        <w:pStyle w:val="Source-9-2"/>
      </w:pPr>
      <w:r w:rsidRPr="008D54A5">
        <w:t xml:space="preserve">Source: </w:t>
      </w:r>
      <w:r w:rsidR="000753D0" w:rsidRPr="008D54A5">
        <w:t>2020</w:t>
      </w:r>
      <w:r w:rsidR="006A1542" w:rsidRPr="008D54A5">
        <w:t>–</w:t>
      </w:r>
      <w:r w:rsidR="000753D0" w:rsidRPr="008D54A5">
        <w:t xml:space="preserve">2022 </w:t>
      </w:r>
      <w:r w:rsidRPr="008D54A5">
        <w:t>Medical Expenditure Panel Survey</w:t>
      </w:r>
      <w:r w:rsidR="00B13B65" w:rsidRPr="008D54A5">
        <w:t xml:space="preserve"> – </w:t>
      </w:r>
      <w:r w:rsidRPr="008D54A5">
        <w:t>Medical Provider Component.</w:t>
      </w:r>
    </w:p>
    <w:p w14:paraId="6E9784C7" w14:textId="1AF7C0A1" w:rsidR="00A649CD" w:rsidRPr="008D54A5" w:rsidRDefault="00F66AD2" w:rsidP="00E1139A">
      <w:pPr>
        <w:pStyle w:val="BodyText"/>
      </w:pPr>
      <w:r w:rsidRPr="008D54A5">
        <w:t>This is computationally impractical. More importantly, considering all possible matches limit</w:t>
      </w:r>
      <w:r w:rsidR="00F15CA5" w:rsidRPr="008D54A5">
        <w:t>s</w:t>
      </w:r>
      <w:r w:rsidRPr="008D54A5">
        <w:t xml:space="preserve"> the effectiveness of the iterative algorithm used to derive the final match weights. To address both these issues, the MPC matching is done in two passes. The distinguishing feature of the two passes is the </w:t>
      </w:r>
      <w:r w:rsidRPr="008D54A5">
        <w:rPr>
          <w:b/>
        </w:rPr>
        <w:t>blocking variables</w:t>
      </w:r>
      <w:r w:rsidRPr="008D54A5">
        <w:t xml:space="preserve"> used in the matching process.</w:t>
      </w:r>
      <w:r w:rsidR="00E1139A" w:rsidRPr="008D54A5">
        <w:t xml:space="preserve"> </w:t>
      </w:r>
      <w:r w:rsidRPr="008D54A5">
        <w:t xml:space="preserve">Blocking variables in the </w:t>
      </w:r>
      <w:r w:rsidR="00925A9A" w:rsidRPr="008D54A5">
        <w:t>Medical Expenditure Panel Survey (</w:t>
      </w:r>
      <w:r w:rsidRPr="008D54A5">
        <w:t>MEPS</w:t>
      </w:r>
      <w:r w:rsidR="00925A9A" w:rsidRPr="008D54A5">
        <w:t>)</w:t>
      </w:r>
      <w:r w:rsidRPr="008D54A5">
        <w:t xml:space="preserve"> matching algorithm are variables used to partition the sample into non-overlapping groups</w:t>
      </w:r>
      <w:r w:rsidR="006114B1" w:rsidRPr="008D54A5">
        <w:t>,</w:t>
      </w:r>
      <w:r w:rsidR="00443422" w:rsidRPr="008D54A5">
        <w:t xml:space="preserve"> </w:t>
      </w:r>
      <w:r w:rsidRPr="008D54A5">
        <w:t>similar</w:t>
      </w:r>
      <w:r w:rsidR="001D022B" w:rsidRPr="008D54A5">
        <w:t>ly</w:t>
      </w:r>
      <w:r w:rsidRPr="008D54A5">
        <w:t xml:space="preserve"> to the way </w:t>
      </w:r>
      <w:r w:rsidR="006114B1" w:rsidRPr="008D54A5">
        <w:t xml:space="preserve">in which </w:t>
      </w:r>
      <w:r w:rsidRPr="008D54A5">
        <w:t xml:space="preserve">sampling strata are formed when samples are selected. At each iteration of the matching algorithm, the </w:t>
      </w:r>
      <w:r w:rsidR="00356CD1" w:rsidRPr="008D54A5">
        <w:t>“</w:t>
      </w:r>
      <w:r w:rsidRPr="008D54A5">
        <w:t>best</w:t>
      </w:r>
      <w:r w:rsidR="00356CD1" w:rsidRPr="008D54A5">
        <w:t>”</w:t>
      </w:r>
      <w:r w:rsidRPr="008D54A5">
        <w:t xml:space="preserve"> match of </w:t>
      </w:r>
      <w:r w:rsidR="002C39C8" w:rsidRPr="008D54A5">
        <w:t>MPC-HC</w:t>
      </w:r>
      <w:r w:rsidRPr="008D54A5">
        <w:t xml:space="preserve"> records are identified within each block group. Agreement and disagreement </w:t>
      </w:r>
      <w:r w:rsidR="006114B1" w:rsidRPr="008D54A5">
        <w:t>field weights</w:t>
      </w:r>
      <w:r w:rsidRPr="008D54A5">
        <w:t xml:space="preserve"> are computed for each field, and the f</w:t>
      </w:r>
      <w:r w:rsidR="006114B1" w:rsidRPr="008D54A5">
        <w:t>ield weights</w:t>
      </w:r>
      <w:r w:rsidRPr="008D54A5">
        <w:t xml:space="preserve"> are used to compute a </w:t>
      </w:r>
      <w:r w:rsidR="00356CD1" w:rsidRPr="008D54A5">
        <w:t>“</w:t>
      </w:r>
      <w:r w:rsidRPr="008D54A5">
        <w:t>better</w:t>
      </w:r>
      <w:r w:rsidR="00356CD1" w:rsidRPr="008D54A5">
        <w:t>”</w:t>
      </w:r>
      <w:r w:rsidRPr="008D54A5">
        <w:t xml:space="preserve"> match weight at the next iteration of the matching algorithm. The iterative process continues until differences between the agreement and disagreement </w:t>
      </w:r>
      <w:r w:rsidR="006114B1" w:rsidRPr="008D54A5">
        <w:t>field weights</w:t>
      </w:r>
      <w:r w:rsidRPr="008D54A5">
        <w:t xml:space="preserve"> between iterations are less than a set </w:t>
      </w:r>
      <w:r w:rsidRPr="008D54A5">
        <w:lastRenderedPageBreak/>
        <w:t>threshold (0.001</w:t>
      </w:r>
      <w:r w:rsidR="00697F29" w:rsidRPr="008D54A5">
        <w:t xml:space="preserve"> is used for the </w:t>
      </w:r>
      <w:r w:rsidRPr="008D54A5">
        <w:t>MPC-HC matching).</w:t>
      </w:r>
      <w:r w:rsidR="00FE7009" w:rsidRPr="008D54A5">
        <w:t xml:space="preserve"> </w:t>
      </w:r>
      <w:r w:rsidRPr="008D54A5">
        <w:t xml:space="preserve">In the MPC, </w:t>
      </w:r>
      <w:r w:rsidR="007D1850" w:rsidRPr="008D54A5">
        <w:t xml:space="preserve">the following </w:t>
      </w:r>
      <w:r w:rsidRPr="008D54A5">
        <w:t>variables</w:t>
      </w:r>
      <w:r w:rsidR="007D1850" w:rsidRPr="008D54A5">
        <w:t xml:space="preserve"> are</w:t>
      </w:r>
      <w:r w:rsidRPr="008D54A5">
        <w:t xml:space="preserve"> used to define the blocking groups for the two passes.</w:t>
      </w:r>
    </w:p>
    <w:p w14:paraId="7D9BF48E" w14:textId="041E1B31" w:rsidR="007B6638" w:rsidRPr="008D54A5" w:rsidRDefault="00F66AD2" w:rsidP="00C42F08">
      <w:pPr>
        <w:keepNext/>
        <w:tabs>
          <w:tab w:val="left" w:pos="900"/>
        </w:tabs>
        <w:rPr>
          <w:szCs w:val="24"/>
        </w:rPr>
      </w:pPr>
      <w:r w:rsidRPr="008D54A5">
        <w:rPr>
          <w:b/>
          <w:szCs w:val="24"/>
        </w:rPr>
        <w:t>Pass</w:t>
      </w:r>
      <w:r w:rsidR="00964296" w:rsidRPr="008D54A5">
        <w:rPr>
          <w:b/>
          <w:szCs w:val="24"/>
        </w:rPr>
        <w:t xml:space="preserve"> </w:t>
      </w:r>
      <w:r w:rsidRPr="008D54A5">
        <w:rPr>
          <w:b/>
          <w:szCs w:val="24"/>
        </w:rPr>
        <w:t>1</w:t>
      </w:r>
      <w:r w:rsidR="00CE5A0A" w:rsidRPr="008D54A5">
        <w:rPr>
          <w:b/>
          <w:szCs w:val="24"/>
        </w:rPr>
        <w:t xml:space="preserve"> and Pass </w:t>
      </w:r>
      <w:r w:rsidR="00F66E50" w:rsidRPr="008D54A5">
        <w:rPr>
          <w:b/>
          <w:szCs w:val="24"/>
        </w:rPr>
        <w:t>1.5</w:t>
      </w:r>
      <w:r w:rsidRPr="008D54A5">
        <w:rPr>
          <w:b/>
          <w:szCs w:val="24"/>
        </w:rPr>
        <w:t>:</w:t>
      </w:r>
      <w:r w:rsidRPr="008D54A5">
        <w:rPr>
          <w:b/>
          <w:szCs w:val="24"/>
        </w:rPr>
        <w:tab/>
        <w:t>Blocking Factor</w:t>
      </w:r>
      <w:r w:rsidR="00F810B0" w:rsidRPr="008D54A5">
        <w:rPr>
          <w:b/>
          <w:szCs w:val="24"/>
        </w:rPr>
        <w:t>—</w:t>
      </w:r>
      <w:r w:rsidRPr="008D54A5">
        <w:rPr>
          <w:b/>
          <w:szCs w:val="24"/>
        </w:rPr>
        <w:t>Patient and Collapsed Contact Group</w:t>
      </w:r>
    </w:p>
    <w:p w14:paraId="58F3B668" w14:textId="789F9A70" w:rsidR="007F577A" w:rsidRPr="008D54A5" w:rsidRDefault="00F66AD2" w:rsidP="00FE7009">
      <w:pPr>
        <w:pStyle w:val="BodyText"/>
      </w:pPr>
      <w:r w:rsidRPr="008D54A5">
        <w:t xml:space="preserve">In the </w:t>
      </w:r>
      <w:r w:rsidR="00F66E50" w:rsidRPr="008D54A5">
        <w:t xml:space="preserve">two </w:t>
      </w:r>
      <w:r w:rsidRPr="008D54A5">
        <w:t>pass</w:t>
      </w:r>
      <w:r w:rsidR="00F66E50" w:rsidRPr="008D54A5">
        <w:t>es of the matching,</w:t>
      </w:r>
      <w:r w:rsidRPr="008D54A5">
        <w:t xml:space="preserve"> the blocking groups are defined by patient and collapsed contact group.</w:t>
      </w:r>
      <w:r w:rsidR="00FE7009" w:rsidRPr="008D54A5">
        <w:t xml:space="preserve"> </w:t>
      </w:r>
      <w:r w:rsidRPr="008D54A5">
        <w:t xml:space="preserve">In the MPC, a </w:t>
      </w:r>
      <w:r w:rsidRPr="008D54A5">
        <w:rPr>
          <w:b/>
        </w:rPr>
        <w:t>contact group</w:t>
      </w:r>
      <w:r w:rsidRPr="008D54A5">
        <w:t xml:space="preserve"> is a group of providers with the same point of contact (POC). The </w:t>
      </w:r>
      <w:r w:rsidR="00925A9A" w:rsidRPr="008D54A5">
        <w:t xml:space="preserve">data collection staff (DCS) </w:t>
      </w:r>
      <w:r w:rsidRPr="008D54A5">
        <w:t>c</w:t>
      </w:r>
      <w:r w:rsidR="00BB2E99" w:rsidRPr="008D54A5">
        <w:t>ontacts</w:t>
      </w:r>
      <w:r w:rsidRPr="008D54A5">
        <w:t xml:space="preserve"> this POC and asks the </w:t>
      </w:r>
      <w:r w:rsidR="00BB2E99" w:rsidRPr="008D54A5">
        <w:t>POC</w:t>
      </w:r>
      <w:r w:rsidRPr="008D54A5">
        <w:t xml:space="preserve"> to provide data for all medical events for specific patients associated with </w:t>
      </w:r>
      <w:r w:rsidR="00DD1728" w:rsidRPr="008D54A5">
        <w:t>any</w:t>
      </w:r>
      <w:r w:rsidRPr="008D54A5">
        <w:t xml:space="preserve"> providers in the contact group. For the purposes of forming blocking groups, these contacts groups are further combined into </w:t>
      </w:r>
      <w:r w:rsidRPr="008D54A5">
        <w:rPr>
          <w:b/>
        </w:rPr>
        <w:t>collapsed contact groups</w:t>
      </w:r>
      <w:r w:rsidRPr="008D54A5">
        <w:t xml:space="preserve">. Contact groups are pooled together to collapsed contact groups if the provider names or other contact information are similar between any two providers that belong to different contact groups. Contact groups are collapsed in a manner that always preserves the initial contact group assignment; contact groups are not split </w:t>
      </w:r>
      <w:r w:rsidR="005B6B0D" w:rsidRPr="008D54A5">
        <w:t>to</w:t>
      </w:r>
      <w:r w:rsidRPr="008D54A5">
        <w:t xml:space="preserve"> creat</w:t>
      </w:r>
      <w:r w:rsidR="005B6B0D" w:rsidRPr="008D54A5">
        <w:t>e</w:t>
      </w:r>
      <w:r w:rsidRPr="008D54A5">
        <w:t xml:space="preserve"> collapsed contact groups for the blocking. Both HC and MPC provider information are used to create these collapsed contact groups. The goals </w:t>
      </w:r>
      <w:r w:rsidR="005B6B0D" w:rsidRPr="008D54A5">
        <w:t xml:space="preserve">of </w:t>
      </w:r>
      <w:r w:rsidRPr="008D54A5">
        <w:t>creating collapsed contact groups are to</w:t>
      </w:r>
    </w:p>
    <w:p w14:paraId="18A99172" w14:textId="6C3A248D" w:rsidR="00443422" w:rsidRPr="008D54A5" w:rsidRDefault="00F66AD2" w:rsidP="007963FF">
      <w:pPr>
        <w:pStyle w:val="bullets"/>
      </w:pPr>
      <w:r w:rsidRPr="008D54A5">
        <w:t xml:space="preserve">Combine providers with the same MPC POC to address any misclassification errors that occur </w:t>
      </w:r>
      <w:r w:rsidR="005B6B0D" w:rsidRPr="008D54A5">
        <w:t>if</w:t>
      </w:r>
      <w:r w:rsidRPr="008D54A5">
        <w:t xml:space="preserve"> the </w:t>
      </w:r>
      <w:r w:rsidR="00BB2E99" w:rsidRPr="008D54A5">
        <w:t>MPC POC</w:t>
      </w:r>
      <w:r w:rsidRPr="008D54A5">
        <w:t xml:space="preserve"> </w:t>
      </w:r>
      <w:r w:rsidR="005B6B0D" w:rsidRPr="008D54A5">
        <w:t xml:space="preserve">reports </w:t>
      </w:r>
      <w:r w:rsidRPr="008D54A5">
        <w:t>an event for a</w:t>
      </w:r>
      <w:r w:rsidR="00BB2E99" w:rsidRPr="008D54A5">
        <w:t xml:space="preserve"> different</w:t>
      </w:r>
      <w:r w:rsidRPr="008D54A5">
        <w:t xml:space="preserve"> provider in the same contact group.</w:t>
      </w:r>
    </w:p>
    <w:p w14:paraId="1E62320D" w14:textId="719924E2" w:rsidR="00443422" w:rsidRPr="008D54A5" w:rsidRDefault="00F66AD2" w:rsidP="007963FF">
      <w:pPr>
        <w:pStyle w:val="bullets"/>
      </w:pPr>
      <w:r w:rsidRPr="008D54A5">
        <w:t xml:space="preserve">Combine providers with the same or similar name or other identifying information to address any misclassification errors that occur </w:t>
      </w:r>
      <w:r w:rsidR="005B6B0D" w:rsidRPr="008D54A5">
        <w:t>if</w:t>
      </w:r>
      <w:r w:rsidRPr="008D54A5">
        <w:t xml:space="preserve"> the HC respondent </w:t>
      </w:r>
      <w:r w:rsidR="005B6B0D" w:rsidRPr="008D54A5">
        <w:t xml:space="preserve">reports </w:t>
      </w:r>
      <w:r w:rsidRPr="008D54A5">
        <w:t>an event for an incorrect provider.</w:t>
      </w:r>
    </w:p>
    <w:p w14:paraId="3DDD9FB5" w14:textId="36C6A9D6" w:rsidR="007E1403" w:rsidRPr="008D54A5" w:rsidRDefault="00F66AD2" w:rsidP="00DD4425">
      <w:pPr>
        <w:pStyle w:val="Heading2"/>
      </w:pPr>
      <w:bookmarkStart w:id="253" w:name="_Toc508798696"/>
      <w:bookmarkStart w:id="254" w:name="_Toc508804539"/>
      <w:bookmarkStart w:id="255" w:name="_Toc508864468"/>
      <w:bookmarkStart w:id="256" w:name="_Toc508864692"/>
      <w:bookmarkStart w:id="257" w:name="_Toc508864916"/>
      <w:bookmarkStart w:id="258" w:name="_Toc508864995"/>
      <w:bookmarkStart w:id="259" w:name="_Toc508798697"/>
      <w:bookmarkStart w:id="260" w:name="_Toc508804540"/>
      <w:bookmarkStart w:id="261" w:name="_Toc508864469"/>
      <w:bookmarkStart w:id="262" w:name="_Toc508864693"/>
      <w:bookmarkStart w:id="263" w:name="_Toc508864917"/>
      <w:bookmarkStart w:id="264" w:name="_Toc508864996"/>
      <w:bookmarkStart w:id="265" w:name="_Toc508798698"/>
      <w:bookmarkStart w:id="266" w:name="_Toc508804541"/>
      <w:bookmarkStart w:id="267" w:name="_Toc508864470"/>
      <w:bookmarkStart w:id="268" w:name="_Toc508864694"/>
      <w:bookmarkStart w:id="269" w:name="_Toc508864918"/>
      <w:bookmarkStart w:id="270" w:name="_Toc508864997"/>
      <w:bookmarkStart w:id="271" w:name="_Toc508798699"/>
      <w:bookmarkStart w:id="272" w:name="_Toc508804542"/>
      <w:bookmarkStart w:id="273" w:name="_Toc508864471"/>
      <w:bookmarkStart w:id="274" w:name="_Toc508864695"/>
      <w:bookmarkStart w:id="275" w:name="_Toc508864919"/>
      <w:bookmarkStart w:id="276" w:name="_Toc508864998"/>
      <w:bookmarkStart w:id="277" w:name="_Toc160529627"/>
      <w:bookmarkStart w:id="278" w:name="_Toc127287301"/>
      <w:bookmarkStart w:id="279" w:name="_Toc18912811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rsidRPr="008D54A5">
        <w:t xml:space="preserve">Construction of Collapsed Contact Groups for Matching in </w:t>
      </w:r>
      <w:r w:rsidR="002B2330" w:rsidRPr="008D54A5">
        <w:t>202</w:t>
      </w:r>
      <w:r w:rsidR="00537321" w:rsidRPr="008D54A5">
        <w:t>2</w:t>
      </w:r>
      <w:bookmarkEnd w:id="277"/>
      <w:bookmarkEnd w:id="278"/>
      <w:bookmarkEnd w:id="279"/>
    </w:p>
    <w:p w14:paraId="7A44C91A" w14:textId="3FF3C204" w:rsidR="00202EA8" w:rsidRPr="008D54A5" w:rsidRDefault="00A56D08" w:rsidP="00E75D33">
      <w:pPr>
        <w:pStyle w:val="BodyText"/>
      </w:pPr>
      <w:r w:rsidRPr="008D54A5">
        <w:t>C</w:t>
      </w:r>
      <w:r w:rsidR="00A72D19" w:rsidRPr="008D54A5">
        <w:t xml:space="preserve">ollapsed contact groups </w:t>
      </w:r>
      <w:r w:rsidRPr="008D54A5">
        <w:t xml:space="preserve">are </w:t>
      </w:r>
      <w:r w:rsidR="00A72D19" w:rsidRPr="008D54A5">
        <w:t>created to form the provider block groups that are used in matching</w:t>
      </w:r>
      <w:r w:rsidR="00885115" w:rsidRPr="008D54A5">
        <w:t>.</w:t>
      </w:r>
      <w:r w:rsidR="00453769" w:rsidRPr="008D54A5">
        <w:t xml:space="preserve"> </w:t>
      </w:r>
      <w:r w:rsidR="00F66AD2" w:rsidRPr="008D54A5">
        <w:t xml:space="preserve">Specifically, provider name and address information from both the MPC and HC </w:t>
      </w:r>
      <w:r w:rsidR="00453769" w:rsidRPr="008D54A5">
        <w:t xml:space="preserve">are </w:t>
      </w:r>
      <w:r w:rsidR="00F66AD2" w:rsidRPr="008D54A5">
        <w:t>used to create consistent, collapsed contact groups between the MPC and HC samples. The collapsed contact group used for blocking in the matching</w:t>
      </w:r>
      <w:r w:rsidR="00761E0E" w:rsidRPr="008D54A5">
        <w:t xml:space="preserve"> at Pass 1</w:t>
      </w:r>
      <w:r w:rsidR="00453769" w:rsidRPr="008D54A5">
        <w:t xml:space="preserve"> and Pass 1.5</w:t>
      </w:r>
      <w:r w:rsidR="00443422" w:rsidRPr="008D54A5">
        <w:t xml:space="preserve"> </w:t>
      </w:r>
      <w:r w:rsidR="00F66AD2" w:rsidRPr="008D54A5">
        <w:t xml:space="preserve">is the variable </w:t>
      </w:r>
      <w:r w:rsidR="00F66AD2" w:rsidRPr="008D54A5">
        <w:rPr>
          <w:b/>
        </w:rPr>
        <w:t>GID2</w:t>
      </w:r>
      <w:r w:rsidR="00F15CA5" w:rsidRPr="008D54A5">
        <w:t xml:space="preserve"> and is formed using </w:t>
      </w:r>
      <w:r w:rsidR="000C2CD8" w:rsidRPr="008D54A5">
        <w:rPr>
          <w:b/>
        </w:rPr>
        <w:t>GID</w:t>
      </w:r>
      <w:r w:rsidR="00F15CA5" w:rsidRPr="008D54A5">
        <w:t xml:space="preserve">, the </w:t>
      </w:r>
      <w:r w:rsidR="008A19B6" w:rsidRPr="008D54A5">
        <w:t xml:space="preserve">ID </w:t>
      </w:r>
      <w:r w:rsidR="00F15CA5" w:rsidRPr="008D54A5">
        <w:t>of the data collection contact group, as the starting point</w:t>
      </w:r>
      <w:r w:rsidR="00F66AD2" w:rsidRPr="008D54A5">
        <w:t>.</w:t>
      </w:r>
    </w:p>
    <w:p w14:paraId="3BE3EF4B" w14:textId="4637EB55" w:rsidR="00443422" w:rsidRPr="008D54A5" w:rsidRDefault="00A56D08" w:rsidP="00A3784D">
      <w:pPr>
        <w:pStyle w:val="BodyText"/>
      </w:pPr>
      <w:r w:rsidRPr="008D54A5">
        <w:t xml:space="preserve">The </w:t>
      </w:r>
      <w:r w:rsidR="00F66AD2" w:rsidRPr="008D54A5">
        <w:t xml:space="preserve">HC events included in matching </w:t>
      </w:r>
      <w:r w:rsidR="00AF3FE3" w:rsidRPr="008D54A5">
        <w:t>are</w:t>
      </w:r>
      <w:r w:rsidR="00F66AD2" w:rsidRPr="008D54A5">
        <w:t xml:space="preserve"> those </w:t>
      </w:r>
      <w:r w:rsidR="00AF3FE3" w:rsidRPr="008D54A5">
        <w:t>in</w:t>
      </w:r>
      <w:r w:rsidR="00F66AD2" w:rsidRPr="008D54A5">
        <w:t xml:space="preserve"> collapsed contact groups that have one or more responding MPC providers in the group. This allows us to address differences in the assignment of provider ID from the HC survey. For example, if HC provider ID #1 and #2 </w:t>
      </w:r>
      <w:r w:rsidR="005541AB" w:rsidRPr="008D54A5">
        <w:t>refer</w:t>
      </w:r>
      <w:r w:rsidR="00F66AD2" w:rsidRPr="008D54A5">
        <w:t xml:space="preserve"> to the same provider (</w:t>
      </w:r>
      <w:r w:rsidR="005A72BA" w:rsidRPr="008D54A5">
        <w:t xml:space="preserve">i.e., </w:t>
      </w:r>
      <w:r w:rsidR="00F66AD2" w:rsidRPr="008D54A5">
        <w:t>they are in the same collapsed contact group), provider ID #1 has responding MPC records and provider #2 contains the HC provider events, then HC events associated with provider #2 were included in the matching process (</w:t>
      </w:r>
      <w:r w:rsidR="005A72BA" w:rsidRPr="008D54A5">
        <w:t xml:space="preserve">assuming </w:t>
      </w:r>
      <w:r w:rsidR="00F66AD2" w:rsidRPr="008D54A5">
        <w:t>that provider #1 and provider #2</w:t>
      </w:r>
      <w:r w:rsidR="00E06907" w:rsidRPr="008D54A5">
        <w:t xml:space="preserve"> could be determined</w:t>
      </w:r>
      <w:r w:rsidR="00F66AD2" w:rsidRPr="008D54A5">
        <w:t xml:space="preserve"> </w:t>
      </w:r>
      <w:proofErr w:type="gramStart"/>
      <w:r w:rsidR="00E06907" w:rsidRPr="008D54A5">
        <w:t>to</w:t>
      </w:r>
      <w:proofErr w:type="gramEnd"/>
      <w:r w:rsidR="00E06907" w:rsidRPr="008D54A5">
        <w:t xml:space="preserve"> </w:t>
      </w:r>
      <w:r w:rsidR="00F66AD2" w:rsidRPr="008D54A5">
        <w:t>actually</w:t>
      </w:r>
      <w:r w:rsidR="00E06907" w:rsidRPr="008D54A5">
        <w:t xml:space="preserve"> be</w:t>
      </w:r>
      <w:r w:rsidR="00F66AD2" w:rsidRPr="008D54A5">
        <w:t xml:space="preserve"> the same).</w:t>
      </w:r>
    </w:p>
    <w:p w14:paraId="325FEC09" w14:textId="252924D5" w:rsidR="007F577A" w:rsidRPr="008D54A5" w:rsidRDefault="00AD7ED2" w:rsidP="00E75D33">
      <w:pPr>
        <w:pStyle w:val="BodyText"/>
      </w:pPr>
      <w:r w:rsidRPr="008D54A5">
        <w:t>The MPC consists of a subsample of HC patient</w:t>
      </w:r>
      <w:r w:rsidR="00183429" w:rsidRPr="008D54A5">
        <w:t>–</w:t>
      </w:r>
      <w:r w:rsidRPr="008D54A5">
        <w:t xml:space="preserve">provider pairs, and not </w:t>
      </w:r>
      <w:r w:rsidR="005541AB" w:rsidRPr="008D54A5">
        <w:t>all</w:t>
      </w:r>
      <w:r w:rsidRPr="008D54A5">
        <w:t xml:space="preserve"> the providers identified in the HC are in the MPC sample. </w:t>
      </w:r>
      <w:r w:rsidR="00F66AD2" w:rsidRPr="008D54A5">
        <w:t xml:space="preserve">HC providers that were also in the MPC sample could be merged into the </w:t>
      </w:r>
      <w:r w:rsidRPr="008D54A5">
        <w:t>MP</w:t>
      </w:r>
      <w:r w:rsidR="00F66AD2" w:rsidRPr="008D54A5">
        <w:t>C sample directly</w:t>
      </w:r>
      <w:r w:rsidR="00F15CA5" w:rsidRPr="008D54A5">
        <w:t xml:space="preserve"> (using the HC provider </w:t>
      </w:r>
      <w:r w:rsidR="008A19B6" w:rsidRPr="008D54A5">
        <w:t>ID</w:t>
      </w:r>
      <w:r w:rsidR="00F15CA5" w:rsidRPr="008D54A5">
        <w:t>)</w:t>
      </w:r>
      <w:r w:rsidR="00F66AD2" w:rsidRPr="008D54A5">
        <w:t xml:space="preserve">, and the GID could be assigned to place them into a contact group with MPC providers. </w:t>
      </w:r>
      <w:r w:rsidR="00B842F3" w:rsidRPr="008D54A5">
        <w:t>The same HC provider can have different HC provider IDs, and HC events that match to collected MPC events sometimes exist under different HC provider IDs and with different spellings of the provider</w:t>
      </w:r>
      <w:r w:rsidR="00D60534" w:rsidRPr="008D54A5">
        <w:t>’s</w:t>
      </w:r>
      <w:r w:rsidR="00B842F3" w:rsidRPr="008D54A5">
        <w:t xml:space="preserve"> name or </w:t>
      </w:r>
      <w:r w:rsidRPr="008D54A5">
        <w:t>different telep</w:t>
      </w:r>
      <w:r w:rsidR="00B842F3" w:rsidRPr="008D54A5">
        <w:t xml:space="preserve">hone numbers. </w:t>
      </w:r>
      <w:r w:rsidRPr="008D54A5">
        <w:t xml:space="preserve">The HC providers whose provider IDs are not in the MPC sample </w:t>
      </w:r>
      <w:r w:rsidRPr="008D54A5">
        <w:lastRenderedPageBreak/>
        <w:t>are grouped</w:t>
      </w:r>
      <w:r w:rsidR="008A19B6" w:rsidRPr="008D54A5">
        <w:t>,</w:t>
      </w:r>
      <w:r w:rsidRPr="008D54A5">
        <w:t xml:space="preserve"> when possible</w:t>
      </w:r>
      <w:r w:rsidR="008A19B6" w:rsidRPr="008D54A5">
        <w:t>,</w:t>
      </w:r>
      <w:r w:rsidRPr="008D54A5">
        <w:t xml:space="preserve"> with the MPC sample providers using name, address, and telephone numbers. </w:t>
      </w:r>
    </w:p>
    <w:p w14:paraId="24EEDC4E" w14:textId="3C23E2F1" w:rsidR="00A6377B" w:rsidRPr="008D54A5" w:rsidRDefault="00A56D08" w:rsidP="00B624EA">
      <w:pPr>
        <w:pStyle w:val="BodyText"/>
      </w:pPr>
      <w:r w:rsidRPr="008D54A5">
        <w:t>P</w:t>
      </w:r>
      <w:r w:rsidR="007B0D9C" w:rsidRPr="008D54A5">
        <w:t>rior to t</w:t>
      </w:r>
      <w:r w:rsidR="003A50AF" w:rsidRPr="008D54A5">
        <w:t xml:space="preserve">he collapsing of contact groups, </w:t>
      </w:r>
      <w:r w:rsidR="007B0D9C" w:rsidRPr="008D54A5">
        <w:t xml:space="preserve">the </w:t>
      </w:r>
      <w:proofErr w:type="gramStart"/>
      <w:r w:rsidR="00A6377B" w:rsidRPr="008D54A5">
        <w:t>provider</w:t>
      </w:r>
      <w:proofErr w:type="gramEnd"/>
      <w:r w:rsidR="00A6377B" w:rsidRPr="008D54A5">
        <w:t xml:space="preserve"> name and street fields </w:t>
      </w:r>
      <w:r w:rsidR="00306032" w:rsidRPr="008D54A5">
        <w:t>are</w:t>
      </w:r>
      <w:r w:rsidR="00A6377B" w:rsidRPr="008D54A5">
        <w:t xml:space="preserve"> standardized to </w:t>
      </w:r>
      <w:r w:rsidR="00306032" w:rsidRPr="008D54A5">
        <w:t xml:space="preserve">account for variations in the use </w:t>
      </w:r>
      <w:r w:rsidR="007B0D9C" w:rsidRPr="008D54A5">
        <w:t>or format of abbreviation</w:t>
      </w:r>
      <w:r w:rsidR="003A50AF" w:rsidRPr="008D54A5">
        <w:t>s</w:t>
      </w:r>
      <w:r w:rsidR="00306032" w:rsidRPr="008D54A5">
        <w:t>.</w:t>
      </w:r>
      <w:r w:rsidR="007B0D9C" w:rsidRPr="008D54A5">
        <w:t xml:space="preserve"> For example, all occurrences of STREET </w:t>
      </w:r>
      <w:r w:rsidR="003A50AF" w:rsidRPr="008D54A5">
        <w:t>are</w:t>
      </w:r>
      <w:r w:rsidR="007B0D9C" w:rsidRPr="008D54A5">
        <w:t xml:space="preserve"> change to ST</w:t>
      </w:r>
      <w:r w:rsidR="00443422" w:rsidRPr="008D54A5">
        <w:t>,</w:t>
      </w:r>
      <w:r w:rsidR="007B0D9C" w:rsidRPr="008D54A5">
        <w:t xml:space="preserve"> and </w:t>
      </w:r>
      <w:r w:rsidR="003A50AF" w:rsidRPr="008D54A5">
        <w:t>all occur</w:t>
      </w:r>
      <w:r w:rsidR="0057512A" w:rsidRPr="008D54A5">
        <w:t>re</w:t>
      </w:r>
      <w:r w:rsidR="003A50AF" w:rsidRPr="008D54A5">
        <w:t>nces of CENTER are changed to CTR</w:t>
      </w:r>
      <w:r w:rsidR="00443422" w:rsidRPr="008D54A5">
        <w:t>.</w:t>
      </w:r>
    </w:p>
    <w:p w14:paraId="7A86574D" w14:textId="680DC1B2" w:rsidR="007F577A" w:rsidRPr="00404E1F" w:rsidRDefault="006824BF" w:rsidP="00D861C3">
      <w:pPr>
        <w:pStyle w:val="BodyText"/>
        <w:spacing w:after="120"/>
      </w:pPr>
      <w:r w:rsidRPr="008D54A5">
        <w:t>C</w:t>
      </w:r>
      <w:r w:rsidR="00F66AD2" w:rsidRPr="008D54A5">
        <w:t>ollapsed contact groups for blocking the combined file of HC and MPC providers</w:t>
      </w:r>
      <w:r w:rsidR="000558FE" w:rsidRPr="008D54A5">
        <w:t xml:space="preserve"> for the</w:t>
      </w:r>
      <w:r w:rsidR="00B45790" w:rsidRPr="008D54A5">
        <w:t xml:space="preserve"> </w:t>
      </w:r>
      <w:r w:rsidR="00537321" w:rsidRPr="008D54A5">
        <w:t xml:space="preserve">2022 </w:t>
      </w:r>
      <w:r w:rsidR="000558FE" w:rsidRPr="008D54A5">
        <w:t>matching</w:t>
      </w:r>
      <w:r w:rsidR="00F66AD2" w:rsidRPr="008D54A5">
        <w:t xml:space="preserve"> </w:t>
      </w:r>
      <w:r w:rsidR="000558FE" w:rsidRPr="008D54A5">
        <w:t xml:space="preserve">were </w:t>
      </w:r>
      <w:r w:rsidR="00F66AD2" w:rsidRPr="008D54A5">
        <w:t>formed using the following sequence of steps for automatically grouping providers:</w:t>
      </w:r>
    </w:p>
    <w:p w14:paraId="390D74CE" w14:textId="34B12399" w:rsidR="000558FE" w:rsidRPr="008D54A5" w:rsidRDefault="000558FE" w:rsidP="00245172">
      <w:pPr>
        <w:pStyle w:val="bullets"/>
      </w:pPr>
      <w:r w:rsidRPr="008D54A5">
        <w:t xml:space="preserve">The contact group (GID) from data collection </w:t>
      </w:r>
      <w:r w:rsidR="0059492E" w:rsidRPr="008D54A5">
        <w:t>was</w:t>
      </w:r>
      <w:r w:rsidRPr="008D54A5">
        <w:t xml:space="preserve"> the starting point for forming the blocking variable.</w:t>
      </w:r>
      <w:r w:rsidR="0098641F" w:rsidRPr="008D54A5">
        <w:t xml:space="preserve"> In the 2022 cycle, the GIDs for pairs that were disavowals w</w:t>
      </w:r>
      <w:r w:rsidR="006A2FD1">
        <w:t>ere</w:t>
      </w:r>
      <w:r w:rsidR="0098641F" w:rsidRPr="008D54A5">
        <w:t xml:space="preserve"> ignored and instead the provider was combined into GID2 using </w:t>
      </w:r>
      <w:r w:rsidR="006A2FD1">
        <w:t xml:space="preserve">the </w:t>
      </w:r>
      <w:r w:rsidR="0098641F" w:rsidRPr="008D54A5">
        <w:t>grouping algorithm described later in this section.</w:t>
      </w:r>
      <w:r w:rsidRPr="008D54A5">
        <w:rPr>
          <w:rStyle w:val="FootnoteReference"/>
        </w:rPr>
        <w:footnoteReference w:id="3"/>
      </w:r>
    </w:p>
    <w:p w14:paraId="3B1523B4" w14:textId="59F3F10C" w:rsidR="000558FE" w:rsidRPr="008D54A5" w:rsidRDefault="000558FE" w:rsidP="00245172">
      <w:pPr>
        <w:pStyle w:val="bullets"/>
      </w:pPr>
      <w:r w:rsidRPr="008D54A5">
        <w:t xml:space="preserve">Providers for events </w:t>
      </w:r>
      <w:r w:rsidR="00B152D1" w:rsidRPr="008D54A5">
        <w:t xml:space="preserve">that were </w:t>
      </w:r>
      <w:r w:rsidRPr="008D54A5">
        <w:t>programmatically resolved as duplicate events were placed in the same collapsed contact group.</w:t>
      </w:r>
    </w:p>
    <w:p w14:paraId="350793E5" w14:textId="584AE7DA" w:rsidR="000558FE" w:rsidRPr="008D54A5" w:rsidRDefault="000558FE" w:rsidP="00245172">
      <w:pPr>
        <w:pStyle w:val="bullets"/>
      </w:pPr>
      <w:r w:rsidRPr="008D54A5">
        <w:t xml:space="preserve">Providers were combined so that those with the same PROVID, PDDIRID, </w:t>
      </w:r>
      <w:r w:rsidR="00492AD3" w:rsidRPr="008D54A5">
        <w:t xml:space="preserve">or </w:t>
      </w:r>
      <w:r w:rsidRPr="008D54A5">
        <w:t>GID have the same GID2.</w:t>
      </w:r>
    </w:p>
    <w:p w14:paraId="7EC19A6B" w14:textId="4E479F55" w:rsidR="000558FE" w:rsidRPr="008D54A5" w:rsidRDefault="000558FE" w:rsidP="00245172">
      <w:pPr>
        <w:pStyle w:val="bullets"/>
      </w:pPr>
      <w:r w:rsidRPr="008D54A5">
        <w:t xml:space="preserve">Patient–provider pairs are sometimes merged during data </w:t>
      </w:r>
      <w:r w:rsidR="00B152D1" w:rsidRPr="008D54A5">
        <w:t>collection,</w:t>
      </w:r>
      <w:r w:rsidRPr="008D54A5">
        <w:t xml:space="preserve"> but the contact groups are not merged (e.g., during reviews of duplicate events). For use in matching, RTI collapsed the contact groups associated with the merged pairs.</w:t>
      </w:r>
    </w:p>
    <w:p w14:paraId="644E0017" w14:textId="77777777" w:rsidR="000558FE" w:rsidRPr="008D54A5" w:rsidRDefault="000558FE" w:rsidP="00245172">
      <w:pPr>
        <w:pStyle w:val="bullets"/>
      </w:pPr>
      <w:r w:rsidRPr="008D54A5">
        <w:t xml:space="preserve">The HC providers (PROVID) were combined with the MPC providers. </w:t>
      </w:r>
    </w:p>
    <w:p w14:paraId="5C9A22EE" w14:textId="7E7330F2" w:rsidR="00BF0F86" w:rsidRPr="008D54A5" w:rsidRDefault="000558FE" w:rsidP="00245172">
      <w:pPr>
        <w:pStyle w:val="bullets"/>
      </w:pPr>
      <w:r w:rsidRPr="008D54A5">
        <w:t>HC providers that were identified as duplicates during the sample processing and prior to sample fielding were grouped into the same collapsed contact group.</w:t>
      </w:r>
      <w:r w:rsidR="00A5619D" w:rsidRPr="008D54A5">
        <w:t xml:space="preserve"> </w:t>
      </w:r>
      <w:r w:rsidR="00BF0F86" w:rsidRPr="008D54A5">
        <w:t>These were reviewed in the 2022 cycle and any that appeared to be different providers were not immediately combined into the same GID2.</w:t>
      </w:r>
      <w:r w:rsidR="003543ED" w:rsidRPr="008D54A5">
        <w:t xml:space="preserve"> </w:t>
      </w:r>
      <w:r w:rsidR="00BF0F86" w:rsidRPr="008D54A5">
        <w:t>This should assist in preventing distinct providers with similar names (such as where the provider names contain the same geographic area) from being incorrectly placed into the same block group.</w:t>
      </w:r>
    </w:p>
    <w:p w14:paraId="380C2C35" w14:textId="70E0FE32" w:rsidR="000558FE" w:rsidRPr="008D54A5" w:rsidRDefault="00A16749" w:rsidP="00245172">
      <w:pPr>
        <w:pStyle w:val="bullets"/>
      </w:pPr>
      <w:r>
        <w:t>L</w:t>
      </w:r>
      <w:r w:rsidR="000558FE" w:rsidRPr="008D54A5">
        <w:t>arge providers were placed into their own GID2, using the data collection Band</w:t>
      </w:r>
      <w:r>
        <w:t xml:space="preserve"> </w:t>
      </w:r>
      <w:r w:rsidR="000558FE" w:rsidRPr="008D54A5">
        <w:t xml:space="preserve">ID and text searches of the </w:t>
      </w:r>
      <w:proofErr w:type="gramStart"/>
      <w:r w:rsidR="000558FE" w:rsidRPr="008D54A5">
        <w:t>provider</w:t>
      </w:r>
      <w:proofErr w:type="gramEnd"/>
      <w:r w:rsidR="000558FE" w:rsidRPr="008D54A5">
        <w:t xml:space="preserve"> name</w:t>
      </w:r>
      <w:r w:rsidR="00396E2D" w:rsidRPr="008D54A5">
        <w:t xml:space="preserve"> and state</w:t>
      </w:r>
      <w:r w:rsidR="000558FE" w:rsidRPr="008D54A5">
        <w:t xml:space="preserve"> to identify the providers.</w:t>
      </w:r>
    </w:p>
    <w:p w14:paraId="3FEB8525" w14:textId="40E9895A" w:rsidR="00507FD9" w:rsidRPr="008D54A5" w:rsidRDefault="00507FD9" w:rsidP="00245172">
      <w:pPr>
        <w:pStyle w:val="bullets"/>
      </w:pPr>
      <w:r w:rsidRPr="008D54A5">
        <w:t xml:space="preserve">All MPC and HC providers were examined for persons </w:t>
      </w:r>
      <w:r w:rsidR="005F023D" w:rsidRPr="008D54A5">
        <w:t xml:space="preserve">with </w:t>
      </w:r>
      <w:r w:rsidRPr="008D54A5">
        <w:t>VA data to see if any additional HC providers should be placed in the VA GID2.</w:t>
      </w:r>
    </w:p>
    <w:p w14:paraId="28DFF8D0" w14:textId="3CBD8B7B" w:rsidR="006314EA" w:rsidRPr="006E4110" w:rsidRDefault="0059492E" w:rsidP="00B4238F">
      <w:pPr>
        <w:pStyle w:val="bullets"/>
        <w:rPr>
          <w:szCs w:val="24"/>
        </w:rPr>
      </w:pPr>
      <w:r w:rsidRPr="008D54A5">
        <w:t xml:space="preserve">Further collapsing of contact groups (GID2s) was accomplished using fuzzy matching. </w:t>
      </w:r>
      <w:r w:rsidR="000558FE" w:rsidRPr="008D54A5">
        <w:t xml:space="preserve">The GID2s were further combined into collapsed contact groups based on similar names, addresses, and telephone numbers. This collapsing helps allow the data from HC events whose pair was not in the MPC sample (and would therefore not have a GID) to be used in the matching. </w:t>
      </w:r>
      <w:r w:rsidR="00FD7358" w:rsidRPr="008D54A5">
        <w:t>Starting in 2019, t</w:t>
      </w:r>
      <w:r w:rsidRPr="008D54A5">
        <w:t>he steps used</w:t>
      </w:r>
      <w:r w:rsidR="00FD7358" w:rsidRPr="008D54A5">
        <w:t xml:space="preserve"> for</w:t>
      </w:r>
      <w:r w:rsidRPr="008D54A5">
        <w:t xml:space="preserve"> matchings were reordered compared to prior year</w:t>
      </w:r>
      <w:r w:rsidR="00B152D1" w:rsidRPr="008D54A5">
        <w:t>s</w:t>
      </w:r>
      <w:r w:rsidRPr="008D54A5">
        <w:t xml:space="preserve"> to improve the efficiency and to eliminate redundancies. For example, analyses from the 2016 – 2018 matching indicated that combining GID2s by telephone number accounts for most GID2s that are collapsed. </w:t>
      </w:r>
    </w:p>
    <w:p w14:paraId="190A34C9" w14:textId="4BD72D47" w:rsidR="00C63102" w:rsidRPr="008D54A5" w:rsidRDefault="002B61B5" w:rsidP="00245172">
      <w:pPr>
        <w:pStyle w:val="Heading5"/>
        <w:rPr>
          <w:bCs/>
        </w:rPr>
      </w:pPr>
      <w:r w:rsidRPr="008D54A5">
        <w:rPr>
          <w:bCs/>
        </w:rPr>
        <w:lastRenderedPageBreak/>
        <w:t>Review of Matching:</w:t>
      </w:r>
    </w:p>
    <w:p w14:paraId="0C1A8377" w14:textId="7ECDF571" w:rsidR="001108E9" w:rsidRPr="008D54A5" w:rsidRDefault="001C5BB2" w:rsidP="00C90C6E">
      <w:pPr>
        <w:pStyle w:val="BodyText"/>
      </w:pPr>
      <w:r>
        <w:t>RTI conducted t</w:t>
      </w:r>
      <w:r w:rsidR="001108E9" w:rsidRPr="008D54A5">
        <w:t>hree types of manual review to look for additional match</w:t>
      </w:r>
      <w:r>
        <w:t>es</w:t>
      </w:r>
      <w:r w:rsidR="001108E9" w:rsidRPr="008D54A5">
        <w:t xml:space="preserve"> and for over</w:t>
      </w:r>
      <w:r w:rsidR="000600B1" w:rsidRPr="008D54A5">
        <w:t>-</w:t>
      </w:r>
      <w:r w:rsidR="001108E9" w:rsidRPr="008D54A5">
        <w:t>grouping that may have resulted in erroneous matches</w:t>
      </w:r>
      <w:r>
        <w:t>. Those three types of manual review were:</w:t>
      </w:r>
    </w:p>
    <w:p w14:paraId="32755980" w14:textId="2BE5B057" w:rsidR="0004205D" w:rsidRPr="008D54A5" w:rsidRDefault="00BC69D7" w:rsidP="00F430AA">
      <w:pPr>
        <w:pStyle w:val="bullets-2ndlevel"/>
        <w:numPr>
          <w:ilvl w:val="0"/>
          <w:numId w:val="0"/>
        </w:numPr>
        <w:spacing w:after="120"/>
        <w:ind w:left="720"/>
      </w:pPr>
      <w:r w:rsidRPr="008D54A5">
        <w:t>(1)</w:t>
      </w:r>
      <w:r w:rsidR="00245172" w:rsidRPr="008D54A5">
        <w:t xml:space="preserve"> </w:t>
      </w:r>
      <w:r w:rsidR="006314EA" w:rsidRPr="008D54A5">
        <w:t>I</w:t>
      </w:r>
      <w:r w:rsidR="006874B0" w:rsidRPr="008D54A5">
        <w:t xml:space="preserve">npatient, outpatient, </w:t>
      </w:r>
      <w:r w:rsidR="00957F5E" w:rsidRPr="008D54A5">
        <w:t xml:space="preserve">OBD, </w:t>
      </w:r>
      <w:r w:rsidR="006874B0" w:rsidRPr="008D54A5">
        <w:t xml:space="preserve">and ER </w:t>
      </w:r>
      <w:r w:rsidR="0004205D" w:rsidRPr="008D54A5">
        <w:t xml:space="preserve">events for persons with unmatched MPC or HC hospital inpatient events </w:t>
      </w:r>
      <w:r w:rsidR="006314EA" w:rsidRPr="008D54A5">
        <w:t xml:space="preserve">after the first pass </w:t>
      </w:r>
      <w:r w:rsidR="0004205D" w:rsidRPr="008D54A5">
        <w:t>were examined to see if the unmatched events might have a matching event in a different GID2.</w:t>
      </w:r>
      <w:r w:rsidR="003543ED" w:rsidRPr="008D54A5">
        <w:t xml:space="preserve"> </w:t>
      </w:r>
    </w:p>
    <w:p w14:paraId="5BB3E795" w14:textId="05894092" w:rsidR="0004205D" w:rsidRPr="008D54A5" w:rsidRDefault="00BC69D7" w:rsidP="00245172">
      <w:pPr>
        <w:pStyle w:val="ListParagraph"/>
        <w:autoSpaceDE w:val="0"/>
        <w:autoSpaceDN w:val="0"/>
        <w:adjustRightInd w:val="0"/>
        <w:ind w:left="720" w:firstLine="0"/>
      </w:pPr>
      <w:r w:rsidRPr="008D54A5">
        <w:t>(2)</w:t>
      </w:r>
      <w:r w:rsidR="00245172" w:rsidRPr="008D54A5">
        <w:t xml:space="preserve"> </w:t>
      </w:r>
      <w:r w:rsidR="0004205D" w:rsidRPr="00A30B6B">
        <w:t xml:space="preserve">Events for persons with unmatched MPC or HC events on the same day were also examined. </w:t>
      </w:r>
    </w:p>
    <w:p w14:paraId="70BD479A" w14:textId="77777777" w:rsidR="00245172" w:rsidRPr="008D54A5" w:rsidRDefault="00245172" w:rsidP="007B19FD">
      <w:pPr>
        <w:pStyle w:val="bullets-2ndlevel"/>
        <w:numPr>
          <w:ilvl w:val="0"/>
          <w:numId w:val="0"/>
        </w:numPr>
        <w:spacing w:after="120"/>
        <w:ind w:left="720"/>
      </w:pPr>
    </w:p>
    <w:p w14:paraId="7EBC751A" w14:textId="60320DA8" w:rsidR="001748B5" w:rsidRPr="006E4110" w:rsidRDefault="00BC69D7" w:rsidP="007B19FD">
      <w:pPr>
        <w:pStyle w:val="bullets-2ndlevel"/>
        <w:numPr>
          <w:ilvl w:val="0"/>
          <w:numId w:val="0"/>
        </w:numPr>
        <w:spacing w:after="120"/>
        <w:ind w:left="720"/>
        <w:rPr>
          <w:rFonts w:cs="Arial"/>
          <w:bCs/>
        </w:rPr>
      </w:pPr>
      <w:r w:rsidRPr="008D54A5">
        <w:t>(3)</w:t>
      </w:r>
      <w:r w:rsidR="00245172" w:rsidRPr="008D54A5">
        <w:t xml:space="preserve"> </w:t>
      </w:r>
      <w:r w:rsidR="003115FA" w:rsidRPr="008D54A5">
        <w:t xml:space="preserve">Events for </w:t>
      </w:r>
      <w:r w:rsidR="0004205D" w:rsidRPr="008D54A5">
        <w:t>PERSID by GID2 sets that contain</w:t>
      </w:r>
      <w:r w:rsidR="00AE354A">
        <w:t>ed</w:t>
      </w:r>
      <w:r w:rsidR="0004205D" w:rsidRPr="008D54A5">
        <w:t xml:space="preserve"> more than one GID w</w:t>
      </w:r>
      <w:r w:rsidR="00404E57" w:rsidRPr="008D54A5">
        <w:t xml:space="preserve">ere </w:t>
      </w:r>
      <w:r w:rsidR="001108E9" w:rsidRPr="008D54A5">
        <w:t>reviewed</w:t>
      </w:r>
      <w:r w:rsidR="00404E57" w:rsidRPr="008D54A5">
        <w:t xml:space="preserve"> to identify </w:t>
      </w:r>
      <w:r w:rsidR="001108E9" w:rsidRPr="008D54A5">
        <w:t>sets</w:t>
      </w:r>
      <w:r w:rsidR="00404E57" w:rsidRPr="008D54A5">
        <w:t xml:space="preserve"> where the providers were not in the same health care system </w:t>
      </w:r>
      <w:r w:rsidR="001108E9" w:rsidRPr="008D54A5">
        <w:t>as well as</w:t>
      </w:r>
      <w:r w:rsidR="003115FA" w:rsidRPr="008D54A5">
        <w:t xml:space="preserve"> sets with </w:t>
      </w:r>
      <w:r w:rsidR="0004205D" w:rsidRPr="008D54A5">
        <w:t>relatively large number</w:t>
      </w:r>
      <w:r w:rsidR="003115FA" w:rsidRPr="008D54A5">
        <w:t>s</w:t>
      </w:r>
      <w:r w:rsidR="0004205D" w:rsidRPr="008D54A5">
        <w:t xml:space="preserve"> of HC events with</w:t>
      </w:r>
      <w:r w:rsidR="003115FA" w:rsidRPr="008D54A5">
        <w:t xml:space="preserve"> no</w:t>
      </w:r>
      <w:r w:rsidR="0004205D" w:rsidRPr="008D54A5">
        <w:t xml:space="preserve"> MPC event</w:t>
      </w:r>
      <w:r w:rsidR="003115FA" w:rsidRPr="008D54A5">
        <w:t>s</w:t>
      </w:r>
      <w:r w:rsidR="0004205D" w:rsidRPr="008D54A5">
        <w:t xml:space="preserve"> on the same date</w:t>
      </w:r>
      <w:r w:rsidR="00C63102" w:rsidRPr="008D54A5">
        <w:t xml:space="preserve">. </w:t>
      </w:r>
    </w:p>
    <w:p w14:paraId="1FA18159" w14:textId="54ABFF3D" w:rsidR="00353679" w:rsidRPr="008D54A5" w:rsidRDefault="00F66AD2" w:rsidP="00DD4425">
      <w:pPr>
        <w:pStyle w:val="Heading2"/>
      </w:pPr>
      <w:bookmarkStart w:id="280" w:name="_Toc67059192"/>
      <w:bookmarkStart w:id="281" w:name="_Toc67061146"/>
      <w:bookmarkStart w:id="282" w:name="_Toc67061577"/>
      <w:bookmarkStart w:id="283" w:name="_Toc67062395"/>
      <w:bookmarkStart w:id="284" w:name="_Toc67066091"/>
      <w:bookmarkStart w:id="285" w:name="_Toc68018552"/>
      <w:bookmarkStart w:id="286" w:name="_Toc68018880"/>
      <w:bookmarkStart w:id="287" w:name="_Toc68020168"/>
      <w:bookmarkStart w:id="288" w:name="_Toc67059193"/>
      <w:bookmarkStart w:id="289" w:name="_Toc67061147"/>
      <w:bookmarkStart w:id="290" w:name="_Toc67061578"/>
      <w:bookmarkStart w:id="291" w:name="_Toc67062396"/>
      <w:bookmarkStart w:id="292" w:name="_Toc67066092"/>
      <w:bookmarkStart w:id="293" w:name="_Toc68018553"/>
      <w:bookmarkStart w:id="294" w:name="_Toc68018881"/>
      <w:bookmarkStart w:id="295" w:name="_Toc68020169"/>
      <w:bookmarkStart w:id="296" w:name="_Toc67059194"/>
      <w:bookmarkStart w:id="297" w:name="_Toc67061148"/>
      <w:bookmarkStart w:id="298" w:name="_Toc67061579"/>
      <w:bookmarkStart w:id="299" w:name="_Toc67062397"/>
      <w:bookmarkStart w:id="300" w:name="_Toc67066093"/>
      <w:bookmarkStart w:id="301" w:name="_Toc68018554"/>
      <w:bookmarkStart w:id="302" w:name="_Toc68018882"/>
      <w:bookmarkStart w:id="303" w:name="_Toc68020170"/>
      <w:bookmarkStart w:id="304" w:name="_Toc67059195"/>
      <w:bookmarkStart w:id="305" w:name="_Toc67061149"/>
      <w:bookmarkStart w:id="306" w:name="_Toc67061580"/>
      <w:bookmarkStart w:id="307" w:name="_Toc67062398"/>
      <w:bookmarkStart w:id="308" w:name="_Toc67066094"/>
      <w:bookmarkStart w:id="309" w:name="_Toc68018555"/>
      <w:bookmarkStart w:id="310" w:name="_Toc68018883"/>
      <w:bookmarkStart w:id="311" w:name="_Toc68020171"/>
      <w:bookmarkStart w:id="312" w:name="_Toc67059196"/>
      <w:bookmarkStart w:id="313" w:name="_Toc67061150"/>
      <w:bookmarkStart w:id="314" w:name="_Toc67061581"/>
      <w:bookmarkStart w:id="315" w:name="_Toc67062399"/>
      <w:bookmarkStart w:id="316" w:name="_Toc67066095"/>
      <w:bookmarkStart w:id="317" w:name="_Toc68018556"/>
      <w:bookmarkStart w:id="318" w:name="_Toc68018884"/>
      <w:bookmarkStart w:id="319" w:name="_Toc68020172"/>
      <w:bookmarkStart w:id="320" w:name="_Toc67059197"/>
      <w:bookmarkStart w:id="321" w:name="_Toc67061151"/>
      <w:bookmarkStart w:id="322" w:name="_Toc67061582"/>
      <w:bookmarkStart w:id="323" w:name="_Toc67062400"/>
      <w:bookmarkStart w:id="324" w:name="_Toc67066096"/>
      <w:bookmarkStart w:id="325" w:name="_Toc68018557"/>
      <w:bookmarkStart w:id="326" w:name="_Toc68018885"/>
      <w:bookmarkStart w:id="327" w:name="_Toc68020173"/>
      <w:bookmarkStart w:id="328" w:name="_Toc67059198"/>
      <w:bookmarkStart w:id="329" w:name="_Toc67061152"/>
      <w:bookmarkStart w:id="330" w:name="_Toc67061583"/>
      <w:bookmarkStart w:id="331" w:name="_Toc67062401"/>
      <w:bookmarkStart w:id="332" w:name="_Toc67066097"/>
      <w:bookmarkStart w:id="333" w:name="_Toc68018558"/>
      <w:bookmarkStart w:id="334" w:name="_Toc68018886"/>
      <w:bookmarkStart w:id="335" w:name="_Toc68020174"/>
      <w:bookmarkStart w:id="336" w:name="_Toc67059199"/>
      <w:bookmarkStart w:id="337" w:name="_Toc67061153"/>
      <w:bookmarkStart w:id="338" w:name="_Toc67061584"/>
      <w:bookmarkStart w:id="339" w:name="_Toc67062402"/>
      <w:bookmarkStart w:id="340" w:name="_Toc67066098"/>
      <w:bookmarkStart w:id="341" w:name="_Toc68018559"/>
      <w:bookmarkStart w:id="342" w:name="_Toc68018887"/>
      <w:bookmarkStart w:id="343" w:name="_Toc68020175"/>
      <w:bookmarkStart w:id="344" w:name="_Toc67059200"/>
      <w:bookmarkStart w:id="345" w:name="_Toc67061154"/>
      <w:bookmarkStart w:id="346" w:name="_Toc67061585"/>
      <w:bookmarkStart w:id="347" w:name="_Toc67062403"/>
      <w:bookmarkStart w:id="348" w:name="_Toc67066099"/>
      <w:bookmarkStart w:id="349" w:name="_Toc68018560"/>
      <w:bookmarkStart w:id="350" w:name="_Toc68018888"/>
      <w:bookmarkStart w:id="351" w:name="_Toc68020176"/>
      <w:bookmarkStart w:id="352" w:name="_Toc67059201"/>
      <w:bookmarkStart w:id="353" w:name="_Toc67061155"/>
      <w:bookmarkStart w:id="354" w:name="_Toc67061586"/>
      <w:bookmarkStart w:id="355" w:name="_Toc67062404"/>
      <w:bookmarkStart w:id="356" w:name="_Toc67066100"/>
      <w:bookmarkStart w:id="357" w:name="_Toc68018561"/>
      <w:bookmarkStart w:id="358" w:name="_Toc68018889"/>
      <w:bookmarkStart w:id="359" w:name="_Toc68020177"/>
      <w:bookmarkStart w:id="360" w:name="_Toc67059202"/>
      <w:bookmarkStart w:id="361" w:name="_Toc67061156"/>
      <w:bookmarkStart w:id="362" w:name="_Toc67061587"/>
      <w:bookmarkStart w:id="363" w:name="_Toc67062405"/>
      <w:bookmarkStart w:id="364" w:name="_Toc67066101"/>
      <w:bookmarkStart w:id="365" w:name="_Toc68018562"/>
      <w:bookmarkStart w:id="366" w:name="_Toc68018890"/>
      <w:bookmarkStart w:id="367" w:name="_Toc68020178"/>
      <w:bookmarkStart w:id="368" w:name="_Toc67059203"/>
      <w:bookmarkStart w:id="369" w:name="_Toc67061157"/>
      <w:bookmarkStart w:id="370" w:name="_Toc67061588"/>
      <w:bookmarkStart w:id="371" w:name="_Toc67062406"/>
      <w:bookmarkStart w:id="372" w:name="_Toc67066102"/>
      <w:bookmarkStart w:id="373" w:name="_Toc68018563"/>
      <w:bookmarkStart w:id="374" w:name="_Toc68018891"/>
      <w:bookmarkStart w:id="375" w:name="_Toc68020179"/>
      <w:bookmarkStart w:id="376" w:name="_Toc67059204"/>
      <w:bookmarkStart w:id="377" w:name="_Toc67061158"/>
      <w:bookmarkStart w:id="378" w:name="_Toc67061589"/>
      <w:bookmarkStart w:id="379" w:name="_Toc67062407"/>
      <w:bookmarkStart w:id="380" w:name="_Toc67066103"/>
      <w:bookmarkStart w:id="381" w:name="_Toc68018564"/>
      <w:bookmarkStart w:id="382" w:name="_Toc68018892"/>
      <w:bookmarkStart w:id="383" w:name="_Toc68020180"/>
      <w:bookmarkStart w:id="384" w:name="_Toc67059205"/>
      <w:bookmarkStart w:id="385" w:name="_Toc67061159"/>
      <w:bookmarkStart w:id="386" w:name="_Toc67061590"/>
      <w:bookmarkStart w:id="387" w:name="_Toc67062408"/>
      <w:bookmarkStart w:id="388" w:name="_Toc67066104"/>
      <w:bookmarkStart w:id="389" w:name="_Toc68018565"/>
      <w:bookmarkStart w:id="390" w:name="_Toc68018893"/>
      <w:bookmarkStart w:id="391" w:name="_Toc68020181"/>
      <w:bookmarkStart w:id="392" w:name="_Toc67059206"/>
      <w:bookmarkStart w:id="393" w:name="_Toc67061160"/>
      <w:bookmarkStart w:id="394" w:name="_Toc67061591"/>
      <w:bookmarkStart w:id="395" w:name="_Toc67062409"/>
      <w:bookmarkStart w:id="396" w:name="_Toc67066105"/>
      <w:bookmarkStart w:id="397" w:name="_Toc68018566"/>
      <w:bookmarkStart w:id="398" w:name="_Toc68018894"/>
      <w:bookmarkStart w:id="399" w:name="_Toc68020182"/>
      <w:bookmarkStart w:id="400" w:name="_Toc67059207"/>
      <w:bookmarkStart w:id="401" w:name="_Toc67061161"/>
      <w:bookmarkStart w:id="402" w:name="_Toc67061592"/>
      <w:bookmarkStart w:id="403" w:name="_Toc67062410"/>
      <w:bookmarkStart w:id="404" w:name="_Toc67066106"/>
      <w:bookmarkStart w:id="405" w:name="_Toc68018567"/>
      <w:bookmarkStart w:id="406" w:name="_Toc68018895"/>
      <w:bookmarkStart w:id="407" w:name="_Toc68020183"/>
      <w:bookmarkStart w:id="408" w:name="_Toc67059208"/>
      <w:bookmarkStart w:id="409" w:name="_Toc67061162"/>
      <w:bookmarkStart w:id="410" w:name="_Toc67061593"/>
      <w:bookmarkStart w:id="411" w:name="_Toc67062411"/>
      <w:bookmarkStart w:id="412" w:name="_Toc67066107"/>
      <w:bookmarkStart w:id="413" w:name="_Toc68018568"/>
      <w:bookmarkStart w:id="414" w:name="_Toc68018896"/>
      <w:bookmarkStart w:id="415" w:name="_Toc68020184"/>
      <w:bookmarkStart w:id="416" w:name="_Toc67059209"/>
      <w:bookmarkStart w:id="417" w:name="_Toc67061163"/>
      <w:bookmarkStart w:id="418" w:name="_Toc67061594"/>
      <w:bookmarkStart w:id="419" w:name="_Toc67062412"/>
      <w:bookmarkStart w:id="420" w:name="_Toc67066108"/>
      <w:bookmarkStart w:id="421" w:name="_Toc68018569"/>
      <w:bookmarkStart w:id="422" w:name="_Toc68018897"/>
      <w:bookmarkStart w:id="423" w:name="_Toc68020185"/>
      <w:bookmarkStart w:id="424" w:name="_Toc67059210"/>
      <w:bookmarkStart w:id="425" w:name="_Toc67061164"/>
      <w:bookmarkStart w:id="426" w:name="_Toc67061595"/>
      <w:bookmarkStart w:id="427" w:name="_Toc67062413"/>
      <w:bookmarkStart w:id="428" w:name="_Toc67066109"/>
      <w:bookmarkStart w:id="429" w:name="_Toc68018570"/>
      <w:bookmarkStart w:id="430" w:name="_Toc68018898"/>
      <w:bookmarkStart w:id="431" w:name="_Toc68020186"/>
      <w:bookmarkStart w:id="432" w:name="_Toc67059211"/>
      <w:bookmarkStart w:id="433" w:name="_Toc67061165"/>
      <w:bookmarkStart w:id="434" w:name="_Toc67061596"/>
      <w:bookmarkStart w:id="435" w:name="_Toc67062414"/>
      <w:bookmarkStart w:id="436" w:name="_Toc67066110"/>
      <w:bookmarkStart w:id="437" w:name="_Toc68018571"/>
      <w:bookmarkStart w:id="438" w:name="_Toc68018899"/>
      <w:bookmarkStart w:id="439" w:name="_Toc68020187"/>
      <w:bookmarkStart w:id="440" w:name="_Toc67059212"/>
      <w:bookmarkStart w:id="441" w:name="_Toc67061166"/>
      <w:bookmarkStart w:id="442" w:name="_Toc67061597"/>
      <w:bookmarkStart w:id="443" w:name="_Toc67062415"/>
      <w:bookmarkStart w:id="444" w:name="_Toc67066111"/>
      <w:bookmarkStart w:id="445" w:name="_Toc68018572"/>
      <w:bookmarkStart w:id="446" w:name="_Toc68018900"/>
      <w:bookmarkStart w:id="447" w:name="_Toc68020188"/>
      <w:bookmarkStart w:id="448" w:name="_Toc67059213"/>
      <w:bookmarkStart w:id="449" w:name="_Toc67061167"/>
      <w:bookmarkStart w:id="450" w:name="_Toc67061598"/>
      <w:bookmarkStart w:id="451" w:name="_Toc67062416"/>
      <w:bookmarkStart w:id="452" w:name="_Toc67066112"/>
      <w:bookmarkStart w:id="453" w:name="_Toc68018573"/>
      <w:bookmarkStart w:id="454" w:name="_Toc68018901"/>
      <w:bookmarkStart w:id="455" w:name="_Toc68020189"/>
      <w:bookmarkStart w:id="456" w:name="_Toc67059214"/>
      <w:bookmarkStart w:id="457" w:name="_Toc67061168"/>
      <w:bookmarkStart w:id="458" w:name="_Toc67061599"/>
      <w:bookmarkStart w:id="459" w:name="_Toc67062417"/>
      <w:bookmarkStart w:id="460" w:name="_Toc67066113"/>
      <w:bookmarkStart w:id="461" w:name="_Toc68018574"/>
      <w:bookmarkStart w:id="462" w:name="_Toc68018902"/>
      <w:bookmarkStart w:id="463" w:name="_Toc68020190"/>
      <w:bookmarkStart w:id="464" w:name="_Toc67059215"/>
      <w:bookmarkStart w:id="465" w:name="_Toc67061169"/>
      <w:bookmarkStart w:id="466" w:name="_Toc67061600"/>
      <w:bookmarkStart w:id="467" w:name="_Toc67062418"/>
      <w:bookmarkStart w:id="468" w:name="_Toc67066114"/>
      <w:bookmarkStart w:id="469" w:name="_Toc68018575"/>
      <w:bookmarkStart w:id="470" w:name="_Toc68018903"/>
      <w:bookmarkStart w:id="471" w:name="_Toc68020191"/>
      <w:bookmarkStart w:id="472" w:name="_Toc67059216"/>
      <w:bookmarkStart w:id="473" w:name="_Toc67061170"/>
      <w:bookmarkStart w:id="474" w:name="_Toc67061601"/>
      <w:bookmarkStart w:id="475" w:name="_Toc67062419"/>
      <w:bookmarkStart w:id="476" w:name="_Toc67066115"/>
      <w:bookmarkStart w:id="477" w:name="_Toc68018576"/>
      <w:bookmarkStart w:id="478" w:name="_Toc68018904"/>
      <w:bookmarkStart w:id="479" w:name="_Toc68020192"/>
      <w:bookmarkStart w:id="480" w:name="_Toc2847531"/>
      <w:bookmarkStart w:id="481" w:name="_Toc2847601"/>
      <w:bookmarkStart w:id="482" w:name="_Toc2952512"/>
      <w:bookmarkStart w:id="483" w:name="_Toc3273520"/>
      <w:bookmarkStart w:id="484" w:name="_Toc3370797"/>
      <w:bookmarkStart w:id="485" w:name="_Toc127287302"/>
      <w:bookmarkStart w:id="486" w:name="_Toc160529628"/>
      <w:bookmarkStart w:id="487" w:name="_Toc189128112"/>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rsidRPr="008D54A5">
        <w:t>Matching Fields (Variables)</w:t>
      </w:r>
      <w:bookmarkEnd w:id="485"/>
      <w:bookmarkEnd w:id="486"/>
      <w:bookmarkEnd w:id="487"/>
    </w:p>
    <w:p w14:paraId="11EBFDAA" w14:textId="77777777" w:rsidR="00443422" w:rsidRPr="008D54A5" w:rsidRDefault="00F66AD2" w:rsidP="002F0926">
      <w:pPr>
        <w:pStyle w:val="BodyText"/>
      </w:pPr>
      <w:r w:rsidRPr="008D54A5">
        <w:t xml:space="preserve">The matching process used in the MPC </w:t>
      </w:r>
      <w:r w:rsidR="00994B78" w:rsidRPr="008D54A5">
        <w:t>creates</w:t>
      </w:r>
      <w:r w:rsidR="00443422" w:rsidRPr="008D54A5">
        <w:t xml:space="preserve"> </w:t>
      </w:r>
      <w:r w:rsidRPr="008D54A5">
        <w:t>match weight</w:t>
      </w:r>
      <w:r w:rsidR="00994B78" w:rsidRPr="008D54A5">
        <w:t>s</w:t>
      </w:r>
      <w:r w:rsidRPr="008D54A5">
        <w:t xml:space="preserve"> between all possible pairs within block groups. The match weight reflects the agreement and disagreement between a set of fields (variables) available on both the HC and MPC.</w:t>
      </w:r>
    </w:p>
    <w:p w14:paraId="25D21651" w14:textId="4F2A70BD" w:rsidR="00D60534" w:rsidRPr="008D54A5" w:rsidRDefault="00994B78" w:rsidP="00D60534">
      <w:r w:rsidRPr="008D54A5">
        <w:t xml:space="preserve">RTI and </w:t>
      </w:r>
      <w:r w:rsidR="00BF14C8" w:rsidRPr="008D54A5">
        <w:t>Agency for Health</w:t>
      </w:r>
      <w:r w:rsidR="008B44A0" w:rsidRPr="008D54A5">
        <w:t>c</w:t>
      </w:r>
      <w:r w:rsidR="00BF14C8" w:rsidRPr="008D54A5">
        <w:t>are Research and Quality (</w:t>
      </w:r>
      <w:r w:rsidRPr="008D54A5">
        <w:t>AHRQ</w:t>
      </w:r>
      <w:r w:rsidR="00BF14C8" w:rsidRPr="008D54A5">
        <w:t>)</w:t>
      </w:r>
      <w:r w:rsidRPr="008D54A5">
        <w:t xml:space="preserve"> </w:t>
      </w:r>
      <w:r w:rsidR="003F3F0B" w:rsidRPr="008D54A5">
        <w:t xml:space="preserve">have </w:t>
      </w:r>
      <w:r w:rsidR="0038035A" w:rsidRPr="008D54A5">
        <w:t xml:space="preserve">conducted several </w:t>
      </w:r>
      <w:r w:rsidRPr="008D54A5">
        <w:t>review</w:t>
      </w:r>
      <w:r w:rsidR="0038035A" w:rsidRPr="008D54A5">
        <w:t xml:space="preserve">s and tests of </w:t>
      </w:r>
      <w:r w:rsidRPr="008D54A5">
        <w:t>the coding and treatment of missing variables</w:t>
      </w:r>
      <w:r w:rsidR="0038035A" w:rsidRPr="008D54A5">
        <w:t xml:space="preserve">, </w:t>
      </w:r>
      <w:r w:rsidR="003F3F0B" w:rsidRPr="008D54A5">
        <w:t>the actual variables used in the matching</w:t>
      </w:r>
      <w:r w:rsidR="0038035A" w:rsidRPr="008D54A5">
        <w:t>, and the compar</w:t>
      </w:r>
      <w:r w:rsidR="002063C2" w:rsidRPr="008D54A5">
        <w:t>i</w:t>
      </w:r>
      <w:r w:rsidR="0038035A" w:rsidRPr="008D54A5">
        <w:t xml:space="preserve">son score functions. </w:t>
      </w:r>
      <w:r w:rsidR="00D60534" w:rsidRPr="008D54A5">
        <w:t>In</w:t>
      </w:r>
      <w:r w:rsidR="003543ED" w:rsidRPr="008D54A5">
        <w:t xml:space="preserve"> </w:t>
      </w:r>
      <w:r w:rsidR="00D60534" w:rsidRPr="008D54A5">
        <w:t>2020, the MPC and HC collected information that indicates whether the OBD or Outpatient event is a telehealth visit. This “telehealth” indicator was included as a matching variable.</w:t>
      </w:r>
    </w:p>
    <w:p w14:paraId="7AE48B0A" w14:textId="3B46B6E7" w:rsidR="00271265" w:rsidRPr="008D54A5" w:rsidRDefault="00743DDB" w:rsidP="002F0926">
      <w:pPr>
        <w:pStyle w:val="BodyText"/>
        <w:rPr>
          <w:color w:val="000000" w:themeColor="text1"/>
          <w:szCs w:val="22"/>
        </w:rPr>
      </w:pPr>
      <w:r w:rsidRPr="00404E1F">
        <w:rPr>
          <w:b/>
        </w:rPr>
        <w:t xml:space="preserve">Exhibit </w:t>
      </w:r>
      <w:r w:rsidRPr="008D54A5">
        <w:rPr>
          <w:b/>
        </w:rPr>
        <w:t>8.4</w:t>
      </w:r>
      <w:r w:rsidRPr="008D54A5">
        <w:t xml:space="preserve"> presents all variables used to construct the match weight for the MPC.</w:t>
      </w:r>
      <w:r w:rsidR="00DE709F" w:rsidRPr="008D54A5">
        <w:t xml:space="preserve"> </w:t>
      </w:r>
      <w:r w:rsidR="00B509E8" w:rsidRPr="008D54A5">
        <w:rPr>
          <w:color w:val="000000" w:themeColor="text1"/>
          <w:szCs w:val="22"/>
        </w:rPr>
        <w:t xml:space="preserve">Some </w:t>
      </w:r>
      <w:r w:rsidR="00BB1681" w:rsidRPr="008D54A5">
        <w:rPr>
          <w:color w:val="000000" w:themeColor="text1"/>
          <w:szCs w:val="22"/>
        </w:rPr>
        <w:t>event</w:t>
      </w:r>
      <w:r w:rsidR="00951E27" w:rsidRPr="008D54A5">
        <w:rPr>
          <w:color w:val="000000" w:themeColor="text1"/>
          <w:szCs w:val="22"/>
        </w:rPr>
        <w:t>s</w:t>
      </w:r>
      <w:r w:rsidR="00BB1681" w:rsidRPr="008D54A5">
        <w:rPr>
          <w:color w:val="000000" w:themeColor="text1"/>
          <w:szCs w:val="22"/>
        </w:rPr>
        <w:t xml:space="preserve"> reported by the HC respondent as inpatient stays appeared to be collected </w:t>
      </w:r>
      <w:r w:rsidR="00951E27" w:rsidRPr="008D54A5">
        <w:rPr>
          <w:color w:val="000000" w:themeColor="text1"/>
          <w:szCs w:val="22"/>
        </w:rPr>
        <w:t xml:space="preserve">in the MPC </w:t>
      </w:r>
      <w:r w:rsidR="00BB1681" w:rsidRPr="008D54A5">
        <w:rPr>
          <w:color w:val="000000" w:themeColor="text1"/>
          <w:szCs w:val="22"/>
        </w:rPr>
        <w:t>as multi</w:t>
      </w:r>
      <w:r w:rsidR="00CB1D50" w:rsidRPr="008D54A5">
        <w:rPr>
          <w:color w:val="000000" w:themeColor="text1"/>
          <w:szCs w:val="22"/>
        </w:rPr>
        <w:t>-</w:t>
      </w:r>
      <w:r w:rsidR="00BB1681" w:rsidRPr="008D54A5">
        <w:rPr>
          <w:color w:val="000000" w:themeColor="text1"/>
          <w:szCs w:val="22"/>
        </w:rPr>
        <w:t xml:space="preserve">night observation outpatient stays. </w:t>
      </w:r>
      <w:r w:rsidR="00951E27" w:rsidRPr="008D54A5">
        <w:rPr>
          <w:color w:val="000000" w:themeColor="text1"/>
          <w:szCs w:val="22"/>
        </w:rPr>
        <w:t>However, the</w:t>
      </w:r>
      <w:r w:rsidR="0038035A" w:rsidRPr="008D54A5">
        <w:rPr>
          <w:color w:val="000000" w:themeColor="text1"/>
          <w:szCs w:val="22"/>
        </w:rPr>
        <w:t xml:space="preserve"> events</w:t>
      </w:r>
      <w:r w:rsidR="00951E27" w:rsidRPr="008D54A5">
        <w:rPr>
          <w:color w:val="000000" w:themeColor="text1"/>
          <w:szCs w:val="22"/>
        </w:rPr>
        <w:t xml:space="preserve"> would not match </w:t>
      </w:r>
      <w:r w:rsidR="00E3346E" w:rsidRPr="008D54A5">
        <w:rPr>
          <w:color w:val="000000" w:themeColor="text1"/>
          <w:szCs w:val="22"/>
        </w:rPr>
        <w:t>because of</w:t>
      </w:r>
      <w:r w:rsidR="00951E27" w:rsidRPr="008D54A5">
        <w:rPr>
          <w:color w:val="000000" w:themeColor="text1"/>
          <w:szCs w:val="22"/>
        </w:rPr>
        <w:t xml:space="preserve"> restrictions placed on the types of events that could match. </w:t>
      </w:r>
      <w:r w:rsidR="00271265" w:rsidRPr="008D54A5">
        <w:rPr>
          <w:color w:val="000000" w:themeColor="text1"/>
          <w:szCs w:val="22"/>
        </w:rPr>
        <w:t>Based on specifications from AHRQ</w:t>
      </w:r>
      <w:r w:rsidR="00B509E8" w:rsidRPr="008D54A5">
        <w:rPr>
          <w:color w:val="000000" w:themeColor="text1"/>
          <w:szCs w:val="22"/>
        </w:rPr>
        <w:t xml:space="preserve"> for the 2017 MPC</w:t>
      </w:r>
      <w:r w:rsidR="00271265" w:rsidRPr="008D54A5">
        <w:rPr>
          <w:color w:val="000000" w:themeColor="text1"/>
          <w:szCs w:val="22"/>
        </w:rPr>
        <w:t xml:space="preserve">, a variable was created to flag MPC OP events that are possibly </w:t>
      </w:r>
      <w:r w:rsidR="007A52B2" w:rsidRPr="008D54A5">
        <w:rPr>
          <w:color w:val="000000" w:themeColor="text1"/>
          <w:szCs w:val="22"/>
        </w:rPr>
        <w:t>multiple-</w:t>
      </w:r>
      <w:r w:rsidR="00271265" w:rsidRPr="008D54A5">
        <w:rPr>
          <w:color w:val="000000" w:themeColor="text1"/>
          <w:szCs w:val="22"/>
        </w:rPr>
        <w:t xml:space="preserve">night Observational Stays, and these </w:t>
      </w:r>
      <w:r w:rsidR="00911367" w:rsidRPr="008D54A5">
        <w:rPr>
          <w:color w:val="000000" w:themeColor="text1"/>
          <w:szCs w:val="22"/>
        </w:rPr>
        <w:t xml:space="preserve">events </w:t>
      </w:r>
      <w:r w:rsidR="00271265" w:rsidRPr="008D54A5">
        <w:rPr>
          <w:color w:val="000000" w:themeColor="text1"/>
          <w:szCs w:val="22"/>
        </w:rPr>
        <w:t xml:space="preserve">were </w:t>
      </w:r>
      <w:r w:rsidR="00911367" w:rsidRPr="008D54A5">
        <w:rPr>
          <w:color w:val="000000" w:themeColor="text1"/>
          <w:szCs w:val="22"/>
        </w:rPr>
        <w:t xml:space="preserve">then </w:t>
      </w:r>
      <w:r w:rsidR="00271265" w:rsidRPr="008D54A5">
        <w:rPr>
          <w:color w:val="000000" w:themeColor="text1"/>
          <w:szCs w:val="22"/>
        </w:rPr>
        <w:t>allowed to match with HC-reported inpatient stays.</w:t>
      </w:r>
      <w:r w:rsidR="00756042" w:rsidRPr="008D54A5">
        <w:rPr>
          <w:color w:val="000000" w:themeColor="text1"/>
          <w:szCs w:val="22"/>
        </w:rPr>
        <w:t xml:space="preserve"> This same definition </w:t>
      </w:r>
      <w:r w:rsidR="000C3E6C" w:rsidRPr="008D54A5">
        <w:rPr>
          <w:color w:val="000000" w:themeColor="text1"/>
          <w:szCs w:val="22"/>
        </w:rPr>
        <w:t xml:space="preserve">has been used since 2017 for </w:t>
      </w:r>
      <w:r w:rsidR="00756042" w:rsidRPr="008D54A5">
        <w:rPr>
          <w:color w:val="000000" w:themeColor="text1"/>
          <w:szCs w:val="22"/>
        </w:rPr>
        <w:t>MPC-HC matching.</w:t>
      </w:r>
    </w:p>
    <w:p w14:paraId="516009FB" w14:textId="7CDBB793" w:rsidR="00245172" w:rsidRPr="008D54A5" w:rsidRDefault="00245172" w:rsidP="00B4238F">
      <w:pPr>
        <w:pStyle w:val="Source-9-1"/>
        <w:rPr>
          <w:sz w:val="20"/>
        </w:rPr>
      </w:pPr>
    </w:p>
    <w:p w14:paraId="6C6BC9F5" w14:textId="2CD444AF" w:rsidR="00245172" w:rsidRPr="008D54A5" w:rsidRDefault="00245172" w:rsidP="00245172">
      <w:pPr>
        <w:pStyle w:val="ExhibitTitle"/>
      </w:pPr>
      <w:bookmarkStart w:id="488" w:name="_Toc128574198"/>
      <w:bookmarkStart w:id="489" w:name="_Toc188622353"/>
      <w:r w:rsidRPr="00404E1F">
        <w:t>Exhibit </w:t>
      </w:r>
      <w:r w:rsidRPr="008D54A5">
        <w:rPr>
          <w:noProof/>
        </w:rPr>
        <w:fldChar w:fldCharType="begin"/>
      </w:r>
      <w:r w:rsidRPr="008D54A5">
        <w:rPr>
          <w:noProof/>
        </w:rPr>
        <w:instrText xml:space="preserve"> STYLEREF 1 \s </w:instrText>
      </w:r>
      <w:r w:rsidRPr="008D54A5">
        <w:rPr>
          <w:noProof/>
        </w:rPr>
        <w:fldChar w:fldCharType="separate"/>
      </w:r>
      <w:r w:rsidR="00EC2444" w:rsidRPr="008D54A5">
        <w:rPr>
          <w:noProof/>
        </w:rPr>
        <w:t>8</w:t>
      </w:r>
      <w:r w:rsidRPr="008D54A5">
        <w:rPr>
          <w:noProof/>
        </w:rPr>
        <w:fldChar w:fldCharType="end"/>
      </w:r>
      <w:r w:rsidRPr="008D54A5">
        <w:t>.</w:t>
      </w:r>
      <w:r w:rsidRPr="008D54A5">
        <w:rPr>
          <w:noProof/>
        </w:rPr>
        <w:fldChar w:fldCharType="begin"/>
      </w:r>
      <w:r w:rsidRPr="008D54A5">
        <w:rPr>
          <w:noProof/>
        </w:rPr>
        <w:instrText xml:space="preserve"> SEQ Exhibit \* ARABIC \s 1 </w:instrText>
      </w:r>
      <w:r w:rsidRPr="008D54A5">
        <w:rPr>
          <w:noProof/>
        </w:rPr>
        <w:fldChar w:fldCharType="separate"/>
      </w:r>
      <w:r w:rsidR="00EC2444" w:rsidRPr="008D54A5">
        <w:rPr>
          <w:noProof/>
        </w:rPr>
        <w:t>4</w:t>
      </w:r>
      <w:r w:rsidRPr="008D54A5">
        <w:rPr>
          <w:noProof/>
        </w:rPr>
        <w:fldChar w:fldCharType="end"/>
      </w:r>
      <w:r w:rsidRPr="008D54A5">
        <w:tab/>
        <w:t>Matching Variables in 2022</w:t>
      </w:r>
      <w:bookmarkEnd w:id="488"/>
      <w:bookmarkEnd w:id="489"/>
    </w:p>
    <w:tbl>
      <w:tblPr>
        <w:tblStyle w:val="TableGrid"/>
        <w:tblW w:w="5000" w:type="pct"/>
        <w:tblLook w:val="04A0" w:firstRow="1" w:lastRow="0" w:firstColumn="1" w:lastColumn="0" w:noHBand="0" w:noVBand="1"/>
      </w:tblPr>
      <w:tblGrid>
        <w:gridCol w:w="1752"/>
        <w:gridCol w:w="3420"/>
        <w:gridCol w:w="4178"/>
      </w:tblGrid>
      <w:tr w:rsidR="00245172" w:rsidRPr="008D54A5" w14:paraId="618E9419" w14:textId="77777777" w:rsidTr="00B26FC1">
        <w:trPr>
          <w:cnfStyle w:val="100000000000" w:firstRow="1" w:lastRow="0" w:firstColumn="0" w:lastColumn="0" w:oddVBand="0" w:evenVBand="0" w:oddHBand="0" w:evenHBand="0" w:firstRowFirstColumn="0" w:firstRowLastColumn="0" w:lastRowFirstColumn="0" w:lastRowLastColumn="0"/>
        </w:trPr>
        <w:tc>
          <w:tcPr>
            <w:tcW w:w="937" w:type="pct"/>
          </w:tcPr>
          <w:p w14:paraId="7E2FABCB" w14:textId="77777777" w:rsidR="00245172" w:rsidRPr="008D54A5" w:rsidRDefault="00245172" w:rsidP="00B26FC1">
            <w:pPr>
              <w:pStyle w:val="TableHeading-9"/>
            </w:pPr>
            <w:r w:rsidRPr="008D54A5">
              <w:t>Variable</w:t>
            </w:r>
          </w:p>
        </w:tc>
        <w:tc>
          <w:tcPr>
            <w:tcW w:w="1829" w:type="pct"/>
          </w:tcPr>
          <w:p w14:paraId="05DE8B41" w14:textId="77777777" w:rsidR="00245172" w:rsidRPr="008D54A5" w:rsidRDefault="00245172" w:rsidP="00B26FC1">
            <w:pPr>
              <w:pStyle w:val="TableHeading-9"/>
            </w:pPr>
            <w:r w:rsidRPr="008D54A5">
              <w:t>Definition</w:t>
            </w:r>
          </w:p>
        </w:tc>
        <w:tc>
          <w:tcPr>
            <w:tcW w:w="2234" w:type="pct"/>
          </w:tcPr>
          <w:p w14:paraId="4590DD82" w14:textId="77777777" w:rsidR="00245172" w:rsidRPr="008D54A5" w:rsidRDefault="00245172" w:rsidP="00B26FC1">
            <w:pPr>
              <w:pStyle w:val="TableHeading-9"/>
            </w:pPr>
            <w:r w:rsidRPr="008D54A5">
              <w:t>Use in the Construction of a Match Weight</w:t>
            </w:r>
          </w:p>
        </w:tc>
      </w:tr>
      <w:tr w:rsidR="00245172" w:rsidRPr="008D54A5" w14:paraId="186C4D81" w14:textId="77777777" w:rsidTr="00B26FC1">
        <w:tc>
          <w:tcPr>
            <w:tcW w:w="937" w:type="pct"/>
          </w:tcPr>
          <w:p w14:paraId="35D4750D" w14:textId="77777777" w:rsidR="00245172" w:rsidRPr="008D54A5" w:rsidRDefault="00245172" w:rsidP="00B26FC1">
            <w:pPr>
              <w:pStyle w:val="TableText-9"/>
            </w:pPr>
            <w:r w:rsidRPr="008D54A5">
              <w:t>BEGDATE_SAS</w:t>
            </w:r>
          </w:p>
        </w:tc>
        <w:tc>
          <w:tcPr>
            <w:tcW w:w="1829" w:type="pct"/>
          </w:tcPr>
          <w:p w14:paraId="329B31C4" w14:textId="77777777" w:rsidR="00245172" w:rsidRPr="008D54A5" w:rsidRDefault="00245172" w:rsidP="00B26FC1">
            <w:pPr>
              <w:pStyle w:val="TableText-9"/>
            </w:pPr>
            <w:proofErr w:type="gramStart"/>
            <w:r w:rsidRPr="008D54A5">
              <w:t>Event</w:t>
            </w:r>
            <w:proofErr w:type="gramEnd"/>
            <w:r w:rsidRPr="008D54A5">
              <w:t xml:space="preserve"> begin date</w:t>
            </w:r>
          </w:p>
        </w:tc>
        <w:tc>
          <w:tcPr>
            <w:tcW w:w="2234" w:type="pct"/>
          </w:tcPr>
          <w:p w14:paraId="06D0EEF8" w14:textId="141E799E" w:rsidR="00245172" w:rsidRPr="008D54A5" w:rsidRDefault="00245172" w:rsidP="00B26FC1">
            <w:pPr>
              <w:pStyle w:val="TableText-9"/>
            </w:pPr>
            <w:r w:rsidRPr="008D54A5">
              <w:t>Event dates (and event type) are the best indicators of a match between medical events in the HC and MPC. Because of the importance of event date, the contribution of the date to the match weight is set to be relatively large, and the contribution to the match weight increases in a nonlinear fashion as the difference approaches zero. The equation used to determine the field comparison score for event date was provided by AHRQ analysts.</w:t>
            </w:r>
          </w:p>
        </w:tc>
      </w:tr>
      <w:tr w:rsidR="00245172" w:rsidRPr="008D54A5" w14:paraId="30DBF96F" w14:textId="77777777" w:rsidTr="00B26FC1">
        <w:tc>
          <w:tcPr>
            <w:tcW w:w="937" w:type="pct"/>
          </w:tcPr>
          <w:p w14:paraId="0DE60431" w14:textId="77777777" w:rsidR="00245172" w:rsidRPr="008D54A5" w:rsidRDefault="00245172" w:rsidP="00B26FC1">
            <w:pPr>
              <w:pStyle w:val="TableText-9"/>
            </w:pPr>
            <w:r w:rsidRPr="008D54A5">
              <w:t>EVENT</w:t>
            </w:r>
          </w:p>
        </w:tc>
        <w:tc>
          <w:tcPr>
            <w:tcW w:w="1829" w:type="pct"/>
          </w:tcPr>
          <w:p w14:paraId="4C3B735D" w14:textId="77777777" w:rsidR="00245172" w:rsidRPr="008D54A5" w:rsidRDefault="00245172" w:rsidP="00B26FC1">
            <w:pPr>
              <w:pStyle w:val="TableText-9"/>
            </w:pPr>
            <w:r w:rsidRPr="008D54A5">
              <w:t>Event type. This variable is defined as:</w:t>
            </w:r>
          </w:p>
          <w:p w14:paraId="1FC58D08" w14:textId="77777777" w:rsidR="00245172" w:rsidRPr="008D54A5" w:rsidRDefault="00245172" w:rsidP="00B26FC1">
            <w:pPr>
              <w:pStyle w:val="TableText-9"/>
            </w:pPr>
            <w:r w:rsidRPr="008D54A5">
              <w:t xml:space="preserve">1=ER </w:t>
            </w:r>
          </w:p>
          <w:p w14:paraId="78C02200" w14:textId="77777777" w:rsidR="00245172" w:rsidRPr="008D54A5" w:rsidRDefault="00245172" w:rsidP="00B26FC1">
            <w:pPr>
              <w:pStyle w:val="TableText-9"/>
            </w:pPr>
            <w:r w:rsidRPr="008D54A5">
              <w:lastRenderedPageBreak/>
              <w:t>2=H1 (hospital stay, 1-–2 days)</w:t>
            </w:r>
          </w:p>
          <w:p w14:paraId="7DE55FBE" w14:textId="77777777" w:rsidR="00245172" w:rsidRPr="008D54A5" w:rsidRDefault="00245172" w:rsidP="00B26FC1">
            <w:pPr>
              <w:pStyle w:val="TableText-9"/>
            </w:pPr>
            <w:r w:rsidRPr="008D54A5">
              <w:t>3=H2 (hospital stay, 3 days)</w:t>
            </w:r>
          </w:p>
          <w:p w14:paraId="63970511" w14:textId="77777777" w:rsidR="00245172" w:rsidRPr="008D54A5" w:rsidRDefault="00245172" w:rsidP="00B26FC1">
            <w:pPr>
              <w:pStyle w:val="TableText-9"/>
            </w:pPr>
            <w:r w:rsidRPr="008D54A5">
              <w:t>4=H3 (hospital stay, 4+ days)</w:t>
            </w:r>
          </w:p>
          <w:p w14:paraId="33AA3F8F" w14:textId="77777777" w:rsidR="00245172" w:rsidRPr="008D54A5" w:rsidRDefault="00245172" w:rsidP="00B26FC1">
            <w:pPr>
              <w:pStyle w:val="TableText-9"/>
            </w:pPr>
            <w:r w:rsidRPr="008D54A5">
              <w:t>5=MV (medical visit)</w:t>
            </w:r>
          </w:p>
          <w:p w14:paraId="25551762" w14:textId="77777777" w:rsidR="00245172" w:rsidRPr="008D54A5" w:rsidRDefault="00245172" w:rsidP="00B26FC1">
            <w:pPr>
              <w:pStyle w:val="TableText-9"/>
            </w:pPr>
            <w:r w:rsidRPr="008D54A5">
              <w:t>6=OP (outpatient, no surgery, observation not indicated)</w:t>
            </w:r>
          </w:p>
          <w:p w14:paraId="4C6EDA8D" w14:textId="77777777" w:rsidR="00245172" w:rsidRPr="008D54A5" w:rsidRDefault="00245172" w:rsidP="00B26FC1">
            <w:pPr>
              <w:pStyle w:val="TableText-9"/>
            </w:pPr>
            <w:r w:rsidRPr="008D54A5">
              <w:t>7=OS (outpatient, with surgery, observation not indicated)</w:t>
            </w:r>
          </w:p>
          <w:p w14:paraId="53C325CB" w14:textId="77777777" w:rsidR="00245172" w:rsidRPr="008D54A5" w:rsidRDefault="00245172" w:rsidP="00B26FC1">
            <w:pPr>
              <w:pStyle w:val="TableText-9"/>
            </w:pPr>
            <w:r w:rsidRPr="008D54A5">
              <w:t>9=MPC event, OP, multi-night observation indicated</w:t>
            </w:r>
          </w:p>
        </w:tc>
        <w:tc>
          <w:tcPr>
            <w:tcW w:w="2234" w:type="pct"/>
          </w:tcPr>
          <w:p w14:paraId="008DBD08" w14:textId="77777777" w:rsidR="00245172" w:rsidRPr="008D54A5" w:rsidRDefault="00245172" w:rsidP="00B26FC1">
            <w:pPr>
              <w:pStyle w:val="TableText-9"/>
            </w:pPr>
            <w:r w:rsidRPr="008D54A5">
              <w:lastRenderedPageBreak/>
              <w:t xml:space="preserve">EVENT is a categorical variable in the matching. Two records agree if they have the same responses and </w:t>
            </w:r>
            <w:r w:rsidRPr="008D54A5">
              <w:lastRenderedPageBreak/>
              <w:t xml:space="preserve">disagree if responses differ. Equations (7.1, 7.2, and 7.3) are used to determine the field comparison score of </w:t>
            </w:r>
            <w:proofErr w:type="gramStart"/>
            <w:r w:rsidRPr="008D54A5">
              <w:t>EVENT</w:t>
            </w:r>
            <w:proofErr w:type="gramEnd"/>
            <w:r w:rsidRPr="008D54A5">
              <w:t>.</w:t>
            </w:r>
          </w:p>
          <w:p w14:paraId="58999F0A" w14:textId="77777777" w:rsidR="00245172" w:rsidRPr="008D54A5" w:rsidRDefault="00245172" w:rsidP="00B26FC1">
            <w:pPr>
              <w:pStyle w:val="TableText-9"/>
            </w:pPr>
          </w:p>
          <w:p w14:paraId="18773940" w14:textId="77777777" w:rsidR="00245172" w:rsidRPr="008D54A5" w:rsidRDefault="00245172" w:rsidP="00B26FC1">
            <w:pPr>
              <w:pStyle w:val="TableText-9"/>
            </w:pPr>
            <w:r w:rsidRPr="008D54A5">
              <w:t xml:space="preserve">OP observation events refer to MPC Outpatient events where the total charge and CPT codes indicate that the event may have been a multi-night observation stay. </w:t>
            </w:r>
          </w:p>
        </w:tc>
      </w:tr>
      <w:tr w:rsidR="00245172" w:rsidRPr="008D54A5" w14:paraId="205A10DF" w14:textId="77777777" w:rsidTr="00B26FC1">
        <w:tc>
          <w:tcPr>
            <w:tcW w:w="937" w:type="pct"/>
          </w:tcPr>
          <w:p w14:paraId="01FCDF1C" w14:textId="77777777" w:rsidR="00245172" w:rsidRPr="008D54A5" w:rsidRDefault="00245172" w:rsidP="00B26FC1">
            <w:pPr>
              <w:pStyle w:val="TableText-9"/>
            </w:pPr>
            <w:r w:rsidRPr="008D54A5">
              <w:lastRenderedPageBreak/>
              <w:t>GLOFEE</w:t>
            </w:r>
          </w:p>
        </w:tc>
        <w:tc>
          <w:tcPr>
            <w:tcW w:w="1829" w:type="pct"/>
          </w:tcPr>
          <w:p w14:paraId="5D07E919" w14:textId="77777777" w:rsidR="00245172" w:rsidRPr="008D54A5" w:rsidRDefault="00245172" w:rsidP="00B26FC1">
            <w:pPr>
              <w:pStyle w:val="TableText-9"/>
            </w:pPr>
            <w:r w:rsidRPr="008D54A5">
              <w:t>Global fee indicator</w:t>
            </w:r>
          </w:p>
        </w:tc>
        <w:tc>
          <w:tcPr>
            <w:tcW w:w="2234" w:type="pct"/>
          </w:tcPr>
          <w:p w14:paraId="13863935" w14:textId="77777777" w:rsidR="00245172" w:rsidRPr="008D54A5" w:rsidRDefault="00245172" w:rsidP="00B26FC1">
            <w:pPr>
              <w:pStyle w:val="TableText-9"/>
            </w:pPr>
            <w:r w:rsidRPr="008D54A5">
              <w:t>GLOFEE is a categorical variable in the matching. Two records agree if they have the same responses and disagree if responses differ. Equations (7.1, 7.2, and 7.3) are used to determine the field comparison score of GLOFEE.</w:t>
            </w:r>
          </w:p>
          <w:p w14:paraId="1F4D578F" w14:textId="77777777" w:rsidR="00245172" w:rsidRPr="008D54A5" w:rsidRDefault="00245172" w:rsidP="00B26FC1">
            <w:pPr>
              <w:pStyle w:val="TableText-9"/>
            </w:pPr>
          </w:p>
          <w:p w14:paraId="7524D05A" w14:textId="77777777" w:rsidR="00245172" w:rsidRPr="008D54A5" w:rsidRDefault="00245172" w:rsidP="00B26FC1">
            <w:pPr>
              <w:pStyle w:val="TableText-9"/>
            </w:pPr>
            <w:r w:rsidRPr="008D54A5">
              <w:t>Starting with the 2018 MC-HC matching, global fee events, and events connected to global fee events through rollup groups, were not eligible for the replicated (Pass 1.5) matching.</w:t>
            </w:r>
          </w:p>
        </w:tc>
      </w:tr>
      <w:tr w:rsidR="00245172" w:rsidRPr="008D54A5" w14:paraId="4415F707" w14:textId="77777777" w:rsidTr="00B26FC1">
        <w:tc>
          <w:tcPr>
            <w:tcW w:w="937" w:type="pct"/>
          </w:tcPr>
          <w:p w14:paraId="3A45FE5F" w14:textId="77777777" w:rsidR="00245172" w:rsidRPr="008D54A5" w:rsidRDefault="00245172" w:rsidP="00B26FC1">
            <w:pPr>
              <w:pStyle w:val="TableText-9"/>
            </w:pPr>
            <w:r w:rsidRPr="008D54A5">
              <w:t>HSPLUS1</w:t>
            </w:r>
          </w:p>
        </w:tc>
        <w:tc>
          <w:tcPr>
            <w:tcW w:w="1829" w:type="pct"/>
          </w:tcPr>
          <w:p w14:paraId="2A3C67AB" w14:textId="77777777" w:rsidR="00245172" w:rsidRPr="008D54A5" w:rsidRDefault="00245172" w:rsidP="00B26FC1">
            <w:pPr>
              <w:pStyle w:val="TableText-9"/>
            </w:pPr>
            <w:r w:rsidRPr="008D54A5">
              <w:t>Length of hospital stay. Specifically, end date − begin date + 1. This is set to missing for non-inpatient events.</w:t>
            </w:r>
          </w:p>
        </w:tc>
        <w:tc>
          <w:tcPr>
            <w:tcW w:w="2234" w:type="pct"/>
          </w:tcPr>
          <w:p w14:paraId="6A61C6D6" w14:textId="702C5592" w:rsidR="00245172" w:rsidRPr="008D54A5" w:rsidRDefault="00245172" w:rsidP="00B26FC1">
            <w:pPr>
              <w:pStyle w:val="TableText-9"/>
            </w:pPr>
            <w:r w:rsidRPr="008D54A5">
              <w:t xml:space="preserve">HSPLUS1 was considered a </w:t>
            </w:r>
            <w:r w:rsidRPr="008D54A5">
              <w:rPr>
                <w:bCs/>
              </w:rPr>
              <w:t>range variable</w:t>
            </w:r>
            <w:r w:rsidRPr="008D54A5">
              <w:t xml:space="preserve"> when computing the match weight. </w:t>
            </w:r>
          </w:p>
        </w:tc>
      </w:tr>
      <w:tr w:rsidR="00245172" w:rsidRPr="008D54A5" w14:paraId="4EA5660C" w14:textId="77777777" w:rsidTr="00B26FC1">
        <w:tc>
          <w:tcPr>
            <w:tcW w:w="937" w:type="pct"/>
          </w:tcPr>
          <w:p w14:paraId="19B2A7FA" w14:textId="77777777" w:rsidR="00245172" w:rsidRPr="008D54A5" w:rsidRDefault="00245172" w:rsidP="00B26FC1">
            <w:pPr>
              <w:pStyle w:val="TableText-9"/>
            </w:pPr>
            <w:r w:rsidRPr="008D54A5">
              <w:t>DAY</w:t>
            </w:r>
          </w:p>
        </w:tc>
        <w:tc>
          <w:tcPr>
            <w:tcW w:w="1829" w:type="pct"/>
          </w:tcPr>
          <w:p w14:paraId="75E2F2E4" w14:textId="77777777" w:rsidR="00245172" w:rsidRPr="008D54A5" w:rsidRDefault="00245172" w:rsidP="00B26FC1">
            <w:pPr>
              <w:pStyle w:val="TableText-9"/>
            </w:pPr>
            <w:r w:rsidRPr="008D54A5">
              <w:t>Day of month of event begin date. Takes values 1-31. This is set to missing when the event begin date is missing.</w:t>
            </w:r>
          </w:p>
        </w:tc>
        <w:tc>
          <w:tcPr>
            <w:tcW w:w="2234" w:type="pct"/>
          </w:tcPr>
          <w:p w14:paraId="1E8D0333" w14:textId="77777777" w:rsidR="00245172" w:rsidRPr="008D54A5" w:rsidRDefault="00245172" w:rsidP="00B26FC1">
            <w:pPr>
              <w:pStyle w:val="TableText-9"/>
            </w:pPr>
            <w:r w:rsidRPr="008D54A5">
              <w:t>DA</w:t>
            </w:r>
            <w:r w:rsidRPr="008D54A5">
              <w:rPr>
                <w:caps/>
              </w:rPr>
              <w:t>Y</w:t>
            </w:r>
            <w:r w:rsidRPr="008D54A5">
              <w:t xml:space="preserve"> is a categorical variable in the matching. Two records agree if they have the same responses and disagree if responses differ. Equations (7.1, 7.2, and 7.3) are used to determine the field comparison score of DAY.</w:t>
            </w:r>
          </w:p>
          <w:p w14:paraId="22C0846F" w14:textId="77777777" w:rsidR="00245172" w:rsidRPr="008D54A5" w:rsidRDefault="00245172" w:rsidP="00B26FC1">
            <w:pPr>
              <w:pStyle w:val="TableText-9"/>
            </w:pPr>
            <w:r w:rsidRPr="008D54A5">
              <w:t>DAY was not used at Pass 1.5 matching.</w:t>
            </w:r>
          </w:p>
        </w:tc>
      </w:tr>
      <w:tr w:rsidR="00245172" w:rsidRPr="008D54A5" w14:paraId="63825B84" w14:textId="77777777" w:rsidTr="00B26FC1">
        <w:tc>
          <w:tcPr>
            <w:tcW w:w="937" w:type="pct"/>
          </w:tcPr>
          <w:p w14:paraId="3A48BE64" w14:textId="77777777" w:rsidR="00245172" w:rsidRPr="008D54A5" w:rsidRDefault="00245172" w:rsidP="00B26FC1">
            <w:pPr>
              <w:pStyle w:val="TableText-9"/>
            </w:pPr>
            <w:r w:rsidRPr="008D54A5">
              <w:t>MONTH</w:t>
            </w:r>
          </w:p>
        </w:tc>
        <w:tc>
          <w:tcPr>
            <w:tcW w:w="1829" w:type="pct"/>
          </w:tcPr>
          <w:p w14:paraId="13BCC89D" w14:textId="77777777" w:rsidR="00245172" w:rsidRPr="008D54A5" w:rsidRDefault="00245172" w:rsidP="00B26FC1">
            <w:pPr>
              <w:pStyle w:val="TableText-9"/>
            </w:pPr>
            <w:r w:rsidRPr="008D54A5">
              <w:t>Month of event begin date. Takes values 1-12. This is set to missing when the event begin date is missing.</w:t>
            </w:r>
          </w:p>
        </w:tc>
        <w:tc>
          <w:tcPr>
            <w:tcW w:w="2234" w:type="pct"/>
          </w:tcPr>
          <w:p w14:paraId="4C68F10C" w14:textId="77777777" w:rsidR="00245172" w:rsidRPr="008D54A5" w:rsidRDefault="00245172" w:rsidP="00B26FC1">
            <w:pPr>
              <w:pStyle w:val="TableText-9"/>
            </w:pPr>
            <w:r w:rsidRPr="008D54A5">
              <w:t xml:space="preserve">MONTH is a categorical variable in the matching. Two records agree if they have the same responses and disagree if responses differ. Equations (7.1, 7.2, and 7.3) are used to determine the field comparison score of </w:t>
            </w:r>
            <w:proofErr w:type="gramStart"/>
            <w:r w:rsidRPr="008D54A5">
              <w:t>MONTH</w:t>
            </w:r>
            <w:proofErr w:type="gramEnd"/>
            <w:r w:rsidRPr="008D54A5">
              <w:t>.</w:t>
            </w:r>
          </w:p>
          <w:p w14:paraId="70F4342B" w14:textId="77777777" w:rsidR="00245172" w:rsidRPr="008D54A5" w:rsidRDefault="00245172" w:rsidP="00B26FC1">
            <w:pPr>
              <w:pStyle w:val="TableText-9"/>
            </w:pPr>
            <w:r w:rsidRPr="008D54A5">
              <w:t>MONTH was not used at Pass 1.5 matching.</w:t>
            </w:r>
          </w:p>
        </w:tc>
      </w:tr>
      <w:tr w:rsidR="00245172" w:rsidRPr="008D54A5" w14:paraId="2173119B" w14:textId="77777777" w:rsidTr="00B26FC1">
        <w:tc>
          <w:tcPr>
            <w:tcW w:w="937" w:type="pct"/>
          </w:tcPr>
          <w:p w14:paraId="1AFDC793" w14:textId="77777777" w:rsidR="00245172" w:rsidRPr="008D54A5" w:rsidRDefault="00245172" w:rsidP="00B26FC1">
            <w:pPr>
              <w:pStyle w:val="TableText-9"/>
            </w:pPr>
            <w:r w:rsidRPr="008D54A5">
              <w:t>DAYWEEK</w:t>
            </w:r>
          </w:p>
        </w:tc>
        <w:tc>
          <w:tcPr>
            <w:tcW w:w="1829" w:type="pct"/>
          </w:tcPr>
          <w:p w14:paraId="14DE061B" w14:textId="77777777" w:rsidR="00245172" w:rsidRPr="008D54A5" w:rsidRDefault="00245172" w:rsidP="00B26FC1">
            <w:pPr>
              <w:pStyle w:val="TableText-9"/>
            </w:pPr>
            <w:r w:rsidRPr="008D54A5">
              <w:t>Day of week of event begin date. Takes values 1-7, with 1=Sunday, 2=Monday, etc. This is set to missing when the event begin date is missing.</w:t>
            </w:r>
          </w:p>
        </w:tc>
        <w:tc>
          <w:tcPr>
            <w:tcW w:w="2234" w:type="pct"/>
          </w:tcPr>
          <w:p w14:paraId="249CFA06" w14:textId="77777777" w:rsidR="00245172" w:rsidRPr="008D54A5" w:rsidRDefault="00245172" w:rsidP="00B26FC1">
            <w:pPr>
              <w:pStyle w:val="TableText-9"/>
            </w:pPr>
            <w:r w:rsidRPr="008D54A5">
              <w:t>DAYWEEK is a categorical variable in the matching. Two records agree if they have the same responses and disagree if responses differ. Equations (7.1, 7.2, and 7.3) are used to determine the field comparison score of DAYWEEK.</w:t>
            </w:r>
          </w:p>
          <w:p w14:paraId="35308535" w14:textId="77777777" w:rsidR="00245172" w:rsidRPr="008D54A5" w:rsidRDefault="00245172" w:rsidP="00B26FC1">
            <w:pPr>
              <w:pStyle w:val="TableText-9"/>
            </w:pPr>
            <w:r w:rsidRPr="008D54A5">
              <w:t>DAYWEEK was not used at Pass 1.5 matching.</w:t>
            </w:r>
          </w:p>
        </w:tc>
      </w:tr>
    </w:tbl>
    <w:p w14:paraId="5677287F" w14:textId="77777777" w:rsidR="00245172" w:rsidRPr="008D54A5" w:rsidRDefault="00245172" w:rsidP="00245172">
      <w:pPr>
        <w:pStyle w:val="tablecont"/>
        <w:rPr>
          <w:rFonts w:ascii="Arial" w:hAnsi="Arial" w:cs="Arial"/>
        </w:rPr>
      </w:pPr>
      <w:r w:rsidRPr="008D54A5">
        <w:rPr>
          <w:rFonts w:ascii="Arial" w:hAnsi="Arial" w:cs="Arial"/>
        </w:rPr>
        <w:t>(</w:t>
      </w:r>
      <w:r w:rsidRPr="008D54A5">
        <w:t>continued</w:t>
      </w:r>
      <w:r w:rsidRPr="008D54A5">
        <w:rPr>
          <w:rFonts w:ascii="Arial" w:hAnsi="Arial" w:cs="Arial"/>
        </w:rPr>
        <w:t>)</w:t>
      </w:r>
    </w:p>
    <w:p w14:paraId="34596B07" w14:textId="665BC563" w:rsidR="00245172" w:rsidRPr="008D54A5" w:rsidRDefault="00245172" w:rsidP="00245172">
      <w:pPr>
        <w:pStyle w:val="ExhibitTitlecontinued"/>
      </w:pPr>
      <w:r w:rsidRPr="00404E1F">
        <w:lastRenderedPageBreak/>
        <w:t>Exhibit </w:t>
      </w:r>
      <w:r w:rsidRPr="008D54A5">
        <w:t>8.4</w:t>
      </w:r>
      <w:r w:rsidRPr="008D54A5">
        <w:tab/>
        <w:t>Matching Variables in 2022 (continued)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526"/>
        <w:gridCol w:w="3330"/>
        <w:gridCol w:w="4494"/>
      </w:tblGrid>
      <w:tr w:rsidR="00245172" w:rsidRPr="008D54A5" w14:paraId="6003311D" w14:textId="77777777" w:rsidTr="00B26FC1">
        <w:trPr>
          <w:cantSplit/>
          <w:trHeight w:val="20"/>
        </w:trPr>
        <w:tc>
          <w:tcPr>
            <w:tcW w:w="816" w:type="pct"/>
            <w:shd w:val="pct20" w:color="auto" w:fill="auto"/>
            <w:vAlign w:val="bottom"/>
          </w:tcPr>
          <w:p w14:paraId="656BABAE" w14:textId="77777777" w:rsidR="00245172" w:rsidRPr="008D54A5" w:rsidRDefault="00245172" w:rsidP="00B26FC1">
            <w:pPr>
              <w:pStyle w:val="TableHeading-9"/>
            </w:pPr>
            <w:r w:rsidRPr="008D54A5">
              <w:t>Variable</w:t>
            </w:r>
          </w:p>
        </w:tc>
        <w:tc>
          <w:tcPr>
            <w:tcW w:w="1781" w:type="pct"/>
            <w:shd w:val="pct20" w:color="auto" w:fill="auto"/>
            <w:vAlign w:val="bottom"/>
          </w:tcPr>
          <w:p w14:paraId="6EA61EA1" w14:textId="77777777" w:rsidR="00245172" w:rsidRPr="008D54A5" w:rsidRDefault="00245172" w:rsidP="00B26FC1">
            <w:pPr>
              <w:pStyle w:val="TableHeading-9"/>
            </w:pPr>
            <w:r w:rsidRPr="008D54A5">
              <w:t>Definition</w:t>
            </w:r>
          </w:p>
        </w:tc>
        <w:tc>
          <w:tcPr>
            <w:tcW w:w="2403" w:type="pct"/>
            <w:shd w:val="pct20" w:color="auto" w:fill="auto"/>
          </w:tcPr>
          <w:p w14:paraId="75F20052" w14:textId="77777777" w:rsidR="00245172" w:rsidRPr="008D54A5" w:rsidRDefault="00245172" w:rsidP="00B26FC1">
            <w:pPr>
              <w:pStyle w:val="TableHeading-9"/>
            </w:pPr>
            <w:r w:rsidRPr="008D54A5">
              <w:t>Use in the Construction of a Match Weight</w:t>
            </w:r>
          </w:p>
        </w:tc>
      </w:tr>
      <w:tr w:rsidR="00245172" w:rsidRPr="008D54A5" w14:paraId="71F0E35D" w14:textId="77777777" w:rsidTr="00B26FC1">
        <w:trPr>
          <w:cantSplit/>
          <w:trHeight w:val="20"/>
        </w:trPr>
        <w:tc>
          <w:tcPr>
            <w:tcW w:w="816" w:type="pct"/>
          </w:tcPr>
          <w:p w14:paraId="758011F4" w14:textId="77777777" w:rsidR="00245172" w:rsidRPr="008D54A5" w:rsidRDefault="00245172" w:rsidP="00B26FC1">
            <w:pPr>
              <w:pStyle w:val="TableText-9"/>
            </w:pPr>
            <w:r w:rsidRPr="008D54A5">
              <w:t>ROUND</w:t>
            </w:r>
          </w:p>
        </w:tc>
        <w:tc>
          <w:tcPr>
            <w:tcW w:w="1781" w:type="pct"/>
          </w:tcPr>
          <w:p w14:paraId="4D3DB779" w14:textId="77777777" w:rsidR="00245172" w:rsidRPr="008D54A5" w:rsidRDefault="00245172" w:rsidP="00B26FC1">
            <w:pPr>
              <w:pStyle w:val="TableText-9"/>
            </w:pPr>
            <w:r w:rsidRPr="008D54A5">
              <w:t>HC data collection round number of event begin date. This is set to 0 when the round for the MPC event could not be inferred from the dates of the HC rounds for the person.</w:t>
            </w:r>
          </w:p>
        </w:tc>
        <w:tc>
          <w:tcPr>
            <w:tcW w:w="2403" w:type="pct"/>
          </w:tcPr>
          <w:p w14:paraId="53B48448" w14:textId="77777777" w:rsidR="00245172" w:rsidRPr="008D54A5" w:rsidRDefault="00245172" w:rsidP="00B26FC1">
            <w:pPr>
              <w:pStyle w:val="TableText-9"/>
            </w:pPr>
            <w:r w:rsidRPr="008D54A5">
              <w:t xml:space="preserve">ROUND is a categorical variable in the matching. Two records agree if they have the same responses and disagree if responses differ. Equations (7.1, 7.2, and 7.3) are used to determine the field comparison score of </w:t>
            </w:r>
            <w:proofErr w:type="gramStart"/>
            <w:r w:rsidRPr="008D54A5">
              <w:t>ROUND</w:t>
            </w:r>
            <w:proofErr w:type="gramEnd"/>
            <w:r w:rsidRPr="008D54A5">
              <w:t>.</w:t>
            </w:r>
          </w:p>
          <w:p w14:paraId="4F43AA80" w14:textId="77777777" w:rsidR="00245172" w:rsidRPr="008D54A5" w:rsidRDefault="00245172" w:rsidP="00B26FC1">
            <w:pPr>
              <w:pStyle w:val="TableText-9"/>
            </w:pPr>
            <w:r w:rsidRPr="008D54A5">
              <w:t>ROUND was not used for the Pass 1.5 matching. ROUND has values 1 – 9 in the 2021 MPC.</w:t>
            </w:r>
          </w:p>
        </w:tc>
      </w:tr>
      <w:tr w:rsidR="00245172" w:rsidRPr="008D54A5" w14:paraId="4B8B7DF8" w14:textId="77777777" w:rsidTr="00B26FC1">
        <w:trPr>
          <w:cantSplit/>
          <w:trHeight w:val="20"/>
        </w:trPr>
        <w:tc>
          <w:tcPr>
            <w:tcW w:w="816" w:type="pct"/>
          </w:tcPr>
          <w:p w14:paraId="414F5215" w14:textId="77777777" w:rsidR="00245172" w:rsidRPr="008D54A5" w:rsidRDefault="00245172" w:rsidP="00B26FC1">
            <w:pPr>
              <w:pStyle w:val="TableText-9"/>
            </w:pPr>
            <w:r w:rsidRPr="008D54A5">
              <w:t xml:space="preserve">FLAG1, FLAG2, FLAG3 </w:t>
            </w:r>
          </w:p>
        </w:tc>
        <w:tc>
          <w:tcPr>
            <w:tcW w:w="1781" w:type="pct"/>
          </w:tcPr>
          <w:p w14:paraId="1B0CCDAB" w14:textId="5D10B256" w:rsidR="00245172" w:rsidRPr="008D54A5" w:rsidRDefault="00245172" w:rsidP="00B26FC1">
            <w:pPr>
              <w:pStyle w:val="TableText-9"/>
            </w:pPr>
            <w:r w:rsidRPr="008D54A5">
              <w:t>Yes/no indicators for surgery, radiology, and laboratory (based on CPT/BETOS codes)</w:t>
            </w:r>
          </w:p>
        </w:tc>
        <w:tc>
          <w:tcPr>
            <w:tcW w:w="2403" w:type="pct"/>
          </w:tcPr>
          <w:p w14:paraId="553ACB06" w14:textId="649667FA" w:rsidR="00245172" w:rsidRPr="008D54A5" w:rsidRDefault="00245172" w:rsidP="00B26FC1">
            <w:pPr>
              <w:pStyle w:val="TableText-9"/>
            </w:pPr>
            <w:r w:rsidRPr="008D54A5">
              <w:t xml:space="preserve">The three </w:t>
            </w:r>
            <w:proofErr w:type="gramStart"/>
            <w:r w:rsidRPr="008D54A5">
              <w:t>FLAG</w:t>
            </w:r>
            <w:proofErr w:type="gramEnd"/>
            <w:r w:rsidRPr="008D54A5">
              <w:t xml:space="preserve"># variables were considered an </w:t>
            </w:r>
            <w:r w:rsidRPr="008D54A5">
              <w:rPr>
                <w:bCs/>
              </w:rPr>
              <w:t>array set</w:t>
            </w:r>
            <w:r w:rsidRPr="008D54A5">
              <w:t xml:space="preserve"> when computing a match weight.  </w:t>
            </w:r>
          </w:p>
        </w:tc>
      </w:tr>
      <w:tr w:rsidR="00245172" w:rsidRPr="008D54A5" w14:paraId="6BA63DC3" w14:textId="77777777" w:rsidTr="00B26FC1">
        <w:trPr>
          <w:cantSplit/>
          <w:trHeight w:val="20"/>
        </w:trPr>
        <w:tc>
          <w:tcPr>
            <w:tcW w:w="816" w:type="pct"/>
          </w:tcPr>
          <w:p w14:paraId="416C764D" w14:textId="2EC6360E" w:rsidR="00245172" w:rsidRPr="008D54A5" w:rsidRDefault="00245172" w:rsidP="00B26FC1">
            <w:pPr>
              <w:pStyle w:val="TableText-9"/>
            </w:pPr>
            <w:r w:rsidRPr="008D54A5">
              <w:t>C700-C781, C797, C798, C799</w:t>
            </w:r>
          </w:p>
        </w:tc>
        <w:tc>
          <w:tcPr>
            <w:tcW w:w="1781" w:type="pct"/>
          </w:tcPr>
          <w:p w14:paraId="79032E54" w14:textId="7744E223" w:rsidR="00245172" w:rsidRPr="008D54A5" w:rsidRDefault="00245172" w:rsidP="00B26FC1">
            <w:pPr>
              <w:pStyle w:val="TableText-9"/>
            </w:pPr>
            <w:r w:rsidRPr="008D54A5">
              <w:t xml:space="preserve">Yes/no condition indicators (recode of ICDCND)  </w:t>
            </w:r>
          </w:p>
        </w:tc>
        <w:tc>
          <w:tcPr>
            <w:tcW w:w="2403" w:type="pct"/>
          </w:tcPr>
          <w:p w14:paraId="0A153BDD" w14:textId="28A45C37" w:rsidR="00245172" w:rsidRPr="008D54A5" w:rsidRDefault="00245172" w:rsidP="00B26FC1">
            <w:pPr>
              <w:pStyle w:val="TableText-9"/>
            </w:pPr>
            <w:r w:rsidRPr="008D54A5">
              <w:t xml:space="preserve">The 85 C# variables were considered an </w:t>
            </w:r>
            <w:r w:rsidRPr="008D54A5">
              <w:rPr>
                <w:bCs/>
              </w:rPr>
              <w:t>array set</w:t>
            </w:r>
            <w:r w:rsidRPr="008D54A5">
              <w:t xml:space="preserve"> when computing a match weight.</w:t>
            </w:r>
          </w:p>
        </w:tc>
      </w:tr>
      <w:tr w:rsidR="00245172" w:rsidRPr="008D54A5" w14:paraId="7C68D011" w14:textId="77777777" w:rsidTr="00B26FC1">
        <w:trPr>
          <w:cantSplit/>
          <w:trHeight w:val="20"/>
        </w:trPr>
        <w:tc>
          <w:tcPr>
            <w:tcW w:w="816" w:type="pct"/>
          </w:tcPr>
          <w:p w14:paraId="639C4FAF" w14:textId="77777777" w:rsidR="00245172" w:rsidRPr="008D54A5" w:rsidRDefault="00245172" w:rsidP="00B26FC1">
            <w:pPr>
              <w:pStyle w:val="TableText-9"/>
            </w:pPr>
            <w:r w:rsidRPr="008D54A5">
              <w:t>INPATIENT</w:t>
            </w:r>
          </w:p>
        </w:tc>
        <w:tc>
          <w:tcPr>
            <w:tcW w:w="1781" w:type="pct"/>
          </w:tcPr>
          <w:p w14:paraId="7EA9D180" w14:textId="77777777" w:rsidR="00245172" w:rsidRPr="008D54A5" w:rsidRDefault="00245172" w:rsidP="00B26FC1">
            <w:pPr>
              <w:pStyle w:val="TableText-9"/>
            </w:pPr>
            <w:r w:rsidRPr="008D54A5">
              <w:t>Yes/no indicator if event type was an inpatient stay</w:t>
            </w:r>
          </w:p>
        </w:tc>
        <w:tc>
          <w:tcPr>
            <w:tcW w:w="2403" w:type="pct"/>
          </w:tcPr>
          <w:p w14:paraId="53D70F0A" w14:textId="77777777" w:rsidR="00245172" w:rsidRPr="008D54A5" w:rsidRDefault="00245172" w:rsidP="00B26FC1">
            <w:pPr>
              <w:pStyle w:val="TableText-9"/>
            </w:pPr>
            <w:r w:rsidRPr="008D54A5">
              <w:t xml:space="preserve">INPATIENT is a categorical variable in the matching. Two records agree if they have the same responses and disagree if responses differ. Equations (7.1, 7.2, and 7.3) are used to determine the field comparison score of </w:t>
            </w:r>
            <w:proofErr w:type="gramStart"/>
            <w:r w:rsidRPr="008D54A5">
              <w:t>INPATIENT</w:t>
            </w:r>
            <w:proofErr w:type="gramEnd"/>
            <w:r w:rsidRPr="008D54A5">
              <w:t>.</w:t>
            </w:r>
          </w:p>
        </w:tc>
      </w:tr>
      <w:tr w:rsidR="00245172" w:rsidRPr="008D54A5" w14:paraId="1BBE46C1" w14:textId="77777777" w:rsidTr="00B26FC1">
        <w:trPr>
          <w:cantSplit/>
          <w:trHeight w:val="20"/>
        </w:trPr>
        <w:tc>
          <w:tcPr>
            <w:tcW w:w="816" w:type="pct"/>
          </w:tcPr>
          <w:p w14:paraId="5C03096B" w14:textId="77777777" w:rsidR="00245172" w:rsidRPr="008D54A5" w:rsidRDefault="00245172" w:rsidP="00B26FC1">
            <w:pPr>
              <w:pStyle w:val="TableText-9"/>
            </w:pPr>
            <w:r w:rsidRPr="008D54A5">
              <w:t>DONT1</w:t>
            </w:r>
          </w:p>
        </w:tc>
        <w:tc>
          <w:tcPr>
            <w:tcW w:w="1781" w:type="pct"/>
          </w:tcPr>
          <w:p w14:paraId="7B8D47C7" w14:textId="77777777" w:rsidR="00245172" w:rsidRPr="008D54A5" w:rsidRDefault="00245172" w:rsidP="00B26FC1">
            <w:pPr>
              <w:pStyle w:val="TableText-9"/>
            </w:pPr>
            <w:r w:rsidRPr="008D54A5">
              <w:t>This variable was set equal to:</w:t>
            </w:r>
          </w:p>
          <w:p w14:paraId="76078B6F" w14:textId="77777777" w:rsidR="00245172" w:rsidRPr="008D54A5" w:rsidRDefault="00245172" w:rsidP="00B26FC1">
            <w:pPr>
              <w:pStyle w:val="TableText-9"/>
            </w:pPr>
            <w:r w:rsidRPr="008D54A5">
              <w:t>1=For hospital</w:t>
            </w:r>
            <w:r w:rsidRPr="008D54A5" w:rsidDel="007A339A">
              <w:t xml:space="preserve"> </w:t>
            </w:r>
            <w:r w:rsidRPr="008D54A5">
              <w:t>stays of 0,1 nights</w:t>
            </w:r>
          </w:p>
          <w:p w14:paraId="1A7D2221" w14:textId="77777777" w:rsidR="00245172" w:rsidRPr="008D54A5" w:rsidRDefault="00245172" w:rsidP="00B26FC1">
            <w:pPr>
              <w:pStyle w:val="TableText-9"/>
            </w:pPr>
            <w:r w:rsidRPr="008D54A5">
              <w:t>2=For medical events</w:t>
            </w:r>
          </w:p>
          <w:p w14:paraId="4D9308C1" w14:textId="77777777" w:rsidR="00245172" w:rsidRPr="008D54A5" w:rsidRDefault="00245172" w:rsidP="00B26FC1">
            <w:pPr>
              <w:pStyle w:val="TableText-9"/>
            </w:pPr>
            <w:r w:rsidRPr="008D54A5">
              <w:t>3=Otherwise</w:t>
            </w:r>
          </w:p>
        </w:tc>
        <w:tc>
          <w:tcPr>
            <w:tcW w:w="2403" w:type="pct"/>
          </w:tcPr>
          <w:p w14:paraId="1CC3B9DE" w14:textId="77777777" w:rsidR="00245172" w:rsidRPr="008D54A5" w:rsidRDefault="00245172" w:rsidP="00B26FC1">
            <w:pPr>
              <w:pStyle w:val="TableText-9"/>
            </w:pPr>
            <w:r w:rsidRPr="008D54A5">
              <w:t>This variable was used to prevent certain types of events from matching in Pass 1. See Comment 4.</w:t>
            </w:r>
          </w:p>
        </w:tc>
      </w:tr>
      <w:tr w:rsidR="00245172" w:rsidRPr="008D54A5" w14:paraId="4E089C1A" w14:textId="77777777" w:rsidTr="00B26FC1">
        <w:trPr>
          <w:cantSplit/>
          <w:trHeight w:val="20"/>
        </w:trPr>
        <w:tc>
          <w:tcPr>
            <w:tcW w:w="816" w:type="pct"/>
          </w:tcPr>
          <w:p w14:paraId="6DAD0A11" w14:textId="77777777" w:rsidR="00245172" w:rsidRPr="008D54A5" w:rsidRDefault="00245172" w:rsidP="00B26FC1">
            <w:pPr>
              <w:pStyle w:val="TableText-9"/>
            </w:pPr>
            <w:r w:rsidRPr="008D54A5">
              <w:t>DONT2</w:t>
            </w:r>
          </w:p>
        </w:tc>
        <w:tc>
          <w:tcPr>
            <w:tcW w:w="1781" w:type="pct"/>
          </w:tcPr>
          <w:p w14:paraId="2268119C" w14:textId="77777777" w:rsidR="00245172" w:rsidRPr="008D54A5" w:rsidRDefault="00245172" w:rsidP="00B26FC1">
            <w:pPr>
              <w:pStyle w:val="TableText-9"/>
            </w:pPr>
            <w:r w:rsidRPr="008D54A5">
              <w:t>This variable was set equal to:</w:t>
            </w:r>
          </w:p>
          <w:p w14:paraId="0D7842A6" w14:textId="77777777" w:rsidR="00245172" w:rsidRPr="008D54A5" w:rsidRDefault="00245172" w:rsidP="00B26FC1">
            <w:pPr>
              <w:pStyle w:val="TableText-9"/>
            </w:pPr>
            <w:r w:rsidRPr="008D54A5">
              <w:t>1=For hospital stays of 2 nights</w:t>
            </w:r>
          </w:p>
          <w:p w14:paraId="59A19DE4" w14:textId="77777777" w:rsidR="00245172" w:rsidRPr="008D54A5" w:rsidRDefault="00245172" w:rsidP="00B26FC1">
            <w:pPr>
              <w:pStyle w:val="TableText-9"/>
            </w:pPr>
            <w:r w:rsidRPr="008D54A5">
              <w:t>2=For HC outpatient events (no surgery); MPC outpatient events without indication of observation (no surgery), medical visit or ER events</w:t>
            </w:r>
          </w:p>
          <w:p w14:paraId="28330786" w14:textId="77777777" w:rsidR="00245172" w:rsidRPr="008D54A5" w:rsidRDefault="00245172" w:rsidP="00B26FC1">
            <w:pPr>
              <w:pStyle w:val="TableText-9"/>
            </w:pPr>
            <w:r w:rsidRPr="008D54A5">
              <w:t>3=Otherwise</w:t>
            </w:r>
          </w:p>
        </w:tc>
        <w:tc>
          <w:tcPr>
            <w:tcW w:w="2403" w:type="pct"/>
          </w:tcPr>
          <w:p w14:paraId="48B47566" w14:textId="77777777" w:rsidR="00245172" w:rsidRPr="008D54A5" w:rsidRDefault="00245172" w:rsidP="00B26FC1">
            <w:pPr>
              <w:pStyle w:val="TableText-9"/>
            </w:pPr>
            <w:r w:rsidRPr="008D54A5">
              <w:t>This variable was used to prevent certain types of events from matching in Pass 1. See Comment 4.</w:t>
            </w:r>
          </w:p>
        </w:tc>
      </w:tr>
      <w:tr w:rsidR="00245172" w:rsidRPr="008D54A5" w14:paraId="0C5B0A31" w14:textId="77777777" w:rsidTr="00B26FC1">
        <w:trPr>
          <w:cantSplit/>
          <w:trHeight w:val="20"/>
        </w:trPr>
        <w:tc>
          <w:tcPr>
            <w:tcW w:w="816" w:type="pct"/>
          </w:tcPr>
          <w:p w14:paraId="3B596750" w14:textId="77777777" w:rsidR="00245172" w:rsidRPr="008D54A5" w:rsidRDefault="00245172" w:rsidP="00B26FC1">
            <w:pPr>
              <w:pStyle w:val="TableText-9"/>
            </w:pPr>
            <w:r w:rsidRPr="008D54A5">
              <w:t>DONT3</w:t>
            </w:r>
          </w:p>
        </w:tc>
        <w:tc>
          <w:tcPr>
            <w:tcW w:w="1781" w:type="pct"/>
          </w:tcPr>
          <w:p w14:paraId="6FDD480B" w14:textId="77777777" w:rsidR="00245172" w:rsidRPr="008D54A5" w:rsidRDefault="00245172" w:rsidP="00B26FC1">
            <w:pPr>
              <w:pStyle w:val="TableText-9"/>
            </w:pPr>
            <w:r w:rsidRPr="008D54A5">
              <w:t>This variable was set equal to:</w:t>
            </w:r>
          </w:p>
          <w:p w14:paraId="1721C1FD" w14:textId="77777777" w:rsidR="00245172" w:rsidRPr="008D54A5" w:rsidRDefault="00245172" w:rsidP="00B26FC1">
            <w:pPr>
              <w:pStyle w:val="TableText-9"/>
            </w:pPr>
            <w:r w:rsidRPr="008D54A5">
              <w:t>1=For hospital stays of 3+ nights</w:t>
            </w:r>
          </w:p>
          <w:p w14:paraId="051BC149" w14:textId="77777777" w:rsidR="00245172" w:rsidRPr="008D54A5" w:rsidRDefault="00245172" w:rsidP="00B26FC1">
            <w:pPr>
              <w:pStyle w:val="TableText-9"/>
            </w:pPr>
            <w:r w:rsidRPr="008D54A5">
              <w:t>2=For HC outpatient events, MPC outpatient events without indication of observation, medical visit, or ER events</w:t>
            </w:r>
          </w:p>
          <w:p w14:paraId="14D2ADBE" w14:textId="77777777" w:rsidR="00245172" w:rsidRPr="008D54A5" w:rsidRDefault="00245172" w:rsidP="00B26FC1">
            <w:pPr>
              <w:pStyle w:val="TableText-9"/>
            </w:pPr>
            <w:r w:rsidRPr="008D54A5">
              <w:t>3=Otherwise</w:t>
            </w:r>
          </w:p>
        </w:tc>
        <w:tc>
          <w:tcPr>
            <w:tcW w:w="2403" w:type="pct"/>
          </w:tcPr>
          <w:p w14:paraId="7160098B" w14:textId="77777777" w:rsidR="00245172" w:rsidRPr="008D54A5" w:rsidRDefault="00245172" w:rsidP="00B26FC1">
            <w:pPr>
              <w:pStyle w:val="TableText-9"/>
            </w:pPr>
            <w:r w:rsidRPr="008D54A5">
              <w:t>This variable was used to prevent certain types of events from matching in Pass 1. See Comment 4.</w:t>
            </w:r>
          </w:p>
        </w:tc>
      </w:tr>
      <w:tr w:rsidR="00245172" w:rsidRPr="008D54A5" w14:paraId="5DD19AC0" w14:textId="77777777" w:rsidTr="00B26FC1">
        <w:trPr>
          <w:cantSplit/>
          <w:trHeight w:val="20"/>
        </w:trPr>
        <w:tc>
          <w:tcPr>
            <w:tcW w:w="816" w:type="pct"/>
          </w:tcPr>
          <w:p w14:paraId="1BA2B479" w14:textId="77777777" w:rsidR="00245172" w:rsidRPr="008D54A5" w:rsidRDefault="00245172" w:rsidP="00B26FC1">
            <w:pPr>
              <w:pStyle w:val="TableText-9"/>
            </w:pPr>
            <w:r w:rsidRPr="008D54A5">
              <w:t>DONT4</w:t>
            </w:r>
          </w:p>
        </w:tc>
        <w:tc>
          <w:tcPr>
            <w:tcW w:w="1781" w:type="pct"/>
          </w:tcPr>
          <w:p w14:paraId="4BF2420D" w14:textId="77777777" w:rsidR="00245172" w:rsidRPr="008D54A5" w:rsidRDefault="00245172" w:rsidP="00B26FC1">
            <w:pPr>
              <w:pStyle w:val="TableText-9"/>
            </w:pPr>
            <w:r w:rsidRPr="008D54A5">
              <w:t xml:space="preserve">This variable was set equal to: </w:t>
            </w:r>
          </w:p>
          <w:p w14:paraId="27DCBA20" w14:textId="77777777" w:rsidR="00245172" w:rsidRPr="008D54A5" w:rsidRDefault="00245172" w:rsidP="00B26FC1">
            <w:pPr>
              <w:pStyle w:val="TableText-9"/>
            </w:pPr>
            <w:r w:rsidRPr="008D54A5">
              <w:t>1=For MPC outpatient stays classified as observation stays</w:t>
            </w:r>
          </w:p>
          <w:p w14:paraId="59DD2974" w14:textId="77777777" w:rsidR="00245172" w:rsidRPr="008D54A5" w:rsidRDefault="00245172" w:rsidP="00B26FC1">
            <w:pPr>
              <w:pStyle w:val="TableText-9"/>
            </w:pPr>
            <w:r w:rsidRPr="008D54A5">
              <w:t>3=all other event types</w:t>
            </w:r>
          </w:p>
        </w:tc>
        <w:tc>
          <w:tcPr>
            <w:tcW w:w="2403" w:type="pct"/>
          </w:tcPr>
          <w:p w14:paraId="148C1A17" w14:textId="77777777" w:rsidR="00245172" w:rsidRPr="008D54A5" w:rsidRDefault="00245172" w:rsidP="00B26FC1">
            <w:pPr>
              <w:pStyle w:val="TableText-9"/>
            </w:pPr>
            <w:r w:rsidRPr="008D54A5">
              <w:t>This variable allowed the MPC outpatient stays to match with any of the HC event types at Pass 1, including inpatient events.</w:t>
            </w:r>
          </w:p>
        </w:tc>
      </w:tr>
      <w:tr w:rsidR="00245172" w:rsidRPr="008D54A5" w14:paraId="3431C4E6" w14:textId="77777777" w:rsidTr="00B26FC1">
        <w:trPr>
          <w:cantSplit/>
          <w:trHeight w:val="20"/>
        </w:trPr>
        <w:tc>
          <w:tcPr>
            <w:tcW w:w="816" w:type="pct"/>
          </w:tcPr>
          <w:p w14:paraId="4D2AB302" w14:textId="77777777" w:rsidR="00245172" w:rsidRPr="008D54A5" w:rsidRDefault="00245172" w:rsidP="00B26FC1">
            <w:pPr>
              <w:pStyle w:val="TableText-9"/>
            </w:pPr>
            <w:r w:rsidRPr="008D54A5">
              <w:t>DONT5</w:t>
            </w:r>
          </w:p>
        </w:tc>
        <w:tc>
          <w:tcPr>
            <w:tcW w:w="1781" w:type="pct"/>
          </w:tcPr>
          <w:p w14:paraId="7A2225D8" w14:textId="77777777" w:rsidR="00245172" w:rsidRPr="008D54A5" w:rsidRDefault="00245172" w:rsidP="00B26FC1">
            <w:pPr>
              <w:pStyle w:val="TableText-9"/>
            </w:pPr>
            <w:r w:rsidRPr="008D54A5">
              <w:t>This variable was set equal to:</w:t>
            </w:r>
          </w:p>
          <w:p w14:paraId="0B12D2AC" w14:textId="77777777" w:rsidR="00245172" w:rsidRPr="008D54A5" w:rsidRDefault="00245172" w:rsidP="00B26FC1">
            <w:pPr>
              <w:pStyle w:val="TableText-9"/>
            </w:pPr>
            <w:r w:rsidRPr="008D54A5">
              <w:t>1=For HC MV events</w:t>
            </w:r>
          </w:p>
          <w:p w14:paraId="6C28C60E" w14:textId="77777777" w:rsidR="00245172" w:rsidRPr="008D54A5" w:rsidRDefault="00245172" w:rsidP="00B26FC1">
            <w:pPr>
              <w:pStyle w:val="TableText-9"/>
            </w:pPr>
            <w:r w:rsidRPr="008D54A5">
              <w:t>2=For MPC ER events that are linked to any inpatient event</w:t>
            </w:r>
          </w:p>
          <w:p w14:paraId="7343026A" w14:textId="77777777" w:rsidR="00245172" w:rsidRPr="008D54A5" w:rsidRDefault="00245172" w:rsidP="00B26FC1">
            <w:pPr>
              <w:pStyle w:val="TableText-9"/>
            </w:pPr>
            <w:r w:rsidRPr="008D54A5">
              <w:t>3=Otherwise</w:t>
            </w:r>
          </w:p>
        </w:tc>
        <w:tc>
          <w:tcPr>
            <w:tcW w:w="2403" w:type="pct"/>
          </w:tcPr>
          <w:p w14:paraId="6CC09C1C" w14:textId="77777777" w:rsidR="00245172" w:rsidRPr="008D54A5" w:rsidRDefault="00245172" w:rsidP="00B26FC1">
            <w:pPr>
              <w:pStyle w:val="TableText-9"/>
              <w:tabs>
                <w:tab w:val="left" w:pos="216"/>
              </w:tabs>
            </w:pPr>
            <w:r w:rsidRPr="008D54A5">
              <w:t>This variable prevents HC MV events from matching with MPC ER events that are linked to an inpatient stay at Pass 1. See Comment 4.</w:t>
            </w:r>
          </w:p>
        </w:tc>
      </w:tr>
      <w:tr w:rsidR="00245172" w:rsidRPr="008D54A5" w14:paraId="707DE042" w14:textId="77777777" w:rsidTr="00B26FC1">
        <w:trPr>
          <w:cantSplit/>
          <w:trHeight w:val="20"/>
        </w:trPr>
        <w:tc>
          <w:tcPr>
            <w:tcW w:w="816" w:type="pct"/>
          </w:tcPr>
          <w:p w14:paraId="745B8697" w14:textId="77777777" w:rsidR="00245172" w:rsidRPr="008D54A5" w:rsidRDefault="00245172" w:rsidP="00B26FC1">
            <w:pPr>
              <w:pStyle w:val="TableText-9"/>
            </w:pPr>
            <w:r w:rsidRPr="008D54A5">
              <w:t>DONT6</w:t>
            </w:r>
          </w:p>
        </w:tc>
        <w:tc>
          <w:tcPr>
            <w:tcW w:w="1781" w:type="pct"/>
          </w:tcPr>
          <w:p w14:paraId="7647434B" w14:textId="77777777" w:rsidR="00245172" w:rsidRPr="008D54A5" w:rsidRDefault="00245172" w:rsidP="00B26FC1">
            <w:pPr>
              <w:pStyle w:val="TableText-9"/>
            </w:pPr>
            <w:r w:rsidRPr="008D54A5">
              <w:t>This variable was set equal to:</w:t>
            </w:r>
          </w:p>
          <w:p w14:paraId="26ED7894" w14:textId="77777777" w:rsidR="00245172" w:rsidRPr="008D54A5" w:rsidRDefault="00245172" w:rsidP="00B26FC1">
            <w:pPr>
              <w:pStyle w:val="TableText-9"/>
            </w:pPr>
            <w:r w:rsidRPr="008D54A5">
              <w:t>1=For HC OP events without surgery</w:t>
            </w:r>
          </w:p>
          <w:p w14:paraId="7F3781A1" w14:textId="77777777" w:rsidR="00245172" w:rsidRPr="008D54A5" w:rsidRDefault="00245172" w:rsidP="00B26FC1">
            <w:pPr>
              <w:pStyle w:val="TableText-9"/>
            </w:pPr>
            <w:r w:rsidRPr="008D54A5">
              <w:t>2=For MPC ER events that are linked to inpatient events with 2 or more nights</w:t>
            </w:r>
          </w:p>
          <w:p w14:paraId="0F7502B7" w14:textId="77777777" w:rsidR="00245172" w:rsidRPr="008D54A5" w:rsidRDefault="00245172" w:rsidP="00B26FC1">
            <w:pPr>
              <w:pStyle w:val="TableText-9"/>
            </w:pPr>
            <w:r w:rsidRPr="008D54A5">
              <w:t>3=Otherwise</w:t>
            </w:r>
          </w:p>
        </w:tc>
        <w:tc>
          <w:tcPr>
            <w:tcW w:w="2403" w:type="pct"/>
          </w:tcPr>
          <w:p w14:paraId="16F5D876" w14:textId="77777777" w:rsidR="00245172" w:rsidRPr="008D54A5" w:rsidRDefault="00245172" w:rsidP="00B26FC1">
            <w:pPr>
              <w:pStyle w:val="TableText-9"/>
            </w:pPr>
            <w:r w:rsidRPr="008D54A5">
              <w:t>This variable prevents HC OP events without surgery from matching with MPC ER events that are linked to inpatient stays with 2 or more nights at Pass 1. See Comment 4.</w:t>
            </w:r>
          </w:p>
        </w:tc>
      </w:tr>
      <w:tr w:rsidR="00245172" w:rsidRPr="008D54A5" w14:paraId="0F27485A" w14:textId="77777777" w:rsidTr="00B26FC1">
        <w:trPr>
          <w:cantSplit/>
          <w:trHeight w:val="20"/>
        </w:trPr>
        <w:tc>
          <w:tcPr>
            <w:tcW w:w="816" w:type="pct"/>
          </w:tcPr>
          <w:p w14:paraId="2811496D" w14:textId="77777777" w:rsidR="00245172" w:rsidRPr="008D54A5" w:rsidRDefault="00245172" w:rsidP="00B26FC1">
            <w:pPr>
              <w:pStyle w:val="TableText-9"/>
            </w:pPr>
            <w:r w:rsidRPr="008D54A5">
              <w:t>DONT7</w:t>
            </w:r>
          </w:p>
        </w:tc>
        <w:tc>
          <w:tcPr>
            <w:tcW w:w="1781" w:type="pct"/>
          </w:tcPr>
          <w:p w14:paraId="3A3AA168" w14:textId="77777777" w:rsidR="00245172" w:rsidRPr="008D54A5" w:rsidRDefault="00245172" w:rsidP="00B26FC1">
            <w:pPr>
              <w:pStyle w:val="TableText-9"/>
            </w:pPr>
            <w:r w:rsidRPr="008D54A5">
              <w:t>This variable was set equal to:</w:t>
            </w:r>
          </w:p>
          <w:p w14:paraId="764EDF35" w14:textId="77777777" w:rsidR="00245172" w:rsidRPr="008D54A5" w:rsidRDefault="00245172" w:rsidP="00B26FC1">
            <w:pPr>
              <w:pStyle w:val="TableText-9"/>
            </w:pPr>
            <w:r w:rsidRPr="008D54A5">
              <w:t>1=For HC OP events with surgery</w:t>
            </w:r>
          </w:p>
          <w:p w14:paraId="4AD5D895" w14:textId="77777777" w:rsidR="00245172" w:rsidRPr="008D54A5" w:rsidRDefault="00245172" w:rsidP="00B26FC1">
            <w:pPr>
              <w:pStyle w:val="TableText-9"/>
            </w:pPr>
            <w:r w:rsidRPr="008D54A5">
              <w:t>2=For MPC ER events that are linked to inpatient events with 3 or more nights</w:t>
            </w:r>
          </w:p>
          <w:p w14:paraId="08E2AE5D" w14:textId="77777777" w:rsidR="00245172" w:rsidRPr="008D54A5" w:rsidRDefault="00245172" w:rsidP="00B26FC1">
            <w:pPr>
              <w:pStyle w:val="TableText-9"/>
            </w:pPr>
            <w:r w:rsidRPr="008D54A5">
              <w:t xml:space="preserve">3=Otherwise </w:t>
            </w:r>
          </w:p>
        </w:tc>
        <w:tc>
          <w:tcPr>
            <w:tcW w:w="2403" w:type="pct"/>
          </w:tcPr>
          <w:p w14:paraId="7B47DE47" w14:textId="77777777" w:rsidR="00245172" w:rsidRPr="008D54A5" w:rsidRDefault="00245172" w:rsidP="00B26FC1">
            <w:pPr>
              <w:pStyle w:val="TableText-9"/>
            </w:pPr>
            <w:r w:rsidRPr="008D54A5">
              <w:t>This variable prevents HC OP events with surgery from matching with MPC ER events that are linked to inpatient stays of 3 or more nights at Pass 1. See Comment 4.</w:t>
            </w:r>
          </w:p>
        </w:tc>
      </w:tr>
    </w:tbl>
    <w:p w14:paraId="710F503A" w14:textId="77777777" w:rsidR="00245172" w:rsidRPr="008D54A5" w:rsidRDefault="00245172" w:rsidP="00245172">
      <w:r w:rsidRPr="008D54A5">
        <w:br w:type="page"/>
      </w:r>
    </w:p>
    <w:p w14:paraId="7385AF5D" w14:textId="7DC70B45" w:rsidR="00245172" w:rsidRPr="008D54A5" w:rsidRDefault="00245172" w:rsidP="00245172">
      <w:pPr>
        <w:pStyle w:val="ExhibitTitlecontinued"/>
      </w:pPr>
      <w:r w:rsidRPr="00404E1F">
        <w:lastRenderedPageBreak/>
        <w:t>Exhibit </w:t>
      </w:r>
      <w:r w:rsidRPr="008D54A5">
        <w:t>8.4</w:t>
      </w:r>
      <w:r w:rsidRPr="008D54A5">
        <w:tab/>
        <w:t>Matching Variables in 2022 (continued)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526"/>
        <w:gridCol w:w="3330"/>
        <w:gridCol w:w="4494"/>
      </w:tblGrid>
      <w:tr w:rsidR="00245172" w:rsidRPr="008D54A5" w14:paraId="5B279B8C" w14:textId="77777777" w:rsidTr="00B26FC1">
        <w:trPr>
          <w:cantSplit/>
          <w:trHeight w:val="20"/>
        </w:trPr>
        <w:tc>
          <w:tcPr>
            <w:tcW w:w="816" w:type="pct"/>
            <w:shd w:val="pct20" w:color="auto" w:fill="auto"/>
            <w:vAlign w:val="bottom"/>
          </w:tcPr>
          <w:p w14:paraId="6AA56B02" w14:textId="77777777" w:rsidR="00245172" w:rsidRPr="008D54A5" w:rsidRDefault="00245172" w:rsidP="00B26FC1">
            <w:pPr>
              <w:pStyle w:val="TableHeading-9"/>
            </w:pPr>
            <w:r w:rsidRPr="008D54A5">
              <w:t>Variable</w:t>
            </w:r>
          </w:p>
        </w:tc>
        <w:tc>
          <w:tcPr>
            <w:tcW w:w="1781" w:type="pct"/>
            <w:shd w:val="pct20" w:color="auto" w:fill="auto"/>
            <w:vAlign w:val="bottom"/>
          </w:tcPr>
          <w:p w14:paraId="67071F0A" w14:textId="77777777" w:rsidR="00245172" w:rsidRPr="008D54A5" w:rsidRDefault="00245172" w:rsidP="00B26FC1">
            <w:pPr>
              <w:pStyle w:val="TableHeading-9"/>
            </w:pPr>
            <w:r w:rsidRPr="008D54A5">
              <w:t>Definition</w:t>
            </w:r>
          </w:p>
        </w:tc>
        <w:tc>
          <w:tcPr>
            <w:tcW w:w="2403" w:type="pct"/>
            <w:shd w:val="pct20" w:color="auto" w:fill="auto"/>
          </w:tcPr>
          <w:p w14:paraId="173EB161" w14:textId="77777777" w:rsidR="00245172" w:rsidRPr="008D54A5" w:rsidRDefault="00245172" w:rsidP="00B26FC1">
            <w:pPr>
              <w:pStyle w:val="TableHeading-9"/>
            </w:pPr>
            <w:r w:rsidRPr="008D54A5">
              <w:t>Use in the Construction of a Match Weight</w:t>
            </w:r>
          </w:p>
        </w:tc>
      </w:tr>
      <w:tr w:rsidR="00245172" w:rsidRPr="008D54A5" w14:paraId="01595687" w14:textId="77777777" w:rsidTr="00B26FC1">
        <w:trPr>
          <w:cantSplit/>
          <w:trHeight w:val="20"/>
        </w:trPr>
        <w:tc>
          <w:tcPr>
            <w:tcW w:w="816" w:type="pct"/>
          </w:tcPr>
          <w:p w14:paraId="19872460" w14:textId="77777777" w:rsidR="00245172" w:rsidRPr="008D54A5" w:rsidRDefault="00245172" w:rsidP="00B26FC1">
            <w:pPr>
              <w:pStyle w:val="TableText-9"/>
            </w:pPr>
            <w:r w:rsidRPr="008D54A5">
              <w:t>DONT1a</w:t>
            </w:r>
          </w:p>
        </w:tc>
        <w:tc>
          <w:tcPr>
            <w:tcW w:w="1781" w:type="pct"/>
          </w:tcPr>
          <w:p w14:paraId="708B3A88" w14:textId="77777777" w:rsidR="00245172" w:rsidRPr="008D54A5" w:rsidRDefault="00245172" w:rsidP="00B26FC1">
            <w:pPr>
              <w:pStyle w:val="TableText-9"/>
            </w:pPr>
            <w:r w:rsidRPr="008D54A5">
              <w:t>This variable was set equal to:</w:t>
            </w:r>
          </w:p>
          <w:p w14:paraId="2851746F" w14:textId="77777777" w:rsidR="00245172" w:rsidRPr="008D54A5" w:rsidRDefault="00245172" w:rsidP="00B26FC1">
            <w:pPr>
              <w:pStyle w:val="TableText-9"/>
            </w:pPr>
            <w:r w:rsidRPr="008D54A5">
              <w:t>1=For hospital</w:t>
            </w:r>
            <w:r w:rsidRPr="008D54A5" w:rsidDel="007A339A">
              <w:t xml:space="preserve"> </w:t>
            </w:r>
            <w:r w:rsidRPr="008D54A5">
              <w:t>stays of 0,1 nights</w:t>
            </w:r>
          </w:p>
          <w:p w14:paraId="57EC9812" w14:textId="77777777" w:rsidR="00245172" w:rsidRPr="008D54A5" w:rsidRDefault="00245172" w:rsidP="00B26FC1">
            <w:pPr>
              <w:pStyle w:val="TableText-9"/>
            </w:pPr>
            <w:r w:rsidRPr="008D54A5">
              <w:t>2=For medical visit, ER, or outpatient events</w:t>
            </w:r>
          </w:p>
          <w:p w14:paraId="2A92CAE6" w14:textId="77777777" w:rsidR="00245172" w:rsidRPr="008D54A5" w:rsidRDefault="00245172" w:rsidP="00B26FC1">
            <w:pPr>
              <w:pStyle w:val="TableText-9"/>
            </w:pPr>
            <w:r w:rsidRPr="008D54A5">
              <w:t>3=Otherwise</w:t>
            </w:r>
          </w:p>
        </w:tc>
        <w:tc>
          <w:tcPr>
            <w:tcW w:w="2403" w:type="pct"/>
          </w:tcPr>
          <w:p w14:paraId="5C7EA3A8" w14:textId="77777777" w:rsidR="00245172" w:rsidRPr="008D54A5" w:rsidRDefault="00245172" w:rsidP="00B26FC1">
            <w:pPr>
              <w:pStyle w:val="TableText-9"/>
            </w:pPr>
            <w:r w:rsidRPr="008D54A5">
              <w:t>This variable was used to prevent certain types of events from matching in Pass 1.5. See Comment 4.</w:t>
            </w:r>
          </w:p>
        </w:tc>
      </w:tr>
      <w:tr w:rsidR="00245172" w:rsidRPr="008D54A5" w14:paraId="142004DC" w14:textId="77777777" w:rsidTr="00B26FC1">
        <w:trPr>
          <w:cantSplit/>
          <w:trHeight w:val="20"/>
        </w:trPr>
        <w:tc>
          <w:tcPr>
            <w:tcW w:w="816" w:type="pct"/>
          </w:tcPr>
          <w:p w14:paraId="5B591B22" w14:textId="77777777" w:rsidR="00245172" w:rsidRPr="008D54A5" w:rsidRDefault="00245172" w:rsidP="00B26FC1">
            <w:pPr>
              <w:pStyle w:val="TableText-9"/>
            </w:pPr>
            <w:r w:rsidRPr="008D54A5">
              <w:t>DONT2a</w:t>
            </w:r>
          </w:p>
        </w:tc>
        <w:tc>
          <w:tcPr>
            <w:tcW w:w="1781" w:type="pct"/>
          </w:tcPr>
          <w:p w14:paraId="0472D9FF" w14:textId="77777777" w:rsidR="00245172" w:rsidRPr="008D54A5" w:rsidRDefault="00245172" w:rsidP="00B26FC1">
            <w:pPr>
              <w:pStyle w:val="TableText-9"/>
            </w:pPr>
            <w:r w:rsidRPr="008D54A5">
              <w:t>This variable was set equal to:</w:t>
            </w:r>
          </w:p>
          <w:p w14:paraId="4521C721" w14:textId="77777777" w:rsidR="00245172" w:rsidRPr="008D54A5" w:rsidRDefault="00245172" w:rsidP="00B26FC1">
            <w:pPr>
              <w:pStyle w:val="TableText-9"/>
            </w:pPr>
            <w:r w:rsidRPr="008D54A5">
              <w:t>1=For hospital</w:t>
            </w:r>
            <w:r w:rsidRPr="008D54A5" w:rsidDel="007A339A">
              <w:t xml:space="preserve"> </w:t>
            </w:r>
            <w:r w:rsidRPr="008D54A5">
              <w:t>stays of 2 nights</w:t>
            </w:r>
          </w:p>
          <w:p w14:paraId="3BE11F5F" w14:textId="77777777" w:rsidR="00245172" w:rsidRPr="008D54A5" w:rsidRDefault="00245172" w:rsidP="00B26FC1">
            <w:pPr>
              <w:pStyle w:val="TableText-9"/>
            </w:pPr>
            <w:r w:rsidRPr="008D54A5">
              <w:t>2=For medical visit, ER, or outpatient events</w:t>
            </w:r>
          </w:p>
          <w:p w14:paraId="467D45F2" w14:textId="77777777" w:rsidR="00245172" w:rsidRPr="008D54A5" w:rsidRDefault="00245172" w:rsidP="00B26FC1">
            <w:pPr>
              <w:pStyle w:val="TableText-9"/>
            </w:pPr>
            <w:r w:rsidRPr="008D54A5">
              <w:t>3=Otherwise</w:t>
            </w:r>
          </w:p>
        </w:tc>
        <w:tc>
          <w:tcPr>
            <w:tcW w:w="2403" w:type="pct"/>
          </w:tcPr>
          <w:p w14:paraId="4EF124DD" w14:textId="77777777" w:rsidR="00245172" w:rsidRPr="008D54A5" w:rsidRDefault="00245172" w:rsidP="00B26FC1">
            <w:pPr>
              <w:pStyle w:val="TableText-9"/>
            </w:pPr>
            <w:r w:rsidRPr="008D54A5">
              <w:t>This variable was used to prevent certain types of events from matching in Pass 1.5. See Comment 4.</w:t>
            </w:r>
          </w:p>
        </w:tc>
      </w:tr>
      <w:tr w:rsidR="00245172" w:rsidRPr="008D54A5" w14:paraId="26D0A2DA" w14:textId="77777777" w:rsidTr="00B26FC1">
        <w:trPr>
          <w:cantSplit/>
          <w:trHeight w:val="20"/>
        </w:trPr>
        <w:tc>
          <w:tcPr>
            <w:tcW w:w="816" w:type="pct"/>
            <w:tcBorders>
              <w:bottom w:val="nil"/>
            </w:tcBorders>
          </w:tcPr>
          <w:p w14:paraId="2B6725D8" w14:textId="77777777" w:rsidR="00245172" w:rsidRPr="008D54A5" w:rsidRDefault="00245172" w:rsidP="00B26FC1">
            <w:pPr>
              <w:pStyle w:val="TableText-9"/>
            </w:pPr>
            <w:r w:rsidRPr="008D54A5">
              <w:t>DONT3a</w:t>
            </w:r>
          </w:p>
        </w:tc>
        <w:tc>
          <w:tcPr>
            <w:tcW w:w="1781" w:type="pct"/>
            <w:tcBorders>
              <w:bottom w:val="nil"/>
            </w:tcBorders>
          </w:tcPr>
          <w:p w14:paraId="2F23929B" w14:textId="77777777" w:rsidR="00245172" w:rsidRPr="008D54A5" w:rsidRDefault="00245172" w:rsidP="00B26FC1">
            <w:pPr>
              <w:pStyle w:val="TableText-9"/>
            </w:pPr>
            <w:r w:rsidRPr="008D54A5">
              <w:t>This variable was set equal to:</w:t>
            </w:r>
          </w:p>
          <w:p w14:paraId="02BC1490" w14:textId="77777777" w:rsidR="00245172" w:rsidRPr="008D54A5" w:rsidRDefault="00245172" w:rsidP="00B26FC1">
            <w:pPr>
              <w:pStyle w:val="TableText-9"/>
            </w:pPr>
            <w:r w:rsidRPr="008D54A5">
              <w:t>1=For hospital</w:t>
            </w:r>
            <w:r w:rsidRPr="008D54A5" w:rsidDel="007A339A">
              <w:t xml:space="preserve"> </w:t>
            </w:r>
            <w:r w:rsidRPr="008D54A5">
              <w:t>stays of 3+ nights</w:t>
            </w:r>
          </w:p>
          <w:p w14:paraId="046D7A09" w14:textId="77777777" w:rsidR="00245172" w:rsidRPr="008D54A5" w:rsidRDefault="00245172" w:rsidP="00B26FC1">
            <w:pPr>
              <w:pStyle w:val="TableText-9"/>
            </w:pPr>
            <w:r w:rsidRPr="008D54A5">
              <w:t>2=For medical visit, ER, or outpatient events</w:t>
            </w:r>
          </w:p>
          <w:p w14:paraId="76EF54B4" w14:textId="77777777" w:rsidR="00245172" w:rsidRPr="008D54A5" w:rsidRDefault="00245172" w:rsidP="00B26FC1">
            <w:pPr>
              <w:pStyle w:val="TableText-9"/>
            </w:pPr>
            <w:r w:rsidRPr="008D54A5">
              <w:t>3=Otherwise</w:t>
            </w:r>
          </w:p>
        </w:tc>
        <w:tc>
          <w:tcPr>
            <w:tcW w:w="2403" w:type="pct"/>
            <w:tcBorders>
              <w:bottom w:val="nil"/>
            </w:tcBorders>
          </w:tcPr>
          <w:p w14:paraId="56917F61" w14:textId="77777777" w:rsidR="00245172" w:rsidRPr="008D54A5" w:rsidRDefault="00245172" w:rsidP="00B26FC1">
            <w:pPr>
              <w:pStyle w:val="TableText-9"/>
            </w:pPr>
            <w:r w:rsidRPr="008D54A5">
              <w:t>This variable was used to prevent certain types of events from matching in Pass 1.5. See Comment 4.</w:t>
            </w:r>
          </w:p>
        </w:tc>
      </w:tr>
    </w:tbl>
    <w:tbl>
      <w:tblPr>
        <w:tblStyle w:val="TableGrid"/>
        <w:tblW w:w="5000" w:type="pct"/>
        <w:tblLook w:val="04A0" w:firstRow="1" w:lastRow="0" w:firstColumn="1" w:lastColumn="0" w:noHBand="0" w:noVBand="1"/>
      </w:tblPr>
      <w:tblGrid>
        <w:gridCol w:w="1526"/>
        <w:gridCol w:w="3330"/>
        <w:gridCol w:w="4494"/>
      </w:tblGrid>
      <w:tr w:rsidR="00245172" w:rsidRPr="008D54A5" w14:paraId="37EEBB85" w14:textId="77777777" w:rsidTr="00B26FC1">
        <w:trPr>
          <w:cnfStyle w:val="100000000000" w:firstRow="1" w:lastRow="0" w:firstColumn="0" w:lastColumn="0" w:oddVBand="0" w:evenVBand="0" w:oddHBand="0" w:evenHBand="0" w:firstRowFirstColumn="0" w:firstRowLastColumn="0" w:lastRowFirstColumn="0" w:lastRowLastColumn="0"/>
          <w:trHeight w:val="20"/>
        </w:trPr>
        <w:tc>
          <w:tcPr>
            <w:tcW w:w="816" w:type="pct"/>
            <w:tcBorders>
              <w:top w:val="single" w:sz="4" w:space="0" w:color="auto"/>
            </w:tcBorders>
            <w:shd w:val="clear" w:color="auto" w:fill="auto"/>
          </w:tcPr>
          <w:p w14:paraId="2D044D47" w14:textId="77777777" w:rsidR="00245172" w:rsidRPr="008D54A5" w:rsidRDefault="00245172" w:rsidP="00B26FC1">
            <w:pPr>
              <w:pStyle w:val="TableText-9"/>
              <w:jc w:val="left"/>
            </w:pPr>
            <w:r w:rsidRPr="008D54A5">
              <w:t>DONT4a</w:t>
            </w:r>
          </w:p>
        </w:tc>
        <w:tc>
          <w:tcPr>
            <w:tcW w:w="1781" w:type="pct"/>
            <w:tcBorders>
              <w:top w:val="single" w:sz="4" w:space="0" w:color="auto"/>
            </w:tcBorders>
            <w:shd w:val="clear" w:color="auto" w:fill="auto"/>
          </w:tcPr>
          <w:p w14:paraId="19156C98" w14:textId="77777777" w:rsidR="00245172" w:rsidRPr="008D54A5" w:rsidRDefault="00245172" w:rsidP="00B26FC1">
            <w:pPr>
              <w:pStyle w:val="TableText-9"/>
              <w:jc w:val="left"/>
            </w:pPr>
            <w:r w:rsidRPr="008D54A5">
              <w:t>This variable was set equal to:</w:t>
            </w:r>
          </w:p>
          <w:p w14:paraId="65F3C7DA" w14:textId="77777777" w:rsidR="00245172" w:rsidRPr="008D54A5" w:rsidRDefault="00245172" w:rsidP="00B26FC1">
            <w:pPr>
              <w:pStyle w:val="TableText-9"/>
              <w:jc w:val="left"/>
            </w:pPr>
            <w:r w:rsidRPr="008D54A5">
              <w:t>1=For outpatient events with surgery</w:t>
            </w:r>
          </w:p>
          <w:p w14:paraId="5446DEB8" w14:textId="77777777" w:rsidR="00245172" w:rsidRPr="008D54A5" w:rsidRDefault="00245172" w:rsidP="00B26FC1">
            <w:pPr>
              <w:pStyle w:val="TableText-9"/>
              <w:jc w:val="left"/>
            </w:pPr>
            <w:r w:rsidRPr="008D54A5">
              <w:t>2=For inpatient events, medical visit, ER (no surgery), or outpatient events (no surgery)</w:t>
            </w:r>
          </w:p>
          <w:p w14:paraId="3DDB2198" w14:textId="77777777" w:rsidR="00245172" w:rsidRPr="008D54A5" w:rsidRDefault="00245172" w:rsidP="00B26FC1">
            <w:pPr>
              <w:pStyle w:val="TableText-9"/>
              <w:jc w:val="left"/>
            </w:pPr>
            <w:r w:rsidRPr="008D54A5">
              <w:t>3=Otherwise</w:t>
            </w:r>
          </w:p>
        </w:tc>
        <w:tc>
          <w:tcPr>
            <w:tcW w:w="2403" w:type="pct"/>
            <w:tcBorders>
              <w:top w:val="single" w:sz="4" w:space="0" w:color="auto"/>
            </w:tcBorders>
            <w:shd w:val="clear" w:color="auto" w:fill="auto"/>
          </w:tcPr>
          <w:p w14:paraId="1AA49B83" w14:textId="77777777" w:rsidR="00245172" w:rsidRPr="008D54A5" w:rsidRDefault="00245172" w:rsidP="00B26FC1">
            <w:pPr>
              <w:pStyle w:val="TableText-9"/>
              <w:jc w:val="left"/>
            </w:pPr>
            <w:r w:rsidRPr="008D54A5">
              <w:t>This variable was used to prevent certain types of events from matching in Pass 1.5. See Comment 4.</w:t>
            </w:r>
          </w:p>
        </w:tc>
      </w:tr>
      <w:tr w:rsidR="00245172" w:rsidRPr="008D54A5" w14:paraId="732B01E4" w14:textId="77777777" w:rsidTr="00B26FC1">
        <w:trPr>
          <w:trHeight w:val="20"/>
        </w:trPr>
        <w:tc>
          <w:tcPr>
            <w:tcW w:w="816" w:type="pct"/>
          </w:tcPr>
          <w:p w14:paraId="5C9CA95E" w14:textId="77777777" w:rsidR="00245172" w:rsidRPr="008D54A5" w:rsidRDefault="00245172" w:rsidP="00B26FC1">
            <w:pPr>
              <w:pStyle w:val="TableText-9"/>
            </w:pPr>
            <w:r w:rsidRPr="008D54A5">
              <w:t>DONT5a</w:t>
            </w:r>
          </w:p>
        </w:tc>
        <w:tc>
          <w:tcPr>
            <w:tcW w:w="1781" w:type="pct"/>
          </w:tcPr>
          <w:p w14:paraId="011A6301" w14:textId="77777777" w:rsidR="00245172" w:rsidRPr="008D54A5" w:rsidRDefault="00245172" w:rsidP="00B26FC1">
            <w:pPr>
              <w:pStyle w:val="TableText-9"/>
            </w:pPr>
            <w:r w:rsidRPr="008D54A5">
              <w:t>This variable was set equal to:</w:t>
            </w:r>
          </w:p>
          <w:p w14:paraId="6C54C765" w14:textId="77777777" w:rsidR="00245172" w:rsidRPr="008D54A5" w:rsidRDefault="00245172" w:rsidP="00B26FC1">
            <w:pPr>
              <w:pStyle w:val="TableText-9"/>
            </w:pPr>
            <w:r w:rsidRPr="008D54A5">
              <w:t>1=For outpatient events (no surgery)</w:t>
            </w:r>
          </w:p>
          <w:p w14:paraId="0B726A14" w14:textId="77777777" w:rsidR="00245172" w:rsidRPr="008D54A5" w:rsidRDefault="00245172" w:rsidP="00B26FC1">
            <w:pPr>
              <w:pStyle w:val="TableText-9"/>
            </w:pPr>
            <w:r w:rsidRPr="008D54A5">
              <w:t>2=For inpatient events, medical visit, ER (with surgery), or outpatient events (with surgery)</w:t>
            </w:r>
          </w:p>
          <w:p w14:paraId="3F5C2E00" w14:textId="77777777" w:rsidR="00245172" w:rsidRPr="008D54A5" w:rsidRDefault="00245172" w:rsidP="00B26FC1">
            <w:pPr>
              <w:pStyle w:val="TableText-9"/>
            </w:pPr>
            <w:r w:rsidRPr="008D54A5">
              <w:t>3=Otherwise</w:t>
            </w:r>
          </w:p>
        </w:tc>
        <w:tc>
          <w:tcPr>
            <w:tcW w:w="2403" w:type="pct"/>
          </w:tcPr>
          <w:p w14:paraId="4E5D7A56" w14:textId="77777777" w:rsidR="00245172" w:rsidRPr="008D54A5" w:rsidRDefault="00245172" w:rsidP="00B26FC1">
            <w:pPr>
              <w:pStyle w:val="TableText-9"/>
            </w:pPr>
            <w:r w:rsidRPr="008D54A5">
              <w:t>This variable was used to prevent certain types of events from matching in Pass 1.5. See Comment 4.</w:t>
            </w:r>
          </w:p>
        </w:tc>
      </w:tr>
      <w:tr w:rsidR="00245172" w:rsidRPr="008D54A5" w14:paraId="73A5888C" w14:textId="77777777" w:rsidTr="00B26FC1">
        <w:trPr>
          <w:trHeight w:val="20"/>
        </w:trPr>
        <w:tc>
          <w:tcPr>
            <w:tcW w:w="816" w:type="pct"/>
          </w:tcPr>
          <w:p w14:paraId="53F48110" w14:textId="77777777" w:rsidR="00245172" w:rsidRPr="008D54A5" w:rsidRDefault="00245172" w:rsidP="00B26FC1">
            <w:pPr>
              <w:pStyle w:val="TableText-9"/>
            </w:pPr>
            <w:r w:rsidRPr="008D54A5">
              <w:t>DONT6a</w:t>
            </w:r>
          </w:p>
        </w:tc>
        <w:tc>
          <w:tcPr>
            <w:tcW w:w="1781" w:type="pct"/>
          </w:tcPr>
          <w:p w14:paraId="660818C1" w14:textId="77777777" w:rsidR="00245172" w:rsidRPr="008D54A5" w:rsidRDefault="00245172" w:rsidP="00B26FC1">
            <w:pPr>
              <w:pStyle w:val="TableText-9"/>
            </w:pPr>
            <w:r w:rsidRPr="008D54A5">
              <w:t>This variable was set equal to:</w:t>
            </w:r>
          </w:p>
          <w:p w14:paraId="5FAA8B10" w14:textId="77777777" w:rsidR="00245172" w:rsidRPr="008D54A5" w:rsidRDefault="00245172" w:rsidP="00B26FC1">
            <w:pPr>
              <w:pStyle w:val="TableText-9"/>
            </w:pPr>
            <w:r w:rsidRPr="008D54A5">
              <w:t>1=For ER events (with surgery)</w:t>
            </w:r>
          </w:p>
          <w:p w14:paraId="2CA5D4AF" w14:textId="77777777" w:rsidR="00245172" w:rsidRPr="008D54A5" w:rsidRDefault="00245172" w:rsidP="00B26FC1">
            <w:pPr>
              <w:pStyle w:val="TableText-9"/>
            </w:pPr>
            <w:r w:rsidRPr="008D54A5">
              <w:t>2=For inpatient events, medical visit, ER (no surgery), or outpatient events (no surgery)</w:t>
            </w:r>
          </w:p>
          <w:p w14:paraId="70DCF851" w14:textId="77777777" w:rsidR="00245172" w:rsidRPr="008D54A5" w:rsidRDefault="00245172" w:rsidP="00B26FC1">
            <w:pPr>
              <w:pStyle w:val="TableText-9"/>
            </w:pPr>
            <w:r w:rsidRPr="008D54A5">
              <w:t>3=Otherwise</w:t>
            </w:r>
          </w:p>
        </w:tc>
        <w:tc>
          <w:tcPr>
            <w:tcW w:w="2403" w:type="pct"/>
          </w:tcPr>
          <w:p w14:paraId="682F24D9" w14:textId="77777777" w:rsidR="00245172" w:rsidRPr="008D54A5" w:rsidRDefault="00245172" w:rsidP="00B26FC1">
            <w:pPr>
              <w:pStyle w:val="TableText-9"/>
            </w:pPr>
            <w:r w:rsidRPr="008D54A5">
              <w:t>This variable was used to prevent certain types of events from matching in Pass 1.5. See Comment 4.</w:t>
            </w:r>
          </w:p>
        </w:tc>
      </w:tr>
      <w:tr w:rsidR="00245172" w:rsidRPr="008D54A5" w14:paraId="7C2C0D47" w14:textId="77777777" w:rsidTr="00B26FC1">
        <w:trPr>
          <w:trHeight w:val="20"/>
        </w:trPr>
        <w:tc>
          <w:tcPr>
            <w:tcW w:w="816" w:type="pct"/>
          </w:tcPr>
          <w:p w14:paraId="30745C65" w14:textId="77777777" w:rsidR="00245172" w:rsidRPr="008D54A5" w:rsidRDefault="00245172" w:rsidP="00B26FC1">
            <w:pPr>
              <w:pStyle w:val="TableText-9"/>
            </w:pPr>
            <w:r w:rsidRPr="008D54A5">
              <w:t>DONT7a</w:t>
            </w:r>
          </w:p>
        </w:tc>
        <w:tc>
          <w:tcPr>
            <w:tcW w:w="1781" w:type="pct"/>
          </w:tcPr>
          <w:p w14:paraId="7B095A24" w14:textId="77777777" w:rsidR="00245172" w:rsidRPr="008D54A5" w:rsidRDefault="00245172" w:rsidP="00B26FC1">
            <w:pPr>
              <w:pStyle w:val="TableText-9"/>
            </w:pPr>
            <w:r w:rsidRPr="008D54A5">
              <w:t>This variable was set equal to:</w:t>
            </w:r>
          </w:p>
          <w:p w14:paraId="30D413E9" w14:textId="77777777" w:rsidR="00245172" w:rsidRPr="008D54A5" w:rsidRDefault="00245172" w:rsidP="00B26FC1">
            <w:pPr>
              <w:pStyle w:val="TableText-9"/>
            </w:pPr>
            <w:r w:rsidRPr="008D54A5">
              <w:t>1=For ER events (no surgery)</w:t>
            </w:r>
          </w:p>
          <w:p w14:paraId="530C9CCC" w14:textId="77777777" w:rsidR="00245172" w:rsidRPr="008D54A5" w:rsidRDefault="00245172" w:rsidP="00B26FC1">
            <w:pPr>
              <w:pStyle w:val="TableText-9"/>
            </w:pPr>
            <w:r w:rsidRPr="008D54A5">
              <w:t>2=For inpatient events; Outpatient events with surgery; and ER events with Surgery</w:t>
            </w:r>
          </w:p>
          <w:p w14:paraId="25E81F12" w14:textId="77777777" w:rsidR="00245172" w:rsidRPr="008D54A5" w:rsidRDefault="00245172" w:rsidP="00B26FC1">
            <w:pPr>
              <w:pStyle w:val="TableText-9"/>
            </w:pPr>
            <w:r w:rsidRPr="008D54A5">
              <w:t>3=Otherwise</w:t>
            </w:r>
          </w:p>
        </w:tc>
        <w:tc>
          <w:tcPr>
            <w:tcW w:w="2403" w:type="pct"/>
          </w:tcPr>
          <w:p w14:paraId="54FCAAAA" w14:textId="77777777" w:rsidR="00245172" w:rsidRPr="008D54A5" w:rsidRDefault="00245172" w:rsidP="00B26FC1">
            <w:pPr>
              <w:pStyle w:val="TableText-9"/>
            </w:pPr>
            <w:r w:rsidRPr="008D54A5">
              <w:t>This variable was used to prevent certain types of events from matching in Pass 1.5. See Comment 4.</w:t>
            </w:r>
          </w:p>
        </w:tc>
      </w:tr>
      <w:tr w:rsidR="00245172" w:rsidRPr="008D54A5" w14:paraId="2E527266" w14:textId="77777777" w:rsidTr="00B26FC1">
        <w:trPr>
          <w:trHeight w:val="20"/>
        </w:trPr>
        <w:tc>
          <w:tcPr>
            <w:tcW w:w="816" w:type="pct"/>
          </w:tcPr>
          <w:p w14:paraId="41064E9C" w14:textId="77777777" w:rsidR="00245172" w:rsidRPr="008D54A5" w:rsidRDefault="00245172" w:rsidP="00B26FC1">
            <w:pPr>
              <w:pStyle w:val="TableText-9"/>
            </w:pPr>
            <w:r w:rsidRPr="008D54A5">
              <w:t>DONT8a</w:t>
            </w:r>
          </w:p>
        </w:tc>
        <w:tc>
          <w:tcPr>
            <w:tcW w:w="1781" w:type="pct"/>
          </w:tcPr>
          <w:p w14:paraId="2A028D37" w14:textId="77777777" w:rsidR="00245172" w:rsidRPr="008D54A5" w:rsidRDefault="00245172" w:rsidP="00B26FC1">
            <w:pPr>
              <w:pStyle w:val="TableText-9"/>
            </w:pPr>
            <w:r w:rsidRPr="008D54A5">
              <w:t>This variable was set equal to:</w:t>
            </w:r>
          </w:p>
          <w:p w14:paraId="3EF048F4" w14:textId="77777777" w:rsidR="00245172" w:rsidRPr="008D54A5" w:rsidRDefault="00245172" w:rsidP="00B26FC1">
            <w:pPr>
              <w:pStyle w:val="TableText-9"/>
            </w:pPr>
            <w:r w:rsidRPr="008D54A5">
              <w:t>1=For MV events</w:t>
            </w:r>
          </w:p>
          <w:p w14:paraId="232B878B" w14:textId="77777777" w:rsidR="00245172" w:rsidRPr="008D54A5" w:rsidRDefault="00245172" w:rsidP="00B26FC1">
            <w:pPr>
              <w:pStyle w:val="TableText-9"/>
            </w:pPr>
            <w:r w:rsidRPr="008D54A5">
              <w:t>2=For inpatient events; Outpatient events with surgery; and ER events with Surgery</w:t>
            </w:r>
          </w:p>
          <w:p w14:paraId="57FB9D3C" w14:textId="77777777" w:rsidR="00245172" w:rsidRPr="008D54A5" w:rsidRDefault="00245172" w:rsidP="00B26FC1">
            <w:pPr>
              <w:pStyle w:val="TableText-9"/>
            </w:pPr>
            <w:r w:rsidRPr="008D54A5">
              <w:t>3=Otherwise</w:t>
            </w:r>
          </w:p>
        </w:tc>
        <w:tc>
          <w:tcPr>
            <w:tcW w:w="2403" w:type="pct"/>
          </w:tcPr>
          <w:p w14:paraId="6ACBFA69" w14:textId="77777777" w:rsidR="00245172" w:rsidRPr="008D54A5" w:rsidRDefault="00245172" w:rsidP="00B26FC1">
            <w:pPr>
              <w:pStyle w:val="TableText-9"/>
            </w:pPr>
            <w:r w:rsidRPr="008D54A5">
              <w:t>This variable was used to prevent certain types of events from matching in Pass 1.5. See Comment 4.</w:t>
            </w:r>
          </w:p>
        </w:tc>
      </w:tr>
      <w:tr w:rsidR="00245172" w:rsidRPr="008D54A5" w14:paraId="29C22DE7" w14:textId="77777777" w:rsidTr="00B26FC1">
        <w:trPr>
          <w:trHeight w:val="20"/>
        </w:trPr>
        <w:tc>
          <w:tcPr>
            <w:tcW w:w="816" w:type="pct"/>
          </w:tcPr>
          <w:p w14:paraId="2BFB8E65" w14:textId="77777777" w:rsidR="00245172" w:rsidRPr="008D54A5" w:rsidRDefault="00245172" w:rsidP="00B26FC1">
            <w:pPr>
              <w:pStyle w:val="TableText-9"/>
            </w:pPr>
            <w:r w:rsidRPr="008D54A5">
              <w:t>DONT9a</w:t>
            </w:r>
          </w:p>
        </w:tc>
        <w:tc>
          <w:tcPr>
            <w:tcW w:w="1781" w:type="pct"/>
          </w:tcPr>
          <w:p w14:paraId="6C927C46" w14:textId="77777777" w:rsidR="00245172" w:rsidRPr="008D54A5" w:rsidRDefault="00245172" w:rsidP="00B26FC1">
            <w:pPr>
              <w:pStyle w:val="TableText-9"/>
            </w:pPr>
            <w:r w:rsidRPr="008D54A5">
              <w:t>This variable was set equal to:</w:t>
            </w:r>
          </w:p>
          <w:p w14:paraId="4AB6837D" w14:textId="77777777" w:rsidR="00245172" w:rsidRPr="008D54A5" w:rsidRDefault="00245172" w:rsidP="00B26FC1">
            <w:pPr>
              <w:pStyle w:val="TableText-9"/>
            </w:pPr>
            <w:r w:rsidRPr="008D54A5">
              <w:t>1=For HC MV events</w:t>
            </w:r>
          </w:p>
          <w:p w14:paraId="56DF2834" w14:textId="77777777" w:rsidR="00245172" w:rsidRPr="008D54A5" w:rsidRDefault="00245172" w:rsidP="00B26FC1">
            <w:pPr>
              <w:pStyle w:val="TableText-9"/>
            </w:pPr>
            <w:r w:rsidRPr="008D54A5">
              <w:t>2=For MPC ER events that are linked to any inpatient event</w:t>
            </w:r>
          </w:p>
          <w:p w14:paraId="4A162BE8" w14:textId="77777777" w:rsidR="00245172" w:rsidRPr="008D54A5" w:rsidRDefault="00245172" w:rsidP="00B26FC1">
            <w:pPr>
              <w:pStyle w:val="TableText-9"/>
            </w:pPr>
            <w:r w:rsidRPr="008D54A5">
              <w:t>3=Otherwise</w:t>
            </w:r>
          </w:p>
        </w:tc>
        <w:tc>
          <w:tcPr>
            <w:tcW w:w="2403" w:type="pct"/>
          </w:tcPr>
          <w:p w14:paraId="4F9F3507" w14:textId="77777777" w:rsidR="00245172" w:rsidRPr="008D54A5" w:rsidRDefault="00245172" w:rsidP="00B26FC1">
            <w:pPr>
              <w:pStyle w:val="TableText-9"/>
            </w:pPr>
            <w:r w:rsidRPr="008D54A5">
              <w:t>This variable prevents HC MV events from matching with MPC ER events that are linked to an inpatient stay in Pass 1.5. See Comment 4.</w:t>
            </w:r>
          </w:p>
        </w:tc>
      </w:tr>
      <w:tr w:rsidR="00245172" w:rsidRPr="008D54A5" w14:paraId="19CAE30E" w14:textId="77777777" w:rsidTr="00B26FC1">
        <w:trPr>
          <w:trHeight w:val="20"/>
        </w:trPr>
        <w:tc>
          <w:tcPr>
            <w:tcW w:w="816" w:type="pct"/>
          </w:tcPr>
          <w:p w14:paraId="1967C106" w14:textId="77777777" w:rsidR="00245172" w:rsidRPr="008D54A5" w:rsidRDefault="00245172" w:rsidP="00B26FC1">
            <w:pPr>
              <w:pStyle w:val="TableText-9"/>
            </w:pPr>
            <w:r w:rsidRPr="008D54A5">
              <w:t>DONT10a</w:t>
            </w:r>
          </w:p>
        </w:tc>
        <w:tc>
          <w:tcPr>
            <w:tcW w:w="1781" w:type="pct"/>
          </w:tcPr>
          <w:p w14:paraId="3C64CF4F" w14:textId="77777777" w:rsidR="00245172" w:rsidRPr="008D54A5" w:rsidRDefault="00245172" w:rsidP="00B26FC1">
            <w:pPr>
              <w:pStyle w:val="TableText-9"/>
            </w:pPr>
            <w:r w:rsidRPr="008D54A5">
              <w:t>This variable was set equal to:</w:t>
            </w:r>
          </w:p>
          <w:p w14:paraId="0271D229" w14:textId="77777777" w:rsidR="00245172" w:rsidRPr="008D54A5" w:rsidRDefault="00245172" w:rsidP="00B26FC1">
            <w:pPr>
              <w:pStyle w:val="TableText-9"/>
            </w:pPr>
            <w:r w:rsidRPr="008D54A5">
              <w:t>1=For HC OP events without surgery</w:t>
            </w:r>
          </w:p>
          <w:p w14:paraId="639814CE" w14:textId="77777777" w:rsidR="00245172" w:rsidRPr="008D54A5" w:rsidRDefault="00245172" w:rsidP="00B26FC1">
            <w:pPr>
              <w:pStyle w:val="TableText-9"/>
            </w:pPr>
            <w:r w:rsidRPr="008D54A5">
              <w:t>2=For MPC ER events that are linked to inpatient events with 2 or more nights</w:t>
            </w:r>
          </w:p>
          <w:p w14:paraId="5C631F98" w14:textId="77777777" w:rsidR="00245172" w:rsidRPr="008D54A5" w:rsidRDefault="00245172" w:rsidP="00B26FC1">
            <w:pPr>
              <w:pStyle w:val="TableText-9"/>
            </w:pPr>
            <w:r w:rsidRPr="008D54A5">
              <w:t>3=Otherwise</w:t>
            </w:r>
          </w:p>
        </w:tc>
        <w:tc>
          <w:tcPr>
            <w:tcW w:w="2403" w:type="pct"/>
          </w:tcPr>
          <w:p w14:paraId="61BFE541" w14:textId="77777777" w:rsidR="00245172" w:rsidRPr="008D54A5" w:rsidRDefault="00245172" w:rsidP="00B26FC1">
            <w:pPr>
              <w:pStyle w:val="TableText-9"/>
            </w:pPr>
            <w:r w:rsidRPr="008D54A5">
              <w:t>This variable prevents HC OP events without surgery from matching with MPC ER events that are linked to inpatient stays with 2 or more nights in Pass 1.5. See Comment 4.</w:t>
            </w:r>
          </w:p>
        </w:tc>
      </w:tr>
    </w:tbl>
    <w:p w14:paraId="17754DE8" w14:textId="77777777" w:rsidR="00245172" w:rsidRPr="008D54A5" w:rsidRDefault="00245172" w:rsidP="00245172">
      <w:r w:rsidRPr="008D54A5">
        <w:br w:type="page"/>
      </w:r>
    </w:p>
    <w:p w14:paraId="0A3A6B24" w14:textId="58085BAA" w:rsidR="00245172" w:rsidRPr="008D54A5" w:rsidRDefault="00245172" w:rsidP="00245172">
      <w:pPr>
        <w:pStyle w:val="ExhibitTitlecontinued"/>
      </w:pPr>
      <w:r w:rsidRPr="00404E1F">
        <w:lastRenderedPageBreak/>
        <w:t>Exhibit </w:t>
      </w:r>
      <w:r w:rsidRPr="008D54A5">
        <w:t>8.4</w:t>
      </w:r>
      <w:r w:rsidRPr="008D54A5">
        <w:tab/>
        <w:t>Matching Variables in 2022 (continued)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526"/>
        <w:gridCol w:w="3330"/>
        <w:gridCol w:w="4494"/>
      </w:tblGrid>
      <w:tr w:rsidR="00245172" w:rsidRPr="008D54A5" w14:paraId="358F1226" w14:textId="77777777" w:rsidTr="00B26FC1">
        <w:trPr>
          <w:cantSplit/>
          <w:trHeight w:val="20"/>
        </w:trPr>
        <w:tc>
          <w:tcPr>
            <w:tcW w:w="816" w:type="pct"/>
            <w:shd w:val="pct20" w:color="auto" w:fill="auto"/>
            <w:vAlign w:val="bottom"/>
          </w:tcPr>
          <w:p w14:paraId="7E2CFDD8" w14:textId="77777777" w:rsidR="00245172" w:rsidRPr="008D54A5" w:rsidRDefault="00245172" w:rsidP="00B26FC1">
            <w:pPr>
              <w:pStyle w:val="TableHeading-9"/>
            </w:pPr>
            <w:r w:rsidRPr="008D54A5">
              <w:t>Variable</w:t>
            </w:r>
          </w:p>
        </w:tc>
        <w:tc>
          <w:tcPr>
            <w:tcW w:w="1781" w:type="pct"/>
            <w:shd w:val="pct20" w:color="auto" w:fill="auto"/>
            <w:vAlign w:val="bottom"/>
          </w:tcPr>
          <w:p w14:paraId="1F134966" w14:textId="77777777" w:rsidR="00245172" w:rsidRPr="008D54A5" w:rsidRDefault="00245172" w:rsidP="00B26FC1">
            <w:pPr>
              <w:pStyle w:val="TableHeading-9"/>
            </w:pPr>
            <w:r w:rsidRPr="008D54A5">
              <w:t>Definition</w:t>
            </w:r>
          </w:p>
        </w:tc>
        <w:tc>
          <w:tcPr>
            <w:tcW w:w="2403" w:type="pct"/>
            <w:shd w:val="pct20" w:color="auto" w:fill="auto"/>
          </w:tcPr>
          <w:p w14:paraId="41F38055" w14:textId="77777777" w:rsidR="00245172" w:rsidRPr="008D54A5" w:rsidRDefault="00245172" w:rsidP="00B26FC1">
            <w:pPr>
              <w:pStyle w:val="TableHeading-9"/>
            </w:pPr>
            <w:r w:rsidRPr="008D54A5">
              <w:t>Use in the Construction of a Match Weight</w:t>
            </w:r>
          </w:p>
        </w:tc>
      </w:tr>
    </w:tbl>
    <w:tbl>
      <w:tblPr>
        <w:tblStyle w:val="TableGrid"/>
        <w:tblW w:w="5000" w:type="pct"/>
        <w:tblLook w:val="04A0" w:firstRow="1" w:lastRow="0" w:firstColumn="1" w:lastColumn="0" w:noHBand="0" w:noVBand="1"/>
      </w:tblPr>
      <w:tblGrid>
        <w:gridCol w:w="1526"/>
        <w:gridCol w:w="3330"/>
        <w:gridCol w:w="4494"/>
      </w:tblGrid>
      <w:tr w:rsidR="00245172" w:rsidRPr="008D54A5" w14:paraId="57F39E30" w14:textId="77777777" w:rsidTr="00B26FC1">
        <w:trPr>
          <w:cnfStyle w:val="100000000000" w:firstRow="1" w:lastRow="0" w:firstColumn="0" w:lastColumn="0" w:oddVBand="0" w:evenVBand="0" w:oddHBand="0" w:evenHBand="0" w:firstRowFirstColumn="0" w:firstRowLastColumn="0" w:lastRowFirstColumn="0" w:lastRowLastColumn="0"/>
          <w:trHeight w:val="20"/>
        </w:trPr>
        <w:tc>
          <w:tcPr>
            <w:tcW w:w="0" w:type="pct"/>
            <w:shd w:val="clear" w:color="auto" w:fill="auto"/>
            <w:vAlign w:val="top"/>
          </w:tcPr>
          <w:p w14:paraId="4CB80A67" w14:textId="77777777" w:rsidR="00245172" w:rsidRPr="008D54A5" w:rsidRDefault="00245172" w:rsidP="00B26FC1">
            <w:pPr>
              <w:pStyle w:val="TableText-9"/>
              <w:jc w:val="left"/>
            </w:pPr>
            <w:r w:rsidRPr="008D54A5">
              <w:t>DONT11a</w:t>
            </w:r>
          </w:p>
        </w:tc>
        <w:tc>
          <w:tcPr>
            <w:tcW w:w="0" w:type="pct"/>
            <w:shd w:val="clear" w:color="auto" w:fill="auto"/>
            <w:vAlign w:val="top"/>
          </w:tcPr>
          <w:p w14:paraId="4B740003" w14:textId="77777777" w:rsidR="00245172" w:rsidRPr="008D54A5" w:rsidRDefault="00245172" w:rsidP="00B26FC1">
            <w:pPr>
              <w:pStyle w:val="TableText-9"/>
              <w:jc w:val="left"/>
            </w:pPr>
            <w:r w:rsidRPr="008D54A5">
              <w:t>This variable was set equal to:</w:t>
            </w:r>
          </w:p>
          <w:p w14:paraId="3C3150D3" w14:textId="77777777" w:rsidR="00245172" w:rsidRPr="008D54A5" w:rsidRDefault="00245172" w:rsidP="00B26FC1">
            <w:pPr>
              <w:pStyle w:val="TableText-9"/>
              <w:jc w:val="left"/>
            </w:pPr>
            <w:r w:rsidRPr="008D54A5">
              <w:t>1=For HC OP events with surgery</w:t>
            </w:r>
          </w:p>
          <w:p w14:paraId="4AF69168" w14:textId="77777777" w:rsidR="00245172" w:rsidRPr="008D54A5" w:rsidRDefault="00245172" w:rsidP="00B26FC1">
            <w:pPr>
              <w:pStyle w:val="TableText-9"/>
              <w:jc w:val="left"/>
            </w:pPr>
            <w:r w:rsidRPr="008D54A5">
              <w:t>2=For MPC ER events that are linked to inpatient events with 3 or more nights</w:t>
            </w:r>
          </w:p>
          <w:p w14:paraId="70352C0E" w14:textId="77777777" w:rsidR="00245172" w:rsidRPr="008D54A5" w:rsidRDefault="00245172" w:rsidP="00B26FC1">
            <w:pPr>
              <w:pStyle w:val="TableText-9"/>
              <w:jc w:val="left"/>
            </w:pPr>
            <w:r w:rsidRPr="008D54A5">
              <w:t xml:space="preserve">3=Otherwise </w:t>
            </w:r>
          </w:p>
        </w:tc>
        <w:tc>
          <w:tcPr>
            <w:tcW w:w="0" w:type="pct"/>
            <w:shd w:val="clear" w:color="auto" w:fill="auto"/>
            <w:vAlign w:val="top"/>
          </w:tcPr>
          <w:p w14:paraId="42E7F6CB" w14:textId="77777777" w:rsidR="00245172" w:rsidRPr="008D54A5" w:rsidRDefault="00245172" w:rsidP="00B26FC1">
            <w:pPr>
              <w:pStyle w:val="TableText-9"/>
              <w:jc w:val="left"/>
            </w:pPr>
            <w:r w:rsidRPr="008D54A5">
              <w:t>This variable prevents HC OP events with surgery from matching with MPC ER events that are linked to inpatient stays of 3 or more nights in Pass 1.5. See Comment 4.</w:t>
            </w:r>
          </w:p>
        </w:tc>
      </w:tr>
      <w:tr w:rsidR="00245172" w:rsidRPr="008D54A5" w14:paraId="1E9FD6C7" w14:textId="77777777" w:rsidTr="00B26FC1">
        <w:trPr>
          <w:trHeight w:val="20"/>
        </w:trPr>
        <w:tc>
          <w:tcPr>
            <w:tcW w:w="816" w:type="pct"/>
          </w:tcPr>
          <w:p w14:paraId="38088C7A" w14:textId="77777777" w:rsidR="00245172" w:rsidRPr="008D54A5" w:rsidRDefault="00245172" w:rsidP="00B26FC1">
            <w:pPr>
              <w:pStyle w:val="TableText-9"/>
            </w:pPr>
            <w:r w:rsidRPr="008D54A5">
              <w:t>FORCE1</w:t>
            </w:r>
          </w:p>
        </w:tc>
        <w:tc>
          <w:tcPr>
            <w:tcW w:w="1781" w:type="pct"/>
          </w:tcPr>
          <w:p w14:paraId="3B01F385" w14:textId="565CE20C" w:rsidR="00245172" w:rsidRPr="008D54A5" w:rsidRDefault="00245172" w:rsidP="00B26FC1">
            <w:pPr>
              <w:pStyle w:val="TableText-9"/>
            </w:pPr>
            <w:r w:rsidRPr="008D54A5">
              <w:t>This variable is set equal to 1, 2, 3… and is used to force a match between an MPC-HC pair within a block group.</w:t>
            </w:r>
          </w:p>
        </w:tc>
        <w:tc>
          <w:tcPr>
            <w:tcW w:w="2403" w:type="pct"/>
          </w:tcPr>
          <w:p w14:paraId="54E80EEE" w14:textId="77777777" w:rsidR="00245172" w:rsidRPr="008D54A5" w:rsidRDefault="00245172" w:rsidP="00B26FC1">
            <w:pPr>
              <w:pStyle w:val="TableText-9"/>
            </w:pPr>
            <w:r w:rsidRPr="008D54A5">
              <w:t>This variable can be used to force certain events to match. See Comment 5.</w:t>
            </w:r>
          </w:p>
          <w:p w14:paraId="6591A397" w14:textId="77777777" w:rsidR="00245172" w:rsidRPr="008D54A5" w:rsidRDefault="00245172" w:rsidP="00B26FC1">
            <w:pPr>
              <w:pStyle w:val="TableText-9"/>
            </w:pPr>
          </w:p>
          <w:p w14:paraId="1F3DBD9C" w14:textId="4458CB70" w:rsidR="00245172" w:rsidRPr="008D54A5" w:rsidRDefault="00245172" w:rsidP="00B26FC1">
            <w:pPr>
              <w:pStyle w:val="TableText-9"/>
            </w:pPr>
            <w:r w:rsidRPr="008D54A5">
              <w:t>FORCE1 was not used for the 2022 matching.</w:t>
            </w:r>
          </w:p>
        </w:tc>
      </w:tr>
    </w:tbl>
    <w:p w14:paraId="74FF403F" w14:textId="77777777" w:rsidR="00245172" w:rsidRPr="008D54A5" w:rsidRDefault="00245172" w:rsidP="00245172">
      <w:pPr>
        <w:pStyle w:val="tablecont"/>
        <w:jc w:val="left"/>
      </w:pPr>
      <w:r w:rsidRPr="008D54A5" w:rsidDel="00723BB8">
        <w:rPr>
          <w:rFonts w:ascii="Arial" w:hAnsi="Arial" w:cs="Arial"/>
        </w:rPr>
        <w:t xml:space="preserve"> </w:t>
      </w:r>
      <w:r w:rsidRPr="008D54A5">
        <w:t>AHRQ = Agency for Healthcare Research and Quality; BETOS = Berenson-Eggers Type of Service; CPT = Current Procedural Terminology; ER = emergency room; HC = Household Component; MPC = Medical Provider Component; MV = medical visit; OBD = office-based doctor; OP = outpatient; SBD = separately billing doctor.</w:t>
      </w:r>
    </w:p>
    <w:p w14:paraId="7F509450" w14:textId="1D8162CD" w:rsidR="00245172" w:rsidRPr="008D54A5" w:rsidRDefault="00245172" w:rsidP="00245172">
      <w:pPr>
        <w:pStyle w:val="Source-9-1"/>
      </w:pPr>
      <w:r w:rsidRPr="008D54A5">
        <w:t>Source: 2022 Medical Expenditure Panel Survey – Medical Provider Component.</w:t>
      </w:r>
    </w:p>
    <w:p w14:paraId="7FC352DF" w14:textId="53035713" w:rsidR="00271265" w:rsidRPr="008D54A5" w:rsidRDefault="00951E27" w:rsidP="00245172">
      <w:pPr>
        <w:pStyle w:val="BodyText2"/>
      </w:pPr>
      <w:r w:rsidRPr="008D54A5">
        <w:t xml:space="preserve">The variable </w:t>
      </w:r>
      <w:r w:rsidR="00271265" w:rsidRPr="008D54A5">
        <w:t xml:space="preserve">OP_OBS is set to 1 for MPC Hospital </w:t>
      </w:r>
      <w:r w:rsidR="00AF5B5F" w:rsidRPr="008D54A5">
        <w:t>o</w:t>
      </w:r>
      <w:r w:rsidR="00271265" w:rsidRPr="008D54A5">
        <w:t xml:space="preserve">utpatient events </w:t>
      </w:r>
      <w:r w:rsidR="00EF34AD" w:rsidRPr="008D54A5">
        <w:t>for either of the following scenarios</w:t>
      </w:r>
      <w:r w:rsidR="00271265" w:rsidRPr="008D54A5">
        <w:t>:</w:t>
      </w:r>
    </w:p>
    <w:p w14:paraId="0E1B8EF0" w14:textId="2F0AC95E" w:rsidR="00271265" w:rsidRPr="008D54A5" w:rsidRDefault="00271265" w:rsidP="00CA44B3">
      <w:pPr>
        <w:pStyle w:val="bullets"/>
      </w:pPr>
      <w:r w:rsidRPr="008D54A5">
        <w:t xml:space="preserve">Any </w:t>
      </w:r>
      <w:r w:rsidR="007A52B2" w:rsidRPr="008D54A5">
        <w:t xml:space="preserve">of </w:t>
      </w:r>
      <w:r w:rsidRPr="008D54A5">
        <w:t>the following text strings appear anywhere in any of the MCPT*, ORIG_MCPT*, and ORIG_MCPTDS* fields (regardless of field length/position in field): “99217</w:t>
      </w:r>
      <w:r w:rsidR="00F40678" w:rsidRPr="008D54A5">
        <w:t>,”</w:t>
      </w:r>
      <w:r w:rsidRPr="008D54A5">
        <w:t xml:space="preserve"> “99218</w:t>
      </w:r>
      <w:r w:rsidR="00F40678" w:rsidRPr="008D54A5">
        <w:t>,”</w:t>
      </w:r>
      <w:r w:rsidRPr="008D54A5">
        <w:t xml:space="preserve"> “99219</w:t>
      </w:r>
      <w:r w:rsidR="00F40678" w:rsidRPr="008D54A5">
        <w:t>,”</w:t>
      </w:r>
      <w:r w:rsidRPr="008D54A5">
        <w:t xml:space="preserve"> “99224</w:t>
      </w:r>
      <w:r w:rsidR="00F40678" w:rsidRPr="008D54A5">
        <w:t>,”</w:t>
      </w:r>
      <w:r w:rsidR="004F5105" w:rsidRPr="008D54A5">
        <w:t xml:space="preserve"> </w:t>
      </w:r>
      <w:r w:rsidR="007A52B2" w:rsidRPr="008D54A5">
        <w:t>“</w:t>
      </w:r>
      <w:r w:rsidRPr="008D54A5">
        <w:t>99226</w:t>
      </w:r>
      <w:r w:rsidR="00F40678" w:rsidRPr="008D54A5">
        <w:t>,”</w:t>
      </w:r>
      <w:r w:rsidR="004F5105" w:rsidRPr="008D54A5">
        <w:t xml:space="preserve"> </w:t>
      </w:r>
      <w:r w:rsidR="007A52B2" w:rsidRPr="008D54A5">
        <w:t>“</w:t>
      </w:r>
      <w:r w:rsidRPr="008D54A5">
        <w:t>99234</w:t>
      </w:r>
      <w:r w:rsidR="00F40678" w:rsidRPr="008D54A5">
        <w:t>,”</w:t>
      </w:r>
      <w:r w:rsidR="004F5105" w:rsidRPr="008D54A5">
        <w:t xml:space="preserve"> </w:t>
      </w:r>
      <w:r w:rsidR="007A52B2" w:rsidRPr="008D54A5">
        <w:t>“</w:t>
      </w:r>
      <w:r w:rsidRPr="008D54A5">
        <w:t>99235</w:t>
      </w:r>
      <w:r w:rsidR="00F40678" w:rsidRPr="008D54A5">
        <w:t>,”</w:t>
      </w:r>
      <w:r w:rsidR="004F5105" w:rsidRPr="008D54A5">
        <w:t xml:space="preserve"> </w:t>
      </w:r>
      <w:r w:rsidR="007A52B2" w:rsidRPr="008D54A5">
        <w:t>“</w:t>
      </w:r>
      <w:r w:rsidRPr="008D54A5">
        <w:t>99236</w:t>
      </w:r>
      <w:r w:rsidR="00F40678" w:rsidRPr="008D54A5">
        <w:t>,”</w:t>
      </w:r>
      <w:r w:rsidR="004F5105" w:rsidRPr="008D54A5">
        <w:t xml:space="preserve"> </w:t>
      </w:r>
      <w:r w:rsidR="007A52B2" w:rsidRPr="008D54A5">
        <w:t>“</w:t>
      </w:r>
      <w:proofErr w:type="spellStart"/>
      <w:r w:rsidRPr="008D54A5">
        <w:t>obs</w:t>
      </w:r>
      <w:proofErr w:type="spellEnd"/>
      <w:r w:rsidR="00F40678" w:rsidRPr="008D54A5">
        <w:t>,”</w:t>
      </w:r>
      <w:r w:rsidRPr="008D54A5">
        <w:t xml:space="preserve"> “OBS</w:t>
      </w:r>
      <w:r w:rsidR="00F40678" w:rsidRPr="008D54A5">
        <w:t>,”</w:t>
      </w:r>
      <w:r w:rsidRPr="008D54A5">
        <w:t xml:space="preserve"> “</w:t>
      </w:r>
      <w:proofErr w:type="spellStart"/>
      <w:r w:rsidRPr="008D54A5">
        <w:t>Obs</w:t>
      </w:r>
      <w:proofErr w:type="spellEnd"/>
      <w:r w:rsidR="00F40678" w:rsidRPr="008D54A5">
        <w:t>,”</w:t>
      </w:r>
      <w:r w:rsidRPr="008D54A5">
        <w:t xml:space="preserve"> “</w:t>
      </w:r>
      <w:proofErr w:type="spellStart"/>
      <w:r w:rsidRPr="008D54A5">
        <w:t>Obv</w:t>
      </w:r>
      <w:proofErr w:type="spellEnd"/>
      <w:r w:rsidR="00F40678" w:rsidRPr="008D54A5">
        <w:t>,”</w:t>
      </w:r>
      <w:r w:rsidRPr="008D54A5">
        <w:t xml:space="preserve"> “</w:t>
      </w:r>
      <w:proofErr w:type="spellStart"/>
      <w:r w:rsidRPr="008D54A5">
        <w:t>obv</w:t>
      </w:r>
      <w:proofErr w:type="spellEnd"/>
      <w:r w:rsidR="00F40678" w:rsidRPr="008D54A5">
        <w:t>,”</w:t>
      </w:r>
      <w:r w:rsidR="004F5105" w:rsidRPr="008D54A5">
        <w:t xml:space="preserve"> </w:t>
      </w:r>
      <w:r w:rsidR="007A52B2" w:rsidRPr="008D54A5">
        <w:t>“</w:t>
      </w:r>
      <w:r w:rsidRPr="008D54A5">
        <w:t>OBV</w:t>
      </w:r>
      <w:r w:rsidR="00F40678" w:rsidRPr="008D54A5">
        <w:t>,”</w:t>
      </w:r>
      <w:r w:rsidR="004F5105" w:rsidRPr="008D54A5">
        <w:t xml:space="preserve"> </w:t>
      </w:r>
      <w:r w:rsidR="007A52B2" w:rsidRPr="008D54A5">
        <w:t>“</w:t>
      </w:r>
      <w:r w:rsidRPr="008D54A5">
        <w:t>g0378</w:t>
      </w:r>
      <w:r w:rsidR="00F40678" w:rsidRPr="008D54A5">
        <w:t>,”</w:t>
      </w:r>
      <w:r w:rsidRPr="008D54A5">
        <w:t xml:space="preserve"> “G0378” AND </w:t>
      </w:r>
      <w:r w:rsidR="0038035A" w:rsidRPr="008D54A5">
        <w:t>the outpatient total charge (</w:t>
      </w:r>
      <w:r w:rsidRPr="008D54A5">
        <w:t>OUT_TLCHRG</w:t>
      </w:r>
      <w:r w:rsidR="0038035A" w:rsidRPr="008D54A5">
        <w:t xml:space="preserve">) </w:t>
      </w:r>
      <w:r w:rsidRPr="008D54A5">
        <w:t>&gt;8000 (~94 percentile) AND OUT_TLCHRG</w:t>
      </w:r>
      <w:r w:rsidR="0038035A" w:rsidRPr="008D54A5">
        <w:t xml:space="preserve"> is not</w:t>
      </w:r>
      <w:r w:rsidRPr="008D54A5">
        <w:t xml:space="preserve"> missing</w:t>
      </w:r>
    </w:p>
    <w:p w14:paraId="14B92938" w14:textId="5B46245B" w:rsidR="00271265" w:rsidRPr="008D54A5" w:rsidRDefault="00271265" w:rsidP="00CA44B3">
      <w:pPr>
        <w:pStyle w:val="bullets"/>
      </w:pPr>
      <w:r w:rsidRPr="008D54A5">
        <w:t xml:space="preserve">OUT_TLCHRG&gt;16000 (~97-98 percentile) AND OUT_TLCHRG </w:t>
      </w:r>
      <w:r w:rsidR="007B79FC" w:rsidRPr="008D54A5">
        <w:t>is not</w:t>
      </w:r>
      <w:r w:rsidRPr="008D54A5">
        <w:t xml:space="preserve"> missing</w:t>
      </w:r>
    </w:p>
    <w:p w14:paraId="701F29B0" w14:textId="2CED9CE3" w:rsidR="00EA05D9" w:rsidRPr="008D54A5" w:rsidRDefault="00EA05D9" w:rsidP="00245172"/>
    <w:p w14:paraId="21C662E5" w14:textId="1548E08A" w:rsidR="00271265" w:rsidRPr="008D54A5" w:rsidRDefault="00271265" w:rsidP="007B19FD">
      <w:pPr>
        <w:pStyle w:val="BodyText"/>
        <w:keepNext/>
      </w:pPr>
      <w:r w:rsidRPr="008D54A5">
        <w:t>The variable EVENT is set to 9 when OP_OBS=1. For the MPC, the variable EVENT takes values 1-9</w:t>
      </w:r>
      <w:r w:rsidR="008543F6" w:rsidRPr="008D54A5">
        <w:t>:</w:t>
      </w:r>
    </w:p>
    <w:p w14:paraId="52CCBAB1" w14:textId="0DF1D2F8" w:rsidR="00271265" w:rsidRPr="008D54A5" w:rsidRDefault="00271265" w:rsidP="007B19FD">
      <w:pPr>
        <w:keepNext/>
        <w:rPr>
          <w:color w:val="000000" w:themeColor="text1"/>
          <w:szCs w:val="22"/>
        </w:rPr>
      </w:pPr>
      <w:r w:rsidRPr="008D54A5">
        <w:rPr>
          <w:color w:val="000000" w:themeColor="text1"/>
          <w:szCs w:val="22"/>
        </w:rPr>
        <w:t>1 = ER</w:t>
      </w:r>
    </w:p>
    <w:p w14:paraId="1322E76E" w14:textId="0BF01DF9" w:rsidR="00271265" w:rsidRPr="008D54A5" w:rsidRDefault="00271265" w:rsidP="007B19FD">
      <w:pPr>
        <w:keepNext/>
        <w:rPr>
          <w:color w:val="000000" w:themeColor="text1"/>
          <w:szCs w:val="22"/>
        </w:rPr>
      </w:pPr>
      <w:r w:rsidRPr="008D54A5">
        <w:rPr>
          <w:color w:val="000000" w:themeColor="text1"/>
          <w:szCs w:val="22"/>
        </w:rPr>
        <w:t>2 = Hospital Stay, 1 or 2 days</w:t>
      </w:r>
    </w:p>
    <w:p w14:paraId="3D15133E" w14:textId="31E8710C" w:rsidR="00271265" w:rsidRPr="008D54A5" w:rsidRDefault="00271265" w:rsidP="007B19FD">
      <w:pPr>
        <w:keepNext/>
        <w:rPr>
          <w:color w:val="000000" w:themeColor="text1"/>
          <w:szCs w:val="22"/>
        </w:rPr>
      </w:pPr>
      <w:r w:rsidRPr="008D54A5">
        <w:rPr>
          <w:color w:val="000000" w:themeColor="text1"/>
          <w:szCs w:val="22"/>
        </w:rPr>
        <w:t>3 = Hospital Stay, 3 days (2 nights)</w:t>
      </w:r>
    </w:p>
    <w:p w14:paraId="6C9018C6" w14:textId="1B0D0532" w:rsidR="00271265" w:rsidRPr="008D54A5" w:rsidRDefault="00271265" w:rsidP="007B19FD">
      <w:pPr>
        <w:keepNext/>
        <w:rPr>
          <w:color w:val="000000" w:themeColor="text1"/>
          <w:szCs w:val="22"/>
        </w:rPr>
      </w:pPr>
      <w:r w:rsidRPr="008D54A5">
        <w:rPr>
          <w:color w:val="000000" w:themeColor="text1"/>
          <w:szCs w:val="22"/>
        </w:rPr>
        <w:t>4 = Hospital Stay, 4 + days (3 + nights)</w:t>
      </w:r>
    </w:p>
    <w:p w14:paraId="6F13494E" w14:textId="0A260BA7" w:rsidR="00271265" w:rsidRPr="008D54A5" w:rsidRDefault="00271265" w:rsidP="007B19FD">
      <w:pPr>
        <w:keepNext/>
        <w:rPr>
          <w:color w:val="000000" w:themeColor="text1"/>
          <w:szCs w:val="22"/>
        </w:rPr>
      </w:pPr>
      <w:r w:rsidRPr="008D54A5">
        <w:rPr>
          <w:color w:val="000000" w:themeColor="text1"/>
          <w:szCs w:val="22"/>
        </w:rPr>
        <w:t>5 = Medical Office Visit</w:t>
      </w:r>
    </w:p>
    <w:p w14:paraId="51F02C65" w14:textId="551B69B5" w:rsidR="00271265" w:rsidRPr="008D54A5" w:rsidRDefault="00271265" w:rsidP="00271265">
      <w:pPr>
        <w:rPr>
          <w:color w:val="000000" w:themeColor="text1"/>
          <w:szCs w:val="22"/>
        </w:rPr>
      </w:pPr>
      <w:r w:rsidRPr="008D54A5">
        <w:rPr>
          <w:color w:val="000000" w:themeColor="text1"/>
          <w:szCs w:val="22"/>
        </w:rPr>
        <w:t>6 = Outpatient, no surgery, outpatient observation not indicated</w:t>
      </w:r>
    </w:p>
    <w:p w14:paraId="05E410A9" w14:textId="4DB4FE5F" w:rsidR="00271265" w:rsidRPr="008D54A5" w:rsidRDefault="00271265" w:rsidP="00271265">
      <w:pPr>
        <w:rPr>
          <w:color w:val="000000" w:themeColor="text1"/>
          <w:szCs w:val="22"/>
        </w:rPr>
      </w:pPr>
      <w:r w:rsidRPr="008D54A5">
        <w:rPr>
          <w:color w:val="000000" w:themeColor="text1"/>
          <w:szCs w:val="22"/>
        </w:rPr>
        <w:t>7 = Outpatient, surgery, outpatient observation not indicated</w:t>
      </w:r>
    </w:p>
    <w:p w14:paraId="195FE170" w14:textId="210CD562" w:rsidR="00271265" w:rsidRPr="008D54A5" w:rsidRDefault="00271265" w:rsidP="00271265">
      <w:pPr>
        <w:rPr>
          <w:color w:val="000000" w:themeColor="text1"/>
          <w:szCs w:val="22"/>
        </w:rPr>
      </w:pPr>
      <w:r w:rsidRPr="008D54A5">
        <w:rPr>
          <w:color w:val="000000" w:themeColor="text1"/>
          <w:szCs w:val="22"/>
        </w:rPr>
        <w:t>8 = Home Health</w:t>
      </w:r>
    </w:p>
    <w:p w14:paraId="0E584874" w14:textId="5D8FF359" w:rsidR="00271265" w:rsidRPr="008D54A5" w:rsidRDefault="00271265" w:rsidP="00271265">
      <w:pPr>
        <w:rPr>
          <w:color w:val="000000" w:themeColor="text1"/>
          <w:szCs w:val="22"/>
        </w:rPr>
      </w:pPr>
      <w:r w:rsidRPr="008D54A5">
        <w:rPr>
          <w:color w:val="000000" w:themeColor="text1"/>
          <w:szCs w:val="22"/>
        </w:rPr>
        <w:t>9 = Outpatient, outpatient observation indicated.</w:t>
      </w:r>
    </w:p>
    <w:p w14:paraId="6BE0378B" w14:textId="767785B4" w:rsidR="00271265" w:rsidRPr="008D54A5" w:rsidRDefault="00271265" w:rsidP="00271265">
      <w:pPr>
        <w:rPr>
          <w:color w:val="000000" w:themeColor="text1"/>
          <w:szCs w:val="22"/>
        </w:rPr>
      </w:pPr>
    </w:p>
    <w:p w14:paraId="13BFD28C" w14:textId="44B5B6CC" w:rsidR="00271265" w:rsidRPr="008D54A5" w:rsidRDefault="00271265" w:rsidP="002F0926">
      <w:pPr>
        <w:pStyle w:val="BodyText"/>
      </w:pPr>
      <w:r w:rsidRPr="008D54A5">
        <w:t>For the HC, the variable EVENT is not changed from prior years and takes values 1-8</w:t>
      </w:r>
      <w:r w:rsidR="008543F6" w:rsidRPr="008D54A5">
        <w:t>:</w:t>
      </w:r>
    </w:p>
    <w:p w14:paraId="40FD12DC" w14:textId="4EE04C97" w:rsidR="00271265" w:rsidRPr="008D54A5" w:rsidRDefault="00271265" w:rsidP="00271265">
      <w:pPr>
        <w:rPr>
          <w:color w:val="000000" w:themeColor="text1"/>
          <w:szCs w:val="22"/>
        </w:rPr>
      </w:pPr>
      <w:r w:rsidRPr="008D54A5">
        <w:rPr>
          <w:color w:val="000000" w:themeColor="text1"/>
          <w:szCs w:val="22"/>
        </w:rPr>
        <w:t>1 = ER</w:t>
      </w:r>
    </w:p>
    <w:p w14:paraId="47C95F22" w14:textId="73649318" w:rsidR="00271265" w:rsidRPr="008D54A5" w:rsidRDefault="00271265" w:rsidP="00271265">
      <w:pPr>
        <w:rPr>
          <w:color w:val="000000" w:themeColor="text1"/>
          <w:szCs w:val="22"/>
        </w:rPr>
      </w:pPr>
      <w:r w:rsidRPr="008D54A5">
        <w:rPr>
          <w:color w:val="000000" w:themeColor="text1"/>
          <w:szCs w:val="22"/>
        </w:rPr>
        <w:t>2 = Hospital Stay, 1 or 2 days</w:t>
      </w:r>
    </w:p>
    <w:p w14:paraId="135373B2" w14:textId="6DAA9976" w:rsidR="00271265" w:rsidRPr="008D54A5" w:rsidRDefault="00271265" w:rsidP="00271265">
      <w:pPr>
        <w:rPr>
          <w:color w:val="000000" w:themeColor="text1"/>
          <w:szCs w:val="22"/>
        </w:rPr>
      </w:pPr>
      <w:r w:rsidRPr="008D54A5">
        <w:rPr>
          <w:color w:val="000000" w:themeColor="text1"/>
          <w:szCs w:val="22"/>
        </w:rPr>
        <w:t>3 = Hospital Stay, 3 days (2 nights)</w:t>
      </w:r>
    </w:p>
    <w:p w14:paraId="038A2D10" w14:textId="37EDFA19" w:rsidR="00271265" w:rsidRPr="008D54A5" w:rsidRDefault="00271265" w:rsidP="00271265">
      <w:pPr>
        <w:rPr>
          <w:color w:val="000000" w:themeColor="text1"/>
          <w:szCs w:val="22"/>
        </w:rPr>
      </w:pPr>
      <w:r w:rsidRPr="008D54A5">
        <w:rPr>
          <w:color w:val="000000" w:themeColor="text1"/>
          <w:szCs w:val="22"/>
        </w:rPr>
        <w:t>4 = Hospital Stay, 4 + days (3 + nights)</w:t>
      </w:r>
    </w:p>
    <w:p w14:paraId="66EF7788" w14:textId="0652A702" w:rsidR="00271265" w:rsidRPr="008D54A5" w:rsidRDefault="00271265" w:rsidP="00271265">
      <w:pPr>
        <w:rPr>
          <w:color w:val="000000" w:themeColor="text1"/>
          <w:szCs w:val="22"/>
        </w:rPr>
      </w:pPr>
      <w:r w:rsidRPr="008D54A5">
        <w:rPr>
          <w:color w:val="000000" w:themeColor="text1"/>
          <w:szCs w:val="22"/>
        </w:rPr>
        <w:t>5 = Medical Office Visit</w:t>
      </w:r>
    </w:p>
    <w:p w14:paraId="0BC98981" w14:textId="71936058" w:rsidR="00271265" w:rsidRPr="008D54A5" w:rsidRDefault="00271265" w:rsidP="00271265">
      <w:pPr>
        <w:rPr>
          <w:color w:val="000000" w:themeColor="text1"/>
          <w:szCs w:val="22"/>
        </w:rPr>
      </w:pPr>
      <w:r w:rsidRPr="008D54A5">
        <w:rPr>
          <w:color w:val="000000" w:themeColor="text1"/>
          <w:szCs w:val="22"/>
        </w:rPr>
        <w:t xml:space="preserve">6 = Outpatient, no surgery </w:t>
      </w:r>
    </w:p>
    <w:p w14:paraId="4DACDF52" w14:textId="0B6FDF80" w:rsidR="00271265" w:rsidRPr="008D54A5" w:rsidRDefault="00271265" w:rsidP="00C90C6E">
      <w:pPr>
        <w:keepNext/>
        <w:keepLines/>
        <w:rPr>
          <w:color w:val="000000" w:themeColor="text1"/>
          <w:szCs w:val="22"/>
        </w:rPr>
      </w:pPr>
      <w:r w:rsidRPr="008D54A5">
        <w:rPr>
          <w:color w:val="000000" w:themeColor="text1"/>
          <w:szCs w:val="22"/>
        </w:rPr>
        <w:lastRenderedPageBreak/>
        <w:t xml:space="preserve">7 = Outpatient, surgery </w:t>
      </w:r>
    </w:p>
    <w:p w14:paraId="7C00353C" w14:textId="279CFA5A" w:rsidR="00271265" w:rsidRPr="008D54A5" w:rsidRDefault="00271265" w:rsidP="00271265">
      <w:pPr>
        <w:rPr>
          <w:color w:val="000000" w:themeColor="text1"/>
          <w:szCs w:val="22"/>
        </w:rPr>
      </w:pPr>
      <w:r w:rsidRPr="008D54A5">
        <w:rPr>
          <w:color w:val="000000" w:themeColor="text1"/>
          <w:szCs w:val="22"/>
        </w:rPr>
        <w:t>8 = Home Health</w:t>
      </w:r>
    </w:p>
    <w:p w14:paraId="5F66ADC1" w14:textId="1219B77B" w:rsidR="00DB7005" w:rsidRPr="008D54A5" w:rsidRDefault="00271265" w:rsidP="00C90C6E">
      <w:pPr>
        <w:pStyle w:val="BodyText2"/>
      </w:pPr>
      <w:r w:rsidRPr="008D54A5">
        <w:t xml:space="preserve">At Pass 1, MPC events with EVENT=9 (or OP_OBS=1) were </w:t>
      </w:r>
      <w:r w:rsidR="00BA46F1" w:rsidRPr="008D54A5">
        <w:t xml:space="preserve">then </w:t>
      </w:r>
      <w:r w:rsidRPr="008D54A5">
        <w:t xml:space="preserve">allowed to match with HC </w:t>
      </w:r>
      <w:r w:rsidR="004857F3" w:rsidRPr="008D54A5">
        <w:t>inpatient hospital</w:t>
      </w:r>
      <w:r w:rsidRPr="008D54A5">
        <w:t xml:space="preserve"> stays with EVENT=3 or 4 (as well as EVENT=1, 2, 5, 6, </w:t>
      </w:r>
      <w:r w:rsidR="00F64E0A" w:rsidRPr="008D54A5">
        <w:t xml:space="preserve">or </w:t>
      </w:r>
      <w:r w:rsidRPr="008D54A5">
        <w:t xml:space="preserve">7 as previously). Pass 1.5 </w:t>
      </w:r>
      <w:r w:rsidR="00756042" w:rsidRPr="008D54A5">
        <w:t xml:space="preserve">was more restrictive on the types of events that can </w:t>
      </w:r>
      <w:r w:rsidRPr="008D54A5">
        <w:t xml:space="preserve">match. </w:t>
      </w:r>
    </w:p>
    <w:p w14:paraId="5AA3037C" w14:textId="62D9FA5D" w:rsidR="00FA50CC" w:rsidRPr="008D54A5" w:rsidRDefault="00FA50CC" w:rsidP="00140F84">
      <w:pPr>
        <w:pStyle w:val="BodyText"/>
        <w:rPr>
          <w:b/>
          <w:bCs w:val="0"/>
          <w:u w:val="single"/>
        </w:rPr>
      </w:pPr>
      <w:r w:rsidRPr="008D54A5">
        <w:rPr>
          <w:b/>
          <w:bCs w:val="0"/>
          <w:u w:val="single"/>
        </w:rPr>
        <w:t>Comment 1: Contribution of Begin Date to the Match Weight</w:t>
      </w:r>
    </w:p>
    <w:p w14:paraId="2137C413" w14:textId="7F0573FB" w:rsidR="00B624EA" w:rsidRPr="008D54A5" w:rsidRDefault="00FA50CC" w:rsidP="002F0926">
      <w:pPr>
        <w:pStyle w:val="BodyText"/>
      </w:pPr>
      <w:r w:rsidRPr="008D54A5">
        <w:t>For matching, event date is treated as a range variable and does not simply agree or disagree. Event date is the most important variable used to identify a match between medical events in the HC and MPC. Given its importance, the contribution of event date is set to be relatively large and dependent on the absolute difference in the dates between the HC and MPC events under consideration. The difference between event dates is a continuous variable; as the difference in dates approaches zero, the contribution of the date to the match weight becomes larger in a nonlinear fashion</w:t>
      </w:r>
      <w:r w:rsidR="00B624EA" w:rsidRPr="008D54A5">
        <w:t>.</w:t>
      </w:r>
      <w:r w:rsidR="00356CD1" w:rsidRPr="008D54A5">
        <w:t xml:space="preserve"> </w:t>
      </w:r>
      <w:r w:rsidR="001A4228" w:rsidRPr="008D54A5">
        <w:t>T</w:t>
      </w:r>
      <w:r w:rsidR="00B624EA" w:rsidRPr="008D54A5">
        <w:t xml:space="preserve">he function used </w:t>
      </w:r>
      <w:r w:rsidR="00017300" w:rsidRPr="008D54A5">
        <w:t xml:space="preserve">since </w:t>
      </w:r>
      <w:r w:rsidR="003D76AF" w:rsidRPr="008D54A5">
        <w:t>2013</w:t>
      </w:r>
      <w:r w:rsidR="00BB1027" w:rsidRPr="008D54A5">
        <w:t xml:space="preserve"> </w:t>
      </w:r>
      <w:r w:rsidR="00B624EA" w:rsidRPr="008D54A5">
        <w:t>is:</w:t>
      </w:r>
    </w:p>
    <w:p w14:paraId="2B898F67" w14:textId="2E008401" w:rsidR="00944BDD" w:rsidRPr="008D54A5" w:rsidRDefault="00944BDD" w:rsidP="00C90C6E">
      <w:pPr>
        <w:jc w:val="center"/>
      </w:pPr>
      <w:r w:rsidRPr="008D54A5">
        <w:rPr>
          <w:position w:val="-46"/>
        </w:rPr>
        <w:object w:dxaOrig="3519" w:dyaOrig="980" w14:anchorId="02052BB3">
          <v:shape id="_x0000_i1033" type="#_x0000_t75" style="width:179.25pt;height:60.75pt" o:ole="" o:allowoverlap="f">
            <v:imagedata r:id="rId48" o:title=""/>
          </v:shape>
          <o:OLEObject Type="Embed" ProgID="Equation.3" ShapeID="_x0000_i1033" DrawAspect="Content" ObjectID="_1799740954" r:id="rId49"/>
        </w:object>
      </w:r>
    </w:p>
    <w:p w14:paraId="037A56B3" w14:textId="5B2813B9" w:rsidR="00B624EA" w:rsidRPr="008D54A5" w:rsidRDefault="00B624EA" w:rsidP="00944BDD">
      <w:pPr>
        <w:pStyle w:val="awhere"/>
      </w:pPr>
      <w:proofErr w:type="gramStart"/>
      <w:r w:rsidRPr="008D54A5">
        <w:t>where</w:t>
      </w:r>
      <w:proofErr w:type="gramEnd"/>
    </w:p>
    <w:p w14:paraId="075CBFA3" w14:textId="024FE0FB" w:rsidR="00B624EA" w:rsidRPr="008D54A5" w:rsidRDefault="00000000" w:rsidP="00944BDD">
      <w:pPr>
        <w:pStyle w:val="awhere"/>
      </w:pPr>
      <m:oMath>
        <m:sSub>
          <m:sSubPr>
            <m:ctrlPr>
              <w:rPr>
                <w:rFonts w:ascii="Cambria Math" w:hAnsi="Cambria Math"/>
                <w:i/>
              </w:rPr>
            </m:ctrlPr>
          </m:sSubPr>
          <m:e>
            <m:r>
              <w:rPr>
                <w:rFonts w:ascii="Cambria Math" w:hAnsi="Cambria Math"/>
              </w:rPr>
              <m:t>δ</m:t>
            </m:r>
          </m:e>
          <m:sub>
            <m:r>
              <w:rPr>
                <w:rFonts w:ascii="Cambria Math" w:hAnsi="Cambria Math"/>
              </w:rPr>
              <m:t>jk</m:t>
            </m:r>
          </m:sub>
        </m:sSub>
      </m:oMath>
      <w:r w:rsidR="00B624EA" w:rsidRPr="008D54A5">
        <w:t>=</w:t>
      </w:r>
      <w:r w:rsidR="00944BDD" w:rsidRPr="008D54A5">
        <w:tab/>
      </w:r>
      <w:r w:rsidR="00B624EA" w:rsidRPr="008D54A5">
        <w:t xml:space="preserve">absolute difference in the event begin date between HC </w:t>
      </w:r>
      <w:r w:rsidR="009B66C1" w:rsidRPr="008D54A5">
        <w:t xml:space="preserve">event j </w:t>
      </w:r>
      <w:r w:rsidR="00B624EA" w:rsidRPr="008D54A5">
        <w:t xml:space="preserve">and MPC </w:t>
      </w:r>
      <w:r w:rsidR="009B66C1" w:rsidRPr="008D54A5">
        <w:t xml:space="preserve">event </w:t>
      </w:r>
      <w:r w:rsidR="00EC71F9" w:rsidRPr="008D54A5">
        <w:rPr>
          <w:i/>
          <w:iCs/>
        </w:rPr>
        <w:t>k</w:t>
      </w:r>
      <w:r w:rsidR="00EC71F9" w:rsidRPr="008D54A5">
        <w:t xml:space="preserve"> </w:t>
      </w:r>
    </w:p>
    <w:p w14:paraId="332B0ADC" w14:textId="27AF84BF" w:rsidR="00944BDD" w:rsidRPr="008D54A5" w:rsidRDefault="00B624EA" w:rsidP="00944BDD">
      <w:pPr>
        <w:pStyle w:val="awhere"/>
      </w:pPr>
      <m:oMath>
        <m:r>
          <w:rPr>
            <w:rFonts w:ascii="Cambria Math" w:hAnsi="Cambria Math"/>
          </w:rPr>
          <m:t>S</m:t>
        </m:r>
      </m:oMath>
      <w:r w:rsidRPr="008D54A5">
        <w:t xml:space="preserve"> =</w:t>
      </w:r>
      <w:r w:rsidR="004664E2" w:rsidRPr="008D54A5">
        <w:t xml:space="preserve"> </w:t>
      </w:r>
      <w:r w:rsidR="00FB67A5" w:rsidRPr="008D54A5">
        <w:t xml:space="preserve">scale = </w:t>
      </w:r>
      <w:r w:rsidRPr="008D54A5">
        <w:t xml:space="preserve">steepness of decay (greater value = steeper decay and is </w:t>
      </w:r>
      <w:proofErr w:type="gramStart"/>
      <w:r w:rsidRPr="008D54A5">
        <w:t>hard-coded</w:t>
      </w:r>
      <w:proofErr w:type="gramEnd"/>
      <w:r w:rsidRPr="008D54A5">
        <w:t xml:space="preserve"> to a constant</w:t>
      </w:r>
      <w:r w:rsidR="00FB67A5" w:rsidRPr="008D54A5">
        <w:t xml:space="preserve"> 4.5</w:t>
      </w:r>
      <w:r w:rsidRPr="008D54A5">
        <w:t>)</w:t>
      </w:r>
    </w:p>
    <w:p w14:paraId="1BB216BC" w14:textId="13845D7E" w:rsidR="00944BDD" w:rsidRPr="008D54A5" w:rsidRDefault="00B624EA" w:rsidP="00944BDD">
      <w:pPr>
        <w:pStyle w:val="awhere"/>
      </w:pPr>
      <m:oMath>
        <m:r>
          <w:rPr>
            <w:rFonts w:ascii="Cambria Math" w:hAnsi="Cambria Math"/>
            <w:szCs w:val="18"/>
          </w:rPr>
          <m:t>α</m:t>
        </m:r>
      </m:oMath>
      <w:r w:rsidRPr="008D54A5">
        <w:rPr>
          <w:szCs w:val="18"/>
        </w:rPr>
        <w:t xml:space="preserve"> =</w:t>
      </w:r>
      <w:r w:rsidR="004664E2" w:rsidRPr="008D54A5">
        <w:rPr>
          <w:szCs w:val="18"/>
        </w:rPr>
        <w:t xml:space="preserve"> </w:t>
      </w:r>
      <w:r w:rsidRPr="008D54A5">
        <w:rPr>
          <w:szCs w:val="18"/>
        </w:rPr>
        <w:t xml:space="preserve">minimum </w:t>
      </w:r>
      <w:r w:rsidRPr="008D54A5">
        <w:t xml:space="preserve">(the disagreement score </w:t>
      </w:r>
      <w:r w:rsidR="00B11521" w:rsidRPr="008D54A5">
        <w:t xml:space="preserve">for the event </w:t>
      </w:r>
      <w:proofErr w:type="gramStart"/>
      <w:r w:rsidR="00B11521" w:rsidRPr="008D54A5">
        <w:t>begin</w:t>
      </w:r>
      <w:proofErr w:type="gramEnd"/>
      <w:r w:rsidR="00B11521" w:rsidRPr="008D54A5">
        <w:t xml:space="preserve"> date </w:t>
      </w:r>
      <w:r w:rsidRPr="008D54A5">
        <w:t>or user-provided value)</w:t>
      </w:r>
      <w:r w:rsidR="0052053B" w:rsidRPr="008D54A5">
        <w:t>, set to</w:t>
      </w:r>
      <w:r w:rsidR="00356CD1" w:rsidRPr="008D54A5">
        <w:t xml:space="preserve"> </w:t>
      </w:r>
      <w:r w:rsidR="00944BDD" w:rsidRPr="008D54A5">
        <w:br/>
      </w:r>
      <w:r w:rsidR="0052053B" w:rsidRPr="008D54A5">
        <w:t xml:space="preserve"> -1 * agreement score</w:t>
      </w:r>
    </w:p>
    <w:p w14:paraId="20747CF1" w14:textId="580376E6" w:rsidR="00B624EA" w:rsidRPr="008D54A5" w:rsidRDefault="00B624EA" w:rsidP="00944BDD">
      <w:pPr>
        <w:pStyle w:val="awhere"/>
      </w:pPr>
      <m:oMath>
        <m:r>
          <w:rPr>
            <w:rFonts w:ascii="Cambria Math" w:hAnsi="Cambria Math"/>
          </w:rPr>
          <m:t>β</m:t>
        </m:r>
      </m:oMath>
      <w:r w:rsidRPr="008D54A5">
        <w:t xml:space="preserve"> =</w:t>
      </w:r>
      <w:r w:rsidR="004664E2" w:rsidRPr="008D54A5">
        <w:t xml:space="preserve"> </w:t>
      </w:r>
      <w:r w:rsidRPr="008D54A5">
        <w:t xml:space="preserve">range (maximum – </w:t>
      </w:r>
      <m:oMath>
        <m:r>
          <w:rPr>
            <w:rFonts w:ascii="Cambria Math" w:hAnsi="Cambria Math"/>
          </w:rPr>
          <m:t>α)</m:t>
        </m:r>
      </m:oMath>
      <w:r w:rsidRPr="008D54A5">
        <w:t xml:space="preserve">, where </w:t>
      </w:r>
      <w:r w:rsidR="00356CD1" w:rsidRPr="008D54A5">
        <w:t>“</w:t>
      </w:r>
      <w:r w:rsidRPr="008D54A5">
        <w:t>maximum</w:t>
      </w:r>
      <w:r w:rsidR="00356CD1" w:rsidRPr="008D54A5">
        <w:t>”</w:t>
      </w:r>
      <w:r w:rsidRPr="008D54A5">
        <w:t xml:space="preserve"> is the agreement score or user-provided value </w:t>
      </w:r>
    </w:p>
    <w:p w14:paraId="75D8A331" w14:textId="77777777" w:rsidR="00E62A12" w:rsidRPr="008D54A5" w:rsidRDefault="00E62A12" w:rsidP="007B19FD">
      <w:pPr>
        <w:pStyle w:val="BodyText1212"/>
        <w:spacing w:before="360" w:after="120"/>
      </w:pPr>
      <w:r w:rsidRPr="008D54A5">
        <w:rPr>
          <w:b/>
          <w:u w:val="single"/>
        </w:rPr>
        <w:t>Comment 2: Contribution of HSPLUS1 to the Match Weight</w:t>
      </w:r>
    </w:p>
    <w:p w14:paraId="080A4C7B" w14:textId="64294957" w:rsidR="00E62A12" w:rsidRPr="008D54A5" w:rsidRDefault="001A4228" w:rsidP="002F0926">
      <w:pPr>
        <w:pStyle w:val="BodyText"/>
      </w:pPr>
      <w:r w:rsidRPr="008D54A5">
        <w:t>The comparison score for length of stay that has been used since the 2013 matching is the following</w:t>
      </w:r>
      <w:r w:rsidR="00E62A12" w:rsidRPr="008D54A5">
        <w:t xml:space="preserve"> function:</w:t>
      </w:r>
    </w:p>
    <w:p w14:paraId="546EB884" w14:textId="64D4EA16" w:rsidR="00E62A12" w:rsidRPr="008D54A5" w:rsidRDefault="00492AD9" w:rsidP="00C90C6E">
      <w:pPr>
        <w:jc w:val="center"/>
      </w:pPr>
      <w:r w:rsidRPr="008D54A5">
        <w:rPr>
          <w:position w:val="-14"/>
          <w:szCs w:val="24"/>
        </w:rPr>
        <w:object w:dxaOrig="2420" w:dyaOrig="520" w14:anchorId="546D07FF">
          <v:shape id="_x0000_i1034" type="#_x0000_t75" style="width:122.25pt;height:30.75pt" o:ole="">
            <v:imagedata r:id="rId50" o:title=""/>
          </v:shape>
          <o:OLEObject Type="Embed" ProgID="Equation.3" ShapeID="_x0000_i1034" DrawAspect="Content" ObjectID="_1799740955" r:id="rId51"/>
        </w:object>
      </w:r>
    </w:p>
    <w:p w14:paraId="36A97E70" w14:textId="33377EB9" w:rsidR="00E62A12" w:rsidRPr="008D54A5" w:rsidRDefault="00E62A12" w:rsidP="00944BDD">
      <w:pPr>
        <w:pStyle w:val="awhere"/>
      </w:pPr>
      <w:proofErr w:type="gramStart"/>
      <w:r w:rsidRPr="008D54A5">
        <w:t>where</w:t>
      </w:r>
      <w:proofErr w:type="gramEnd"/>
    </w:p>
    <w:p w14:paraId="6A52B17B" w14:textId="17F54460" w:rsidR="00E62A12" w:rsidRPr="008D54A5" w:rsidRDefault="00E62A12" w:rsidP="00944BDD">
      <w:pPr>
        <w:pStyle w:val="awhere"/>
        <w:ind w:left="1080" w:hanging="1080"/>
      </w:pPr>
      <m:oMath>
        <m:r>
          <w:rPr>
            <w:rFonts w:ascii="Cambria Math" w:hAnsi="Cambria Math"/>
            <w:szCs w:val="18"/>
          </w:rPr>
          <m:t>α</m:t>
        </m:r>
      </m:oMath>
      <w:r w:rsidRPr="008D54A5">
        <w:t xml:space="preserve"> =</w:t>
      </w:r>
      <w:r w:rsidR="004664E2" w:rsidRPr="008D54A5">
        <w:t xml:space="preserve"> </w:t>
      </w:r>
      <w:r w:rsidR="00AB36E1" w:rsidRPr="008D54A5">
        <w:t>minimum =</w:t>
      </w:r>
      <w:r w:rsidRPr="008D54A5">
        <w:t xml:space="preserve"> disagreement score for HSPLUS1</w:t>
      </w:r>
      <w:r w:rsidR="00356CD1" w:rsidRPr="008D54A5">
        <w:t xml:space="preserve"> </w:t>
      </w:r>
    </w:p>
    <w:p w14:paraId="016FA124" w14:textId="374CE327" w:rsidR="00E62A12" w:rsidRPr="008D54A5" w:rsidRDefault="00E62A12" w:rsidP="00944BDD">
      <w:pPr>
        <w:pStyle w:val="awhere"/>
        <w:ind w:left="1080" w:hanging="1080"/>
      </w:pPr>
      <m:oMath>
        <m:r>
          <w:rPr>
            <w:rFonts w:ascii="Cambria Math" w:hAnsi="Cambria Math"/>
            <w:szCs w:val="18"/>
          </w:rPr>
          <m:t>β</m:t>
        </m:r>
      </m:oMath>
      <w:r w:rsidRPr="008D54A5">
        <w:t xml:space="preserve"> =</w:t>
      </w:r>
      <w:r w:rsidR="004664E2" w:rsidRPr="008D54A5">
        <w:t xml:space="preserve"> </w:t>
      </w:r>
      <w:r w:rsidRPr="008D54A5">
        <w:t xml:space="preserve">range (agreement score - disagreement score for </w:t>
      </w:r>
      <w:r w:rsidR="00AB36E1" w:rsidRPr="008D54A5">
        <w:t>HSPLUS1)</w:t>
      </w:r>
      <w:r w:rsidR="00356CD1" w:rsidRPr="008D54A5">
        <w:t xml:space="preserve"> </w:t>
      </w:r>
    </w:p>
    <w:p w14:paraId="3285934F" w14:textId="7371E45B" w:rsidR="00E62A12" w:rsidRPr="008D54A5" w:rsidRDefault="00000000" w:rsidP="00944BDD">
      <w:pPr>
        <w:pStyle w:val="awhere"/>
        <w:ind w:left="1080" w:hanging="1080"/>
      </w:pPr>
      <m:oMath>
        <m:sSub>
          <m:sSubPr>
            <m:ctrlPr>
              <w:rPr>
                <w:rFonts w:ascii="Cambria Math" w:hAnsi="Cambria Math"/>
                <w:i/>
                <w:szCs w:val="18"/>
              </w:rPr>
            </m:ctrlPr>
          </m:sSubPr>
          <m:e>
            <m:r>
              <w:rPr>
                <w:rFonts w:ascii="Cambria Math" w:hAnsi="Cambria Math"/>
                <w:szCs w:val="18"/>
              </w:rPr>
              <m:t>δ</m:t>
            </m:r>
          </m:e>
          <m:sub>
            <m:r>
              <w:rPr>
                <w:rFonts w:ascii="Cambria Math" w:hAnsi="Cambria Math"/>
                <w:szCs w:val="18"/>
              </w:rPr>
              <m:t>jk</m:t>
            </m:r>
          </m:sub>
        </m:sSub>
      </m:oMath>
      <w:r w:rsidR="00356CD1" w:rsidRPr="008D54A5">
        <w:t xml:space="preserve"> </w:t>
      </w:r>
      <w:r w:rsidR="00E62A12" w:rsidRPr="008D54A5">
        <w:t>=</w:t>
      </w:r>
      <w:r w:rsidR="004664E2" w:rsidRPr="008D54A5">
        <w:t xml:space="preserve"> </w:t>
      </w:r>
      <w:r w:rsidR="00E62A12" w:rsidRPr="008D54A5">
        <w:t xml:space="preserve">absolute difference between length of stay for HC event </w:t>
      </w:r>
      <w:r w:rsidR="00E62A12" w:rsidRPr="008D54A5">
        <w:rPr>
          <w:i/>
          <w:iCs/>
        </w:rPr>
        <w:t>j</w:t>
      </w:r>
      <w:r w:rsidR="00E62A12" w:rsidRPr="008D54A5">
        <w:t xml:space="preserve"> and MPC event </w:t>
      </w:r>
      <w:r w:rsidR="00E62A12" w:rsidRPr="008D54A5">
        <w:rPr>
          <w:i/>
          <w:iCs/>
        </w:rPr>
        <w:t>k</w:t>
      </w:r>
    </w:p>
    <w:p w14:paraId="4970FE23" w14:textId="389F6636" w:rsidR="00E62A12" w:rsidRPr="008D54A5" w:rsidRDefault="00E62A12" w:rsidP="00944BDD">
      <w:pPr>
        <w:pStyle w:val="awhere"/>
        <w:ind w:left="1080" w:hanging="1080"/>
      </w:pPr>
      <w:proofErr w:type="spellStart"/>
      <w:r w:rsidRPr="008D54A5">
        <w:rPr>
          <w:i/>
          <w:iCs/>
        </w:rPr>
        <w:t>HCLOS</w:t>
      </w:r>
      <w:r w:rsidRPr="008D54A5">
        <w:rPr>
          <w:i/>
          <w:iCs/>
          <w:vertAlign w:val="subscript"/>
        </w:rPr>
        <w:t>j</w:t>
      </w:r>
      <w:proofErr w:type="spellEnd"/>
      <w:r w:rsidRPr="008D54A5">
        <w:t xml:space="preserve"> =</w:t>
      </w:r>
      <w:r w:rsidR="00944BDD" w:rsidRPr="008D54A5">
        <w:tab/>
      </w:r>
      <w:r w:rsidRPr="008D54A5">
        <w:t xml:space="preserve">Length of stay for HC event </w:t>
      </w:r>
      <w:r w:rsidRPr="008D54A5">
        <w:rPr>
          <w:i/>
          <w:iCs/>
        </w:rPr>
        <w:t xml:space="preserve">j </w:t>
      </w:r>
    </w:p>
    <w:p w14:paraId="0ED27227" w14:textId="73525E28" w:rsidR="00E62A12" w:rsidRPr="008D54A5" w:rsidRDefault="00E62A12" w:rsidP="00944BDD">
      <w:pPr>
        <w:pStyle w:val="awhere"/>
        <w:ind w:left="1080" w:hanging="1080"/>
      </w:pPr>
      <m:oMath>
        <m:r>
          <w:rPr>
            <w:rFonts w:ascii="Cambria Math" w:hAnsi="Cambria Math"/>
            <w:szCs w:val="18"/>
          </w:rPr>
          <m:t>γ</m:t>
        </m:r>
      </m:oMath>
      <w:r w:rsidRPr="008D54A5">
        <w:t xml:space="preserve"> =</w:t>
      </w:r>
      <w:r w:rsidR="004664E2" w:rsidRPr="008D54A5">
        <w:t xml:space="preserve"> </w:t>
      </w:r>
      <w:r w:rsidRPr="008D54A5">
        <w:t>width factor, flatness of decay (greater value = flatter decay) = 1.4</w:t>
      </w:r>
    </w:p>
    <w:p w14:paraId="3FB03AB6" w14:textId="5BE3081D" w:rsidR="00E62A12" w:rsidRPr="008D54A5" w:rsidRDefault="00B9694C" w:rsidP="00E62A12">
      <w:pPr>
        <w:pStyle w:val="BodyText"/>
      </w:pPr>
      <w:r w:rsidRPr="008D54A5">
        <w:lastRenderedPageBreak/>
        <w:t>Starting i</w:t>
      </w:r>
      <w:r w:rsidR="00010760" w:rsidRPr="008D54A5">
        <w:t>n 2016</w:t>
      </w:r>
      <w:r w:rsidRPr="008D54A5">
        <w:t>,</w:t>
      </w:r>
      <w:r w:rsidR="00010760" w:rsidRPr="008D54A5">
        <w:t xml:space="preserve"> the inpatient stay matches at Pass 1.5 </w:t>
      </w:r>
      <w:r w:rsidR="001A4228" w:rsidRPr="008D54A5">
        <w:t xml:space="preserve">are </w:t>
      </w:r>
      <w:r w:rsidR="00010760" w:rsidRPr="008D54A5">
        <w:t>further restricted so that the difference in the length of stay is less than 3 days.</w:t>
      </w:r>
    </w:p>
    <w:bookmarkEnd w:id="243"/>
    <w:p w14:paraId="065DB2CB" w14:textId="00BA6B6D" w:rsidR="00E27104" w:rsidRPr="008D54A5" w:rsidRDefault="004312C7" w:rsidP="007B19FD">
      <w:pPr>
        <w:pStyle w:val="BodyText1212"/>
        <w:spacing w:before="240" w:after="120"/>
      </w:pPr>
      <w:r w:rsidRPr="008D54A5">
        <w:rPr>
          <w:b/>
          <w:u w:val="single"/>
        </w:rPr>
        <w:t xml:space="preserve">Comment 3: </w:t>
      </w:r>
      <w:r w:rsidR="00E27104" w:rsidRPr="008D54A5">
        <w:rPr>
          <w:b/>
          <w:u w:val="single"/>
        </w:rPr>
        <w:t>Array Variables</w:t>
      </w:r>
    </w:p>
    <w:p w14:paraId="5A825F4F" w14:textId="6AC5538C" w:rsidR="004D0E6E" w:rsidRPr="008D54A5" w:rsidRDefault="00CD4699" w:rsidP="00A3784D">
      <w:pPr>
        <w:pStyle w:val="BodyText"/>
      </w:pPr>
      <w:r w:rsidRPr="008D54A5">
        <w:t xml:space="preserve">Two </w:t>
      </w:r>
      <w:r w:rsidR="00557475" w:rsidRPr="008D54A5">
        <w:t xml:space="preserve">sets of array variables were used in </w:t>
      </w:r>
      <w:r w:rsidR="004D0E6E" w:rsidRPr="008D54A5">
        <w:t>the MPC</w:t>
      </w:r>
      <w:r w:rsidR="00F66E50" w:rsidRPr="008D54A5">
        <w:t>-HC matching</w:t>
      </w:r>
      <w:r w:rsidR="00864BDB" w:rsidRPr="008D54A5">
        <w:t xml:space="preserve">. </w:t>
      </w:r>
      <w:r w:rsidR="00F66AD2" w:rsidRPr="008D54A5">
        <w:t>One set include</w:t>
      </w:r>
      <w:r w:rsidR="00D72ACD" w:rsidRPr="008D54A5">
        <w:t>s</w:t>
      </w:r>
      <w:r w:rsidR="00F66AD2" w:rsidRPr="008D54A5">
        <w:t xml:space="preserve"> the </w:t>
      </w:r>
      <w:r w:rsidR="00364E51" w:rsidRPr="008D54A5">
        <w:t xml:space="preserve">surgery, radiology, and laboratory indicator </w:t>
      </w:r>
      <w:r w:rsidR="00F66AD2" w:rsidRPr="008D54A5">
        <w:t>variables {FLAG1, FLAG2 and FLAG3}</w:t>
      </w:r>
      <w:r w:rsidR="00364E51" w:rsidRPr="008D54A5">
        <w:t xml:space="preserve"> respectively</w:t>
      </w:r>
      <w:r w:rsidR="00F66AD2" w:rsidRPr="008D54A5">
        <w:t>. A second set include</w:t>
      </w:r>
      <w:r w:rsidR="00D72ACD" w:rsidRPr="008D54A5">
        <w:t>s</w:t>
      </w:r>
      <w:r w:rsidR="00F66AD2" w:rsidRPr="008D54A5">
        <w:t xml:space="preserve"> </w:t>
      </w:r>
      <w:r w:rsidR="00364E51" w:rsidRPr="008D54A5">
        <w:t>the condition indicator variables</w:t>
      </w:r>
      <w:r w:rsidR="00557475" w:rsidRPr="008D54A5">
        <w:t>:</w:t>
      </w:r>
      <w:r w:rsidR="007E37A8" w:rsidRPr="008D54A5">
        <w:t xml:space="preserve"> </w:t>
      </w:r>
      <w:r w:rsidR="00C719F6" w:rsidRPr="008D54A5">
        <w:t>{C</w:t>
      </w:r>
      <w:r w:rsidR="006262F9" w:rsidRPr="008D54A5">
        <w:t>700</w:t>
      </w:r>
      <w:r w:rsidR="00C719F6" w:rsidRPr="008D54A5">
        <w:t>, C</w:t>
      </w:r>
      <w:r w:rsidR="006262F9" w:rsidRPr="008D54A5">
        <w:t>701</w:t>
      </w:r>
      <w:r w:rsidR="00C719F6" w:rsidRPr="008D54A5">
        <w:t>,</w:t>
      </w:r>
      <w:r w:rsidR="00BA46F1" w:rsidRPr="008D54A5">
        <w:t xml:space="preserve"> </w:t>
      </w:r>
      <w:r w:rsidR="00443422" w:rsidRPr="008D54A5">
        <w:t>…,</w:t>
      </w:r>
      <w:r w:rsidR="00C719F6" w:rsidRPr="008D54A5">
        <w:t xml:space="preserve"> C</w:t>
      </w:r>
      <w:r w:rsidR="006262F9" w:rsidRPr="008D54A5">
        <w:t>799</w:t>
      </w:r>
      <w:r w:rsidR="00C719F6" w:rsidRPr="008D54A5">
        <w:t>}</w:t>
      </w:r>
      <w:r w:rsidR="00F66AD2" w:rsidRPr="008D54A5">
        <w:t>.</w:t>
      </w:r>
    </w:p>
    <w:p w14:paraId="568F3DE1" w14:textId="197FD8C1" w:rsidR="000A7E3E" w:rsidRPr="008D54A5" w:rsidRDefault="00F66AD2" w:rsidP="002A4241">
      <w:pPr>
        <w:pStyle w:val="BodyText"/>
        <w:rPr>
          <w:szCs w:val="24"/>
        </w:rPr>
      </w:pPr>
      <w:r w:rsidRPr="008D54A5">
        <w:t xml:space="preserve">When </w:t>
      </w:r>
      <w:r w:rsidR="00557475" w:rsidRPr="008D54A5">
        <w:t xml:space="preserve">the software </w:t>
      </w:r>
      <w:r w:rsidRPr="008D54A5">
        <w:t>comput</w:t>
      </w:r>
      <w:r w:rsidR="00557475" w:rsidRPr="008D54A5">
        <w:t>es</w:t>
      </w:r>
      <w:r w:rsidRPr="008D54A5">
        <w:t xml:space="preserve"> a match weight, array variables that belong to the same set are treated as a single entity</w:t>
      </w:r>
      <w:r w:rsidR="00557475" w:rsidRPr="008D54A5">
        <w:t>,</w:t>
      </w:r>
      <w:r w:rsidRPr="008D54A5">
        <w:t xml:space="preserve"> and the </w:t>
      </w:r>
      <w:r w:rsidR="00361E93" w:rsidRPr="008D54A5">
        <w:t xml:space="preserve">field comparison score (or contribution to the </w:t>
      </w:r>
      <w:r w:rsidRPr="008D54A5">
        <w:t>match weight</w:t>
      </w:r>
      <w:r w:rsidR="00361E93" w:rsidRPr="008D54A5">
        <w:t>)</w:t>
      </w:r>
      <w:r w:rsidRPr="008D54A5">
        <w:t xml:space="preserve"> of the set is based on the agreement and disagreement of the variables within the set. Specifically, if an HC and MPC event have a response that </w:t>
      </w:r>
      <w:r w:rsidR="00364E51" w:rsidRPr="008D54A5">
        <w:t xml:space="preserve">agrees </w:t>
      </w:r>
      <w:r w:rsidRPr="008D54A5">
        <w:t>for one or more of the variables in an array set</w:t>
      </w:r>
      <w:r w:rsidR="00557475" w:rsidRPr="008D54A5">
        <w:t>,</w:t>
      </w:r>
      <w:r w:rsidRPr="008D54A5">
        <w:t xml:space="preserve"> then the </w:t>
      </w:r>
      <w:r w:rsidR="00233A91" w:rsidRPr="008D54A5">
        <w:t xml:space="preserve">contribution to the </w:t>
      </w:r>
      <w:r w:rsidRPr="008D54A5">
        <w:t xml:space="preserve">match weight from this set of variables is equal to the average agreement weights among variables in the set that </w:t>
      </w:r>
      <w:r w:rsidR="00364E51" w:rsidRPr="008D54A5">
        <w:t>agree</w:t>
      </w:r>
      <w:r w:rsidRPr="008D54A5">
        <w:t>. Otherwise, the match weight contribution is set equal to the average disagreement weight among variables in the set.</w:t>
      </w:r>
      <w:r w:rsidR="00515BBD" w:rsidRPr="008D54A5">
        <w:t xml:space="preserve"> </w:t>
      </w:r>
      <w:r w:rsidR="0042048A" w:rsidRPr="008D54A5">
        <w:rPr>
          <w:szCs w:val="24"/>
        </w:rPr>
        <w:t xml:space="preserve">For the surgery, radiology, and laboratory indicator variables individually, if both an HC event has </w:t>
      </w:r>
      <w:r w:rsidR="00356CD1" w:rsidRPr="008D54A5">
        <w:rPr>
          <w:szCs w:val="24"/>
        </w:rPr>
        <w:t>“</w:t>
      </w:r>
      <w:r w:rsidR="0042048A" w:rsidRPr="008D54A5">
        <w:rPr>
          <w:szCs w:val="24"/>
        </w:rPr>
        <w:t>yes</w:t>
      </w:r>
      <w:r w:rsidR="00356CD1" w:rsidRPr="008D54A5">
        <w:rPr>
          <w:szCs w:val="24"/>
        </w:rPr>
        <w:t>”</w:t>
      </w:r>
      <w:r w:rsidR="0042048A" w:rsidRPr="008D54A5">
        <w:rPr>
          <w:szCs w:val="24"/>
        </w:rPr>
        <w:t xml:space="preserve"> and an MPC event has </w:t>
      </w:r>
      <w:r w:rsidR="00356CD1" w:rsidRPr="008D54A5">
        <w:rPr>
          <w:szCs w:val="24"/>
        </w:rPr>
        <w:t>“</w:t>
      </w:r>
      <w:r w:rsidR="0042048A" w:rsidRPr="008D54A5">
        <w:rPr>
          <w:szCs w:val="24"/>
        </w:rPr>
        <w:t>yes,</w:t>
      </w:r>
      <w:r w:rsidR="00356CD1" w:rsidRPr="008D54A5">
        <w:rPr>
          <w:szCs w:val="24"/>
        </w:rPr>
        <w:t>”</w:t>
      </w:r>
      <w:r w:rsidR="0042048A" w:rsidRPr="008D54A5">
        <w:rPr>
          <w:szCs w:val="24"/>
        </w:rPr>
        <w:t xml:space="preserve"> or both the HC event and the MPC event say </w:t>
      </w:r>
      <w:r w:rsidR="00356CD1" w:rsidRPr="008D54A5">
        <w:rPr>
          <w:szCs w:val="24"/>
        </w:rPr>
        <w:t>“</w:t>
      </w:r>
      <w:r w:rsidR="0042048A" w:rsidRPr="008D54A5">
        <w:rPr>
          <w:szCs w:val="24"/>
        </w:rPr>
        <w:t>no</w:t>
      </w:r>
      <w:r w:rsidR="00443422" w:rsidRPr="008D54A5">
        <w:rPr>
          <w:szCs w:val="24"/>
        </w:rPr>
        <w:t>,</w:t>
      </w:r>
      <w:r w:rsidR="00356CD1" w:rsidRPr="008D54A5">
        <w:rPr>
          <w:szCs w:val="24"/>
        </w:rPr>
        <w:t>”</w:t>
      </w:r>
      <w:r w:rsidR="00D43102" w:rsidRPr="008D54A5">
        <w:rPr>
          <w:szCs w:val="24"/>
        </w:rPr>
        <w:t xml:space="preserve"> then the</w:t>
      </w:r>
      <w:r w:rsidR="0042048A" w:rsidRPr="008D54A5">
        <w:rPr>
          <w:szCs w:val="24"/>
        </w:rPr>
        <w:t xml:space="preserve"> events are said to agree. If either the HC event or the MPC event has </w:t>
      </w:r>
      <w:r w:rsidR="00356CD1" w:rsidRPr="008D54A5">
        <w:rPr>
          <w:szCs w:val="24"/>
        </w:rPr>
        <w:t>“</w:t>
      </w:r>
      <w:r w:rsidR="0042048A" w:rsidRPr="008D54A5">
        <w:rPr>
          <w:szCs w:val="24"/>
        </w:rPr>
        <w:t>yes,</w:t>
      </w:r>
      <w:r w:rsidR="00356CD1" w:rsidRPr="008D54A5">
        <w:rPr>
          <w:szCs w:val="24"/>
        </w:rPr>
        <w:t>”</w:t>
      </w:r>
      <w:r w:rsidR="0042048A" w:rsidRPr="008D54A5">
        <w:rPr>
          <w:szCs w:val="24"/>
        </w:rPr>
        <w:t xml:space="preserve"> but the other has </w:t>
      </w:r>
      <w:r w:rsidR="00356CD1" w:rsidRPr="008D54A5">
        <w:rPr>
          <w:szCs w:val="24"/>
        </w:rPr>
        <w:t>“</w:t>
      </w:r>
      <w:r w:rsidR="0042048A" w:rsidRPr="008D54A5">
        <w:rPr>
          <w:szCs w:val="24"/>
        </w:rPr>
        <w:t>no,</w:t>
      </w:r>
      <w:r w:rsidR="00356CD1" w:rsidRPr="008D54A5">
        <w:rPr>
          <w:szCs w:val="24"/>
        </w:rPr>
        <w:t>”</w:t>
      </w:r>
      <w:r w:rsidR="0042048A" w:rsidRPr="008D54A5">
        <w:rPr>
          <w:szCs w:val="24"/>
        </w:rPr>
        <w:t xml:space="preserve"> then the events are said to disagree on the indicator variables.</w:t>
      </w:r>
      <w:r w:rsidR="00356CD1" w:rsidRPr="008D54A5">
        <w:rPr>
          <w:szCs w:val="24"/>
        </w:rPr>
        <w:t xml:space="preserve"> </w:t>
      </w:r>
      <w:r w:rsidR="0042048A" w:rsidRPr="008D54A5">
        <w:rPr>
          <w:szCs w:val="24"/>
        </w:rPr>
        <w:t xml:space="preserve">The </w:t>
      </w:r>
      <w:r w:rsidR="00045EBB" w:rsidRPr="008D54A5">
        <w:rPr>
          <w:szCs w:val="24"/>
        </w:rPr>
        <w:t>field comparison score</w:t>
      </w:r>
      <w:r w:rsidR="0042048A" w:rsidRPr="008D54A5">
        <w:rPr>
          <w:szCs w:val="24"/>
        </w:rPr>
        <w:t xml:space="preserve"> is calculated for each of the three variables separately, using equation 7.1 or 7.2</w:t>
      </w:r>
      <w:r w:rsidR="00BC1BE1" w:rsidRPr="008D54A5">
        <w:rPr>
          <w:szCs w:val="24"/>
        </w:rPr>
        <w:t xml:space="preserve">; </w:t>
      </w:r>
      <w:r w:rsidR="001F1FDB" w:rsidRPr="00404E1F">
        <w:rPr>
          <w:b/>
          <w:szCs w:val="24"/>
        </w:rPr>
        <w:t xml:space="preserve">Exhibit </w:t>
      </w:r>
      <w:r w:rsidR="001F1FDB" w:rsidRPr="008D54A5">
        <w:rPr>
          <w:b/>
          <w:szCs w:val="24"/>
        </w:rPr>
        <w:t>8.5</w:t>
      </w:r>
      <w:r w:rsidR="00BC1BE1" w:rsidRPr="008D54A5">
        <w:rPr>
          <w:szCs w:val="24"/>
        </w:rPr>
        <w:t xml:space="preserve"> shows how the field comparison score is assigned for </w:t>
      </w:r>
      <w:r w:rsidR="002A4241" w:rsidRPr="008D54A5">
        <w:rPr>
          <w:szCs w:val="24"/>
        </w:rPr>
        <w:t>values of</w:t>
      </w:r>
      <w:r w:rsidR="00BC1BE1" w:rsidRPr="008D54A5">
        <w:rPr>
          <w:szCs w:val="24"/>
        </w:rPr>
        <w:t xml:space="preserve"> the MPC and HC variables</w:t>
      </w:r>
      <w:r w:rsidR="0042048A" w:rsidRPr="008D54A5">
        <w:rPr>
          <w:szCs w:val="24"/>
        </w:rPr>
        <w:t xml:space="preserve">. </w:t>
      </w:r>
      <w:r w:rsidR="00905A9E" w:rsidRPr="008D54A5">
        <w:rPr>
          <w:szCs w:val="24"/>
        </w:rPr>
        <w:t xml:space="preserve">Missing values in these three indicator variables are set to </w:t>
      </w:r>
      <w:r w:rsidR="00356CD1" w:rsidRPr="008D54A5">
        <w:rPr>
          <w:szCs w:val="24"/>
        </w:rPr>
        <w:t>“</w:t>
      </w:r>
      <w:r w:rsidR="00905A9E" w:rsidRPr="008D54A5">
        <w:rPr>
          <w:szCs w:val="24"/>
        </w:rPr>
        <w:t>no,</w:t>
      </w:r>
      <w:r w:rsidR="00356CD1" w:rsidRPr="008D54A5">
        <w:rPr>
          <w:szCs w:val="24"/>
        </w:rPr>
        <w:t>”</w:t>
      </w:r>
      <w:r w:rsidR="00905A9E" w:rsidRPr="008D54A5">
        <w:rPr>
          <w:szCs w:val="24"/>
        </w:rPr>
        <w:t xml:space="preserve"> so there is no missing data. </w:t>
      </w:r>
      <w:r w:rsidR="0042048A" w:rsidRPr="008D54A5">
        <w:rPr>
          <w:szCs w:val="24"/>
        </w:rPr>
        <w:t>When disagreement</w:t>
      </w:r>
      <w:r w:rsidR="00A25134" w:rsidRPr="008D54A5">
        <w:rPr>
          <w:szCs w:val="24"/>
        </w:rPr>
        <w:t xml:space="preserve"> occurs</w:t>
      </w:r>
      <w:r w:rsidR="0042048A" w:rsidRPr="008D54A5">
        <w:rPr>
          <w:szCs w:val="24"/>
        </w:rPr>
        <w:t xml:space="preserve">, the HC value is used in computing equation 7.2. </w:t>
      </w:r>
      <w:r w:rsidR="00233A91" w:rsidRPr="008D54A5">
        <w:rPr>
          <w:szCs w:val="24"/>
        </w:rPr>
        <w:t>When at least one of the three variables</w:t>
      </w:r>
      <w:r w:rsidR="00A25134" w:rsidRPr="008D54A5">
        <w:rPr>
          <w:szCs w:val="24"/>
        </w:rPr>
        <w:t xml:space="preserve"> </w:t>
      </w:r>
      <w:r w:rsidR="007774E2" w:rsidRPr="008D54A5">
        <w:rPr>
          <w:szCs w:val="24"/>
        </w:rPr>
        <w:t>agree</w:t>
      </w:r>
      <w:r w:rsidR="00233A91" w:rsidRPr="008D54A5">
        <w:rPr>
          <w:szCs w:val="24"/>
        </w:rPr>
        <w:t xml:space="preserve">, the </w:t>
      </w:r>
      <w:r w:rsidR="00361E93" w:rsidRPr="008D54A5">
        <w:rPr>
          <w:szCs w:val="24"/>
        </w:rPr>
        <w:t>field comparison score</w:t>
      </w:r>
      <w:r w:rsidR="00443422" w:rsidRPr="008D54A5">
        <w:rPr>
          <w:szCs w:val="24"/>
        </w:rPr>
        <w:t xml:space="preserve"> </w:t>
      </w:r>
      <w:r w:rsidR="00233A91" w:rsidRPr="008D54A5">
        <w:rPr>
          <w:szCs w:val="24"/>
        </w:rPr>
        <w:t xml:space="preserve">for the set of variables is computed as the </w:t>
      </w:r>
      <w:r w:rsidR="00045EBB" w:rsidRPr="008D54A5">
        <w:rPr>
          <w:szCs w:val="24"/>
        </w:rPr>
        <w:t>mean agreement score</w:t>
      </w:r>
      <w:r w:rsidR="00233A91" w:rsidRPr="008D54A5">
        <w:rPr>
          <w:szCs w:val="24"/>
        </w:rPr>
        <w:t xml:space="preserve">; otherwise, when none agree, the </w:t>
      </w:r>
      <w:r w:rsidR="00361E93" w:rsidRPr="008D54A5">
        <w:rPr>
          <w:szCs w:val="24"/>
        </w:rPr>
        <w:t>field comparison score</w:t>
      </w:r>
      <w:r w:rsidR="00443422" w:rsidRPr="008D54A5">
        <w:rPr>
          <w:szCs w:val="24"/>
        </w:rPr>
        <w:t xml:space="preserve"> </w:t>
      </w:r>
      <w:r w:rsidR="00233A91" w:rsidRPr="008D54A5">
        <w:rPr>
          <w:szCs w:val="24"/>
        </w:rPr>
        <w:t xml:space="preserve">is the </w:t>
      </w:r>
      <w:r w:rsidR="00045EBB" w:rsidRPr="008D54A5">
        <w:rPr>
          <w:szCs w:val="24"/>
        </w:rPr>
        <w:t>mean disagreement score</w:t>
      </w:r>
      <w:r w:rsidR="00233A91" w:rsidRPr="008D54A5">
        <w:rPr>
          <w:szCs w:val="24"/>
        </w:rPr>
        <w:t>.</w:t>
      </w:r>
      <w:r w:rsidR="002E3206" w:rsidRPr="008D54A5">
        <w:rPr>
          <w:szCs w:val="24"/>
        </w:rPr>
        <w:t xml:space="preserve"> </w:t>
      </w:r>
      <w:r w:rsidR="00356CD1" w:rsidRPr="00404E1F">
        <w:rPr>
          <w:b/>
          <w:szCs w:val="24"/>
        </w:rPr>
        <w:t>Exhibit </w:t>
      </w:r>
      <w:r w:rsidR="002E3206" w:rsidRPr="008D54A5">
        <w:rPr>
          <w:b/>
          <w:szCs w:val="24"/>
        </w:rPr>
        <w:t>8.5</w:t>
      </w:r>
      <w:r w:rsidR="002E3206" w:rsidRPr="008D54A5">
        <w:rPr>
          <w:szCs w:val="24"/>
        </w:rPr>
        <w:t xml:space="preserve"> shows the comparison score matrix for determining agreement.</w:t>
      </w:r>
    </w:p>
    <w:p w14:paraId="5045B4F5" w14:textId="3AEF6A00" w:rsidR="00990C2B" w:rsidRPr="008D54A5" w:rsidRDefault="00356CD1" w:rsidP="00FD4A4F">
      <w:pPr>
        <w:pStyle w:val="ExhibitTitle"/>
      </w:pPr>
      <w:bookmarkStart w:id="490" w:name="_Toc128574199"/>
      <w:bookmarkStart w:id="491" w:name="_Toc188622354"/>
      <w:r w:rsidRPr="00404E1F">
        <w:t>Exhibit </w:t>
      </w:r>
      <w:r w:rsidR="000F4D1A" w:rsidRPr="008D54A5">
        <w:rPr>
          <w:noProof/>
        </w:rPr>
        <w:fldChar w:fldCharType="begin"/>
      </w:r>
      <w:r w:rsidR="000F4D1A" w:rsidRPr="008D54A5">
        <w:rPr>
          <w:noProof/>
        </w:rPr>
        <w:instrText xml:space="preserve"> STYLEREF 1 \s </w:instrText>
      </w:r>
      <w:r w:rsidR="000F4D1A" w:rsidRPr="008D54A5">
        <w:rPr>
          <w:noProof/>
        </w:rPr>
        <w:fldChar w:fldCharType="separate"/>
      </w:r>
      <w:r w:rsidR="00EC2444" w:rsidRPr="008D54A5">
        <w:rPr>
          <w:noProof/>
        </w:rPr>
        <w:t>8</w:t>
      </w:r>
      <w:r w:rsidR="000F4D1A" w:rsidRPr="008D54A5">
        <w:rPr>
          <w:noProof/>
        </w:rPr>
        <w:fldChar w:fldCharType="end"/>
      </w:r>
      <w:r w:rsidR="00DC58AB" w:rsidRPr="008D54A5">
        <w:t>.</w:t>
      </w:r>
      <w:r w:rsidR="000F4D1A" w:rsidRPr="008D54A5">
        <w:rPr>
          <w:noProof/>
        </w:rPr>
        <w:fldChar w:fldCharType="begin"/>
      </w:r>
      <w:r w:rsidR="000F4D1A" w:rsidRPr="008D54A5">
        <w:rPr>
          <w:noProof/>
        </w:rPr>
        <w:instrText xml:space="preserve"> SEQ Exhibit \* ARABIC \s 1 </w:instrText>
      </w:r>
      <w:r w:rsidR="000F4D1A" w:rsidRPr="008D54A5">
        <w:rPr>
          <w:noProof/>
        </w:rPr>
        <w:fldChar w:fldCharType="separate"/>
      </w:r>
      <w:r w:rsidR="00EC2444" w:rsidRPr="008D54A5">
        <w:rPr>
          <w:noProof/>
        </w:rPr>
        <w:t>5</w:t>
      </w:r>
      <w:r w:rsidR="000F4D1A" w:rsidRPr="008D54A5">
        <w:rPr>
          <w:noProof/>
        </w:rPr>
        <w:fldChar w:fldCharType="end"/>
      </w:r>
      <w:r w:rsidR="00DC58AB" w:rsidRPr="008D54A5">
        <w:tab/>
      </w:r>
      <w:r w:rsidR="00BC1BE1" w:rsidRPr="008D54A5">
        <w:t>Comparison</w:t>
      </w:r>
      <w:r w:rsidR="005101DA" w:rsidRPr="008D54A5">
        <w:t xml:space="preserve"> S</w:t>
      </w:r>
      <w:r w:rsidR="00BC1BE1" w:rsidRPr="008D54A5">
        <w:t xml:space="preserve">core </w:t>
      </w:r>
      <w:r w:rsidR="001F1FDB" w:rsidRPr="008D54A5">
        <w:t>A</w:t>
      </w:r>
      <w:r w:rsidR="00BC1BE1" w:rsidRPr="008D54A5">
        <w:t>ssigned for Values of the MPC and HC Surgery, Radiology, or Laboratory Flags</w:t>
      </w:r>
      <w:bookmarkEnd w:id="490"/>
      <w:bookmarkEnd w:id="491"/>
    </w:p>
    <w:tbl>
      <w:tblPr>
        <w:tblStyle w:val="TableGrid"/>
        <w:tblW w:w="5000" w:type="pct"/>
        <w:tblLook w:val="04A0" w:firstRow="1" w:lastRow="0" w:firstColumn="1" w:lastColumn="0" w:noHBand="0" w:noVBand="1"/>
      </w:tblPr>
      <w:tblGrid>
        <w:gridCol w:w="3467"/>
        <w:gridCol w:w="2158"/>
        <w:gridCol w:w="3725"/>
      </w:tblGrid>
      <w:tr w:rsidR="00995AAF" w:rsidRPr="008D54A5" w14:paraId="21EE0149" w14:textId="77777777" w:rsidTr="00995AAF">
        <w:trPr>
          <w:cnfStyle w:val="100000000000" w:firstRow="1" w:lastRow="0" w:firstColumn="0" w:lastColumn="0" w:oddVBand="0" w:evenVBand="0" w:oddHBand="0" w:evenHBand="0" w:firstRowFirstColumn="0" w:firstRowLastColumn="0" w:lastRowFirstColumn="0" w:lastRowLastColumn="0"/>
          <w:trHeight w:val="20"/>
        </w:trPr>
        <w:tc>
          <w:tcPr>
            <w:tcW w:w="1854" w:type="pct"/>
            <w:vMerge w:val="restart"/>
          </w:tcPr>
          <w:p w14:paraId="1D3BFB24" w14:textId="7DC944AA" w:rsidR="00995AAF" w:rsidRPr="008D54A5" w:rsidRDefault="00995AAF" w:rsidP="00995AAF">
            <w:pPr>
              <w:pStyle w:val="TableHeading"/>
              <w:jc w:val="left"/>
            </w:pPr>
            <w:r w:rsidRPr="008D54A5">
              <w:rPr>
                <w:bCs/>
              </w:rPr>
              <w:t xml:space="preserve">HC </w:t>
            </w:r>
            <w:r w:rsidR="001F1FDB" w:rsidRPr="008D54A5">
              <w:rPr>
                <w:bCs/>
              </w:rPr>
              <w:t>R</w:t>
            </w:r>
            <w:r w:rsidRPr="008D54A5">
              <w:rPr>
                <w:bCs/>
              </w:rPr>
              <w:t xml:space="preserve">esponse to Surgery, Radiology, or Laboratory </w:t>
            </w:r>
            <w:r w:rsidR="00115082" w:rsidRPr="008D54A5">
              <w:rPr>
                <w:bCs/>
              </w:rPr>
              <w:t>Indicator</w:t>
            </w:r>
          </w:p>
        </w:tc>
        <w:tc>
          <w:tcPr>
            <w:tcW w:w="3146" w:type="pct"/>
            <w:gridSpan w:val="2"/>
          </w:tcPr>
          <w:p w14:paraId="211E4948" w14:textId="2185784D" w:rsidR="00995AAF" w:rsidRPr="008D54A5" w:rsidRDefault="00995AAF" w:rsidP="00995AAF">
            <w:pPr>
              <w:pStyle w:val="TableHeading"/>
              <w:rPr>
                <w:bCs/>
              </w:rPr>
            </w:pPr>
            <w:r w:rsidRPr="008D54A5">
              <w:rPr>
                <w:bCs/>
              </w:rPr>
              <w:t xml:space="preserve">MPC Response to Surgery, Radiology, or Laboratory </w:t>
            </w:r>
            <w:r w:rsidR="001F1FDB" w:rsidRPr="008D54A5">
              <w:rPr>
                <w:bCs/>
              </w:rPr>
              <w:t>I</w:t>
            </w:r>
            <w:r w:rsidRPr="008D54A5">
              <w:rPr>
                <w:bCs/>
              </w:rPr>
              <w:t>ndicator</w:t>
            </w:r>
          </w:p>
        </w:tc>
      </w:tr>
      <w:tr w:rsidR="00995AAF" w:rsidRPr="008D54A5" w14:paraId="74A47E50" w14:textId="77777777" w:rsidTr="00995AAF">
        <w:trPr>
          <w:trHeight w:val="20"/>
        </w:trPr>
        <w:tc>
          <w:tcPr>
            <w:tcW w:w="1854" w:type="pct"/>
            <w:vMerge/>
            <w:shd w:val="clear" w:color="auto" w:fill="BFBFBF"/>
          </w:tcPr>
          <w:p w14:paraId="42B414DA" w14:textId="1F257DA9" w:rsidR="00995AAF" w:rsidRPr="008D54A5" w:rsidRDefault="00995AAF" w:rsidP="00995AAF">
            <w:pPr>
              <w:pStyle w:val="TableHeading"/>
              <w:rPr>
                <w:bCs/>
              </w:rPr>
            </w:pPr>
          </w:p>
        </w:tc>
        <w:tc>
          <w:tcPr>
            <w:tcW w:w="1154" w:type="pct"/>
            <w:shd w:val="clear" w:color="auto" w:fill="BFBFBF"/>
          </w:tcPr>
          <w:p w14:paraId="1190C60A" w14:textId="77777777" w:rsidR="00995AAF" w:rsidRPr="008D54A5" w:rsidRDefault="00995AAF" w:rsidP="00995AAF">
            <w:pPr>
              <w:pStyle w:val="TableHeading"/>
              <w:rPr>
                <w:bCs/>
              </w:rPr>
            </w:pPr>
            <w:r w:rsidRPr="008D54A5">
              <w:rPr>
                <w:bCs/>
              </w:rPr>
              <w:t>Yes</w:t>
            </w:r>
          </w:p>
        </w:tc>
        <w:tc>
          <w:tcPr>
            <w:tcW w:w="1992" w:type="pct"/>
            <w:shd w:val="clear" w:color="auto" w:fill="BFBFBF"/>
          </w:tcPr>
          <w:p w14:paraId="7A0A351C" w14:textId="77777777" w:rsidR="00995AAF" w:rsidRPr="008D54A5" w:rsidRDefault="00995AAF" w:rsidP="00995AAF">
            <w:pPr>
              <w:pStyle w:val="TableHeading"/>
              <w:rPr>
                <w:bCs/>
              </w:rPr>
            </w:pPr>
            <w:r w:rsidRPr="008D54A5">
              <w:rPr>
                <w:bCs/>
              </w:rPr>
              <w:t>No</w:t>
            </w:r>
          </w:p>
        </w:tc>
      </w:tr>
      <w:tr w:rsidR="000A7E3E" w:rsidRPr="008D54A5" w14:paraId="5A4FAE0A" w14:textId="77777777" w:rsidTr="00995AAF">
        <w:trPr>
          <w:trHeight w:val="20"/>
        </w:trPr>
        <w:tc>
          <w:tcPr>
            <w:tcW w:w="1854" w:type="pct"/>
          </w:tcPr>
          <w:p w14:paraId="658EA8BD" w14:textId="77777777" w:rsidR="000A7E3E" w:rsidRPr="008D54A5" w:rsidRDefault="000A7E3E" w:rsidP="00C90C6E">
            <w:pPr>
              <w:pStyle w:val="TableText-center-10"/>
            </w:pPr>
            <w:r w:rsidRPr="008D54A5">
              <w:t>Yes</w:t>
            </w:r>
          </w:p>
        </w:tc>
        <w:tc>
          <w:tcPr>
            <w:tcW w:w="1154" w:type="pct"/>
          </w:tcPr>
          <w:p w14:paraId="2CEC473C" w14:textId="77777777" w:rsidR="000A7E3E" w:rsidRPr="008D54A5" w:rsidRDefault="000A7E3E" w:rsidP="00C90C6E">
            <w:pPr>
              <w:pStyle w:val="TableText-center-10"/>
            </w:pPr>
            <w:r w:rsidRPr="008D54A5">
              <w:t>Agreement score</w:t>
            </w:r>
          </w:p>
        </w:tc>
        <w:tc>
          <w:tcPr>
            <w:tcW w:w="1992" w:type="pct"/>
          </w:tcPr>
          <w:p w14:paraId="7F7583D6" w14:textId="77777777" w:rsidR="000A7E3E" w:rsidRPr="008D54A5" w:rsidRDefault="000A7E3E" w:rsidP="00C90C6E">
            <w:pPr>
              <w:pStyle w:val="TableText-center-10"/>
            </w:pPr>
            <w:r w:rsidRPr="008D54A5">
              <w:t>Disagreement score</w:t>
            </w:r>
          </w:p>
        </w:tc>
      </w:tr>
      <w:tr w:rsidR="000A7E3E" w:rsidRPr="008D54A5" w14:paraId="759C1F8F" w14:textId="77777777" w:rsidTr="00995AAF">
        <w:trPr>
          <w:trHeight w:val="20"/>
        </w:trPr>
        <w:tc>
          <w:tcPr>
            <w:tcW w:w="1854" w:type="pct"/>
          </w:tcPr>
          <w:p w14:paraId="3DD494DE" w14:textId="77777777" w:rsidR="000A7E3E" w:rsidRPr="008D54A5" w:rsidRDefault="000A7E3E" w:rsidP="00C90C6E">
            <w:pPr>
              <w:pStyle w:val="TableText-center-10"/>
            </w:pPr>
            <w:r w:rsidRPr="008D54A5">
              <w:t>No</w:t>
            </w:r>
          </w:p>
        </w:tc>
        <w:tc>
          <w:tcPr>
            <w:tcW w:w="1154" w:type="pct"/>
          </w:tcPr>
          <w:p w14:paraId="1F5FDD52" w14:textId="77777777" w:rsidR="000A7E3E" w:rsidRPr="008D54A5" w:rsidRDefault="000A7E3E" w:rsidP="00C90C6E">
            <w:pPr>
              <w:pStyle w:val="TableText-center-10"/>
            </w:pPr>
            <w:r w:rsidRPr="008D54A5">
              <w:t>Disagreement score</w:t>
            </w:r>
          </w:p>
        </w:tc>
        <w:tc>
          <w:tcPr>
            <w:tcW w:w="1992" w:type="pct"/>
          </w:tcPr>
          <w:p w14:paraId="3BBA5002" w14:textId="77777777" w:rsidR="000A7E3E" w:rsidRPr="008D54A5" w:rsidRDefault="000A7E3E" w:rsidP="00C90C6E">
            <w:pPr>
              <w:pStyle w:val="TableText-center-10"/>
            </w:pPr>
            <w:r w:rsidRPr="008D54A5">
              <w:t>Agreement score</w:t>
            </w:r>
          </w:p>
        </w:tc>
      </w:tr>
    </w:tbl>
    <w:p w14:paraId="7952DCB6" w14:textId="4465BFDD" w:rsidR="002D4D78" w:rsidRPr="008D54A5" w:rsidRDefault="002D4D78" w:rsidP="002D4D78">
      <w:pPr>
        <w:pStyle w:val="Source-9-1"/>
      </w:pPr>
      <w:r w:rsidRPr="008D54A5">
        <w:t xml:space="preserve">HC = </w:t>
      </w:r>
      <w:r w:rsidR="00BB6089" w:rsidRPr="008D54A5">
        <w:t>Household Component</w:t>
      </w:r>
      <w:r w:rsidRPr="008D54A5">
        <w:t xml:space="preserve">; </w:t>
      </w:r>
      <w:r w:rsidR="00F44F81" w:rsidRPr="008D54A5">
        <w:t xml:space="preserve">MPC = </w:t>
      </w:r>
      <w:r w:rsidR="00BB6089" w:rsidRPr="008D54A5">
        <w:t>Medical Provider Component</w:t>
      </w:r>
      <w:r w:rsidRPr="008D54A5">
        <w:t>.</w:t>
      </w:r>
    </w:p>
    <w:p w14:paraId="55F7CDD6" w14:textId="2F232330" w:rsidR="00094C4E" w:rsidRPr="008D54A5" w:rsidRDefault="00094C4E" w:rsidP="007127B0">
      <w:pPr>
        <w:pStyle w:val="Source-9-2"/>
      </w:pPr>
      <w:r w:rsidRPr="008D54A5">
        <w:t xml:space="preserve">Source: </w:t>
      </w:r>
      <w:r w:rsidR="002B2330" w:rsidRPr="008D54A5">
        <w:t>202</w:t>
      </w:r>
      <w:r w:rsidR="006262F9" w:rsidRPr="008D54A5">
        <w:t>2</w:t>
      </w:r>
      <w:r w:rsidRPr="008D54A5">
        <w:t xml:space="preserve"> Medical Expenditure Panel Survey – Medical Provider Component.</w:t>
      </w:r>
    </w:p>
    <w:p w14:paraId="4E82755D" w14:textId="78A60F89" w:rsidR="00045EBB" w:rsidRPr="008D54A5" w:rsidRDefault="00233A91" w:rsidP="005E3AEE">
      <w:pPr>
        <w:pStyle w:val="BodyText"/>
        <w:rPr>
          <w:szCs w:val="24"/>
        </w:rPr>
      </w:pPr>
      <w:r w:rsidRPr="008D54A5">
        <w:rPr>
          <w:szCs w:val="24"/>
        </w:rPr>
        <w:t xml:space="preserve">For the array of condition indicators, the agreement or disagreement weight is computed separately for each of the </w:t>
      </w:r>
      <w:r w:rsidR="006262F9" w:rsidRPr="008D54A5">
        <w:rPr>
          <w:szCs w:val="24"/>
        </w:rPr>
        <w:t>85</w:t>
      </w:r>
      <w:r w:rsidRPr="008D54A5">
        <w:rPr>
          <w:szCs w:val="24"/>
        </w:rPr>
        <w:t xml:space="preserve"> condition</w:t>
      </w:r>
      <w:r w:rsidR="00E6594E" w:rsidRPr="008D54A5">
        <w:rPr>
          <w:szCs w:val="24"/>
        </w:rPr>
        <w:t>s</w:t>
      </w:r>
      <w:r w:rsidRPr="008D54A5">
        <w:rPr>
          <w:szCs w:val="24"/>
        </w:rPr>
        <w:t>.</w:t>
      </w:r>
      <w:r w:rsidR="00356CD1" w:rsidRPr="008D54A5">
        <w:rPr>
          <w:szCs w:val="24"/>
        </w:rPr>
        <w:t xml:space="preserve"> </w:t>
      </w:r>
      <w:r w:rsidR="00D43102" w:rsidRPr="008D54A5">
        <w:rPr>
          <w:szCs w:val="24"/>
        </w:rPr>
        <w:t xml:space="preserve">If the HC event and the MPC both </w:t>
      </w:r>
      <w:r w:rsidR="00DD03AA" w:rsidRPr="008D54A5">
        <w:rPr>
          <w:szCs w:val="24"/>
        </w:rPr>
        <w:t>are</w:t>
      </w:r>
      <w:r w:rsidR="00D43102" w:rsidRPr="008D54A5">
        <w:rPr>
          <w:szCs w:val="24"/>
        </w:rPr>
        <w:t xml:space="preserve"> </w:t>
      </w:r>
      <w:r w:rsidR="00356CD1" w:rsidRPr="008D54A5">
        <w:rPr>
          <w:szCs w:val="24"/>
        </w:rPr>
        <w:t>“</w:t>
      </w:r>
      <w:r w:rsidR="00D43102" w:rsidRPr="008D54A5">
        <w:rPr>
          <w:szCs w:val="24"/>
        </w:rPr>
        <w:t>yes</w:t>
      </w:r>
      <w:r w:rsidR="00356CD1" w:rsidRPr="008D54A5">
        <w:rPr>
          <w:szCs w:val="24"/>
        </w:rPr>
        <w:t>”</w:t>
      </w:r>
      <w:r w:rsidR="00D43102" w:rsidRPr="008D54A5">
        <w:rPr>
          <w:szCs w:val="24"/>
        </w:rPr>
        <w:t xml:space="preserve"> for a condition, then they </w:t>
      </w:r>
      <w:r w:rsidR="00356CD1" w:rsidRPr="008D54A5">
        <w:rPr>
          <w:szCs w:val="24"/>
        </w:rPr>
        <w:t>“</w:t>
      </w:r>
      <w:r w:rsidR="00D43102" w:rsidRPr="008D54A5">
        <w:rPr>
          <w:szCs w:val="24"/>
        </w:rPr>
        <w:t>agree</w:t>
      </w:r>
      <w:r w:rsidR="00356CD1" w:rsidRPr="008D54A5">
        <w:rPr>
          <w:szCs w:val="24"/>
        </w:rPr>
        <w:t>”</w:t>
      </w:r>
      <w:r w:rsidR="00D43102" w:rsidRPr="008D54A5">
        <w:rPr>
          <w:szCs w:val="24"/>
        </w:rPr>
        <w:t xml:space="preserve"> for the condition, and the agreement weight is calculated using equation 7.1. If one </w:t>
      </w:r>
      <w:r w:rsidR="00DD03AA" w:rsidRPr="008D54A5">
        <w:rPr>
          <w:szCs w:val="24"/>
        </w:rPr>
        <w:t>i</w:t>
      </w:r>
      <w:r w:rsidR="00D43102" w:rsidRPr="008D54A5">
        <w:rPr>
          <w:szCs w:val="24"/>
        </w:rPr>
        <w:t xml:space="preserve">s </w:t>
      </w:r>
      <w:r w:rsidR="00356CD1" w:rsidRPr="008D54A5">
        <w:rPr>
          <w:szCs w:val="24"/>
        </w:rPr>
        <w:t>“</w:t>
      </w:r>
      <w:r w:rsidR="00D43102" w:rsidRPr="008D54A5">
        <w:rPr>
          <w:szCs w:val="24"/>
        </w:rPr>
        <w:t>yes</w:t>
      </w:r>
      <w:r w:rsidR="00356CD1" w:rsidRPr="008D54A5">
        <w:rPr>
          <w:szCs w:val="24"/>
        </w:rPr>
        <w:t>”</w:t>
      </w:r>
      <w:r w:rsidR="00D43102" w:rsidRPr="008D54A5">
        <w:rPr>
          <w:szCs w:val="24"/>
        </w:rPr>
        <w:t xml:space="preserve"> for a condition and the other </w:t>
      </w:r>
      <w:r w:rsidR="00DD03AA" w:rsidRPr="008D54A5">
        <w:rPr>
          <w:szCs w:val="24"/>
        </w:rPr>
        <w:t>i</w:t>
      </w:r>
      <w:r w:rsidR="00D43102" w:rsidRPr="008D54A5">
        <w:rPr>
          <w:szCs w:val="24"/>
        </w:rPr>
        <w:t xml:space="preserve">s </w:t>
      </w:r>
      <w:r w:rsidR="00356CD1" w:rsidRPr="008D54A5">
        <w:rPr>
          <w:szCs w:val="24"/>
        </w:rPr>
        <w:t>“</w:t>
      </w:r>
      <w:r w:rsidR="00D43102" w:rsidRPr="008D54A5">
        <w:rPr>
          <w:szCs w:val="24"/>
        </w:rPr>
        <w:t>no</w:t>
      </w:r>
      <w:r w:rsidR="00A25134" w:rsidRPr="008D54A5">
        <w:rPr>
          <w:szCs w:val="24"/>
        </w:rPr>
        <w:t>,</w:t>
      </w:r>
      <w:r w:rsidR="00356CD1" w:rsidRPr="008D54A5">
        <w:rPr>
          <w:szCs w:val="24"/>
        </w:rPr>
        <w:t>”</w:t>
      </w:r>
      <w:r w:rsidR="00D43102" w:rsidRPr="008D54A5">
        <w:rPr>
          <w:szCs w:val="24"/>
        </w:rPr>
        <w:t xml:space="preserve"> then they </w:t>
      </w:r>
      <w:r w:rsidR="00356CD1" w:rsidRPr="008D54A5">
        <w:rPr>
          <w:szCs w:val="24"/>
        </w:rPr>
        <w:t>“</w:t>
      </w:r>
      <w:r w:rsidR="00D43102" w:rsidRPr="008D54A5">
        <w:rPr>
          <w:szCs w:val="24"/>
        </w:rPr>
        <w:t>disagree</w:t>
      </w:r>
      <w:r w:rsidR="00356CD1" w:rsidRPr="008D54A5">
        <w:rPr>
          <w:szCs w:val="24"/>
        </w:rPr>
        <w:t>”</w:t>
      </w:r>
      <w:r w:rsidR="00D43102" w:rsidRPr="008D54A5">
        <w:rPr>
          <w:szCs w:val="24"/>
        </w:rPr>
        <w:t xml:space="preserve"> for the condition and the disagreement weight is calculated using equation 7.2, using the HC</w:t>
      </w:r>
      <w:r w:rsidR="00FA4EBE" w:rsidRPr="008D54A5">
        <w:rPr>
          <w:szCs w:val="24"/>
        </w:rPr>
        <w:t xml:space="preserve"> </w:t>
      </w:r>
      <w:r w:rsidR="00D43102" w:rsidRPr="008D54A5">
        <w:rPr>
          <w:szCs w:val="24"/>
        </w:rPr>
        <w:t xml:space="preserve">value of the condition indicator for computing the value of equation 7.2. When the condition indicator for both the HC and MPC events is </w:t>
      </w:r>
      <w:r w:rsidR="00356CD1" w:rsidRPr="008D54A5">
        <w:rPr>
          <w:szCs w:val="24"/>
        </w:rPr>
        <w:t>“</w:t>
      </w:r>
      <w:r w:rsidR="00D43102" w:rsidRPr="008D54A5">
        <w:rPr>
          <w:szCs w:val="24"/>
        </w:rPr>
        <w:t>no,</w:t>
      </w:r>
      <w:r w:rsidR="00356CD1" w:rsidRPr="008D54A5">
        <w:rPr>
          <w:szCs w:val="24"/>
        </w:rPr>
        <w:t>”</w:t>
      </w:r>
      <w:r w:rsidR="00D43102" w:rsidRPr="008D54A5">
        <w:rPr>
          <w:szCs w:val="24"/>
        </w:rPr>
        <w:t xml:space="preserve"> or is missing for one or both events, the events are treated as neither agreeing nor disagreeing</w:t>
      </w:r>
      <w:r w:rsidR="004200F1" w:rsidRPr="008D54A5">
        <w:rPr>
          <w:szCs w:val="24"/>
        </w:rPr>
        <w:t>,</w:t>
      </w:r>
      <w:r w:rsidR="00D43102" w:rsidRPr="008D54A5">
        <w:rPr>
          <w:szCs w:val="24"/>
        </w:rPr>
        <w:t xml:space="preserve"> and the agreement and disagreement field weights are set to 0. </w:t>
      </w:r>
      <w:r w:rsidR="005101DA" w:rsidRPr="008D54A5">
        <w:rPr>
          <w:szCs w:val="24"/>
        </w:rPr>
        <w:t xml:space="preserve">This is shown in the </w:t>
      </w:r>
      <w:r w:rsidR="00356CD1" w:rsidRPr="00404E1F">
        <w:rPr>
          <w:b/>
          <w:szCs w:val="24"/>
        </w:rPr>
        <w:t>Exhibit </w:t>
      </w:r>
      <w:r w:rsidR="002E3206" w:rsidRPr="008D54A5">
        <w:rPr>
          <w:b/>
          <w:szCs w:val="24"/>
        </w:rPr>
        <w:t>8.6</w:t>
      </w:r>
      <w:r w:rsidR="005101DA" w:rsidRPr="008D54A5">
        <w:rPr>
          <w:szCs w:val="24"/>
        </w:rPr>
        <w:t>.</w:t>
      </w:r>
    </w:p>
    <w:p w14:paraId="7DDD460D" w14:textId="37181C11" w:rsidR="005101DA" w:rsidRPr="008D54A5" w:rsidRDefault="00356CD1" w:rsidP="00FD4A4F">
      <w:pPr>
        <w:pStyle w:val="ExhibitTitle"/>
      </w:pPr>
      <w:bookmarkStart w:id="492" w:name="_Toc128574200"/>
      <w:bookmarkStart w:id="493" w:name="_Toc188622355"/>
      <w:r w:rsidRPr="00404E1F">
        <w:lastRenderedPageBreak/>
        <w:t>Exhibit </w:t>
      </w:r>
      <w:r w:rsidR="000F4D1A" w:rsidRPr="008D54A5">
        <w:rPr>
          <w:noProof/>
        </w:rPr>
        <w:fldChar w:fldCharType="begin"/>
      </w:r>
      <w:r w:rsidR="000F4D1A" w:rsidRPr="008D54A5">
        <w:rPr>
          <w:noProof/>
        </w:rPr>
        <w:instrText xml:space="preserve"> STYLEREF 1 \s </w:instrText>
      </w:r>
      <w:r w:rsidR="000F4D1A" w:rsidRPr="008D54A5">
        <w:rPr>
          <w:noProof/>
        </w:rPr>
        <w:fldChar w:fldCharType="separate"/>
      </w:r>
      <w:r w:rsidR="00EC2444" w:rsidRPr="008D54A5">
        <w:rPr>
          <w:noProof/>
        </w:rPr>
        <w:t>8</w:t>
      </w:r>
      <w:r w:rsidR="000F4D1A" w:rsidRPr="008D54A5">
        <w:rPr>
          <w:noProof/>
        </w:rPr>
        <w:fldChar w:fldCharType="end"/>
      </w:r>
      <w:r w:rsidR="00DC58AB" w:rsidRPr="008D54A5">
        <w:t>.</w:t>
      </w:r>
      <w:r w:rsidR="000F4D1A" w:rsidRPr="008D54A5">
        <w:rPr>
          <w:noProof/>
        </w:rPr>
        <w:fldChar w:fldCharType="begin"/>
      </w:r>
      <w:r w:rsidR="000F4D1A" w:rsidRPr="008D54A5">
        <w:rPr>
          <w:noProof/>
        </w:rPr>
        <w:instrText xml:space="preserve"> SEQ Exhibit \* ARABIC \s 1 </w:instrText>
      </w:r>
      <w:r w:rsidR="000F4D1A" w:rsidRPr="008D54A5">
        <w:rPr>
          <w:noProof/>
        </w:rPr>
        <w:fldChar w:fldCharType="separate"/>
      </w:r>
      <w:r w:rsidR="00EC2444" w:rsidRPr="008D54A5">
        <w:rPr>
          <w:noProof/>
        </w:rPr>
        <w:t>6</w:t>
      </w:r>
      <w:r w:rsidR="000F4D1A" w:rsidRPr="008D54A5">
        <w:rPr>
          <w:noProof/>
        </w:rPr>
        <w:fldChar w:fldCharType="end"/>
      </w:r>
      <w:r w:rsidR="00DC58AB" w:rsidRPr="008D54A5">
        <w:tab/>
      </w:r>
      <w:r w:rsidR="005101DA" w:rsidRPr="008D54A5">
        <w:t xml:space="preserve">Comparison </w:t>
      </w:r>
      <w:r w:rsidR="004200F1" w:rsidRPr="008D54A5">
        <w:t xml:space="preserve">Score Assigned </w:t>
      </w:r>
      <w:r w:rsidR="005101DA" w:rsidRPr="008D54A5">
        <w:t>for Values of the MPC and HC Condition Indicators</w:t>
      </w:r>
      <w:bookmarkEnd w:id="492"/>
      <w:bookmarkEnd w:id="493"/>
    </w:p>
    <w:tbl>
      <w:tblPr>
        <w:tblStyle w:val="TableGrid"/>
        <w:tblW w:w="0" w:type="auto"/>
        <w:jc w:val="center"/>
        <w:tblLook w:val="04A0" w:firstRow="1" w:lastRow="0" w:firstColumn="1" w:lastColumn="0" w:noHBand="0" w:noVBand="1"/>
      </w:tblPr>
      <w:tblGrid>
        <w:gridCol w:w="2335"/>
        <w:gridCol w:w="2345"/>
        <w:gridCol w:w="2345"/>
        <w:gridCol w:w="2325"/>
      </w:tblGrid>
      <w:tr w:rsidR="00995AAF" w:rsidRPr="008D54A5" w14:paraId="4E989D5E" w14:textId="77777777" w:rsidTr="00995AAF">
        <w:trPr>
          <w:cnfStyle w:val="100000000000" w:firstRow="1" w:lastRow="0" w:firstColumn="0" w:lastColumn="0" w:oddVBand="0" w:evenVBand="0" w:oddHBand="0" w:evenHBand="0" w:firstRowFirstColumn="0" w:firstRowLastColumn="0" w:lastRowFirstColumn="0" w:lastRowLastColumn="0"/>
          <w:trHeight w:val="20"/>
          <w:jc w:val="center"/>
        </w:trPr>
        <w:tc>
          <w:tcPr>
            <w:tcW w:w="2335" w:type="dxa"/>
            <w:vMerge w:val="restart"/>
          </w:tcPr>
          <w:p w14:paraId="2CD56127" w14:textId="743CF652" w:rsidR="00995AAF" w:rsidRPr="008D54A5" w:rsidRDefault="00995AAF" w:rsidP="00995AAF">
            <w:pPr>
              <w:pStyle w:val="TableHeading"/>
            </w:pPr>
            <w:r w:rsidRPr="008D54A5">
              <w:t xml:space="preserve">HC Response to Condition </w:t>
            </w:r>
            <w:r w:rsidR="008D4CED" w:rsidRPr="008D54A5">
              <w:t>I</w:t>
            </w:r>
            <w:r w:rsidRPr="008D54A5">
              <w:t>ndicator</w:t>
            </w:r>
          </w:p>
        </w:tc>
        <w:tc>
          <w:tcPr>
            <w:tcW w:w="7015" w:type="dxa"/>
            <w:gridSpan w:val="3"/>
          </w:tcPr>
          <w:p w14:paraId="10FCD589" w14:textId="61C28FB6" w:rsidR="00995AAF" w:rsidRPr="008D54A5" w:rsidRDefault="00995AAF" w:rsidP="00995AAF">
            <w:pPr>
              <w:pStyle w:val="TableHeading"/>
            </w:pPr>
            <w:r w:rsidRPr="008D54A5">
              <w:t xml:space="preserve">MPC Response to Condition </w:t>
            </w:r>
            <w:r w:rsidR="008D4CED" w:rsidRPr="008D54A5">
              <w:t>I</w:t>
            </w:r>
            <w:r w:rsidRPr="008D54A5">
              <w:t>ndicator</w:t>
            </w:r>
          </w:p>
        </w:tc>
      </w:tr>
      <w:tr w:rsidR="00995AAF" w:rsidRPr="008D54A5" w14:paraId="2335AACC" w14:textId="77777777" w:rsidTr="00995AAF">
        <w:trPr>
          <w:trHeight w:val="20"/>
          <w:jc w:val="center"/>
        </w:trPr>
        <w:tc>
          <w:tcPr>
            <w:tcW w:w="2335" w:type="dxa"/>
            <w:vMerge/>
            <w:shd w:val="clear" w:color="auto" w:fill="BFBFBF" w:themeFill="background1" w:themeFillShade="BF"/>
          </w:tcPr>
          <w:p w14:paraId="4FDA0C9E" w14:textId="0E7D9473" w:rsidR="00995AAF" w:rsidRPr="008D54A5" w:rsidRDefault="00995AAF" w:rsidP="00995AAF">
            <w:pPr>
              <w:pStyle w:val="TableHeading"/>
            </w:pPr>
          </w:p>
        </w:tc>
        <w:tc>
          <w:tcPr>
            <w:tcW w:w="2345" w:type="dxa"/>
            <w:shd w:val="clear" w:color="auto" w:fill="BFBFBF" w:themeFill="background1" w:themeFillShade="BF"/>
            <w:vAlign w:val="bottom"/>
          </w:tcPr>
          <w:p w14:paraId="7B22F1B2" w14:textId="77777777" w:rsidR="00995AAF" w:rsidRPr="008D54A5" w:rsidRDefault="00995AAF" w:rsidP="00995AAF">
            <w:pPr>
              <w:pStyle w:val="TableHeading"/>
            </w:pPr>
            <w:r w:rsidRPr="008D54A5">
              <w:t>Yes</w:t>
            </w:r>
          </w:p>
        </w:tc>
        <w:tc>
          <w:tcPr>
            <w:tcW w:w="2345" w:type="dxa"/>
            <w:shd w:val="clear" w:color="auto" w:fill="BFBFBF" w:themeFill="background1" w:themeFillShade="BF"/>
            <w:vAlign w:val="bottom"/>
          </w:tcPr>
          <w:p w14:paraId="069F33E0" w14:textId="77777777" w:rsidR="00995AAF" w:rsidRPr="008D54A5" w:rsidRDefault="00995AAF" w:rsidP="00995AAF">
            <w:pPr>
              <w:pStyle w:val="TableHeading"/>
            </w:pPr>
            <w:r w:rsidRPr="008D54A5">
              <w:t>No</w:t>
            </w:r>
          </w:p>
        </w:tc>
        <w:tc>
          <w:tcPr>
            <w:tcW w:w="2325" w:type="dxa"/>
            <w:shd w:val="clear" w:color="auto" w:fill="BFBFBF" w:themeFill="background1" w:themeFillShade="BF"/>
            <w:vAlign w:val="bottom"/>
          </w:tcPr>
          <w:p w14:paraId="2495D5BE" w14:textId="77777777" w:rsidR="00995AAF" w:rsidRPr="008D54A5" w:rsidRDefault="00995AAF" w:rsidP="00995AAF">
            <w:pPr>
              <w:pStyle w:val="TableHeading"/>
            </w:pPr>
            <w:r w:rsidRPr="008D54A5">
              <w:t>Missing</w:t>
            </w:r>
          </w:p>
        </w:tc>
      </w:tr>
      <w:tr w:rsidR="00045EBB" w:rsidRPr="008D54A5" w14:paraId="0B0A24ED" w14:textId="77777777" w:rsidTr="00995AAF">
        <w:trPr>
          <w:trHeight w:val="20"/>
          <w:jc w:val="center"/>
        </w:trPr>
        <w:tc>
          <w:tcPr>
            <w:tcW w:w="2335" w:type="dxa"/>
          </w:tcPr>
          <w:p w14:paraId="5CE6269B" w14:textId="77777777" w:rsidR="00045EBB" w:rsidRPr="008D54A5" w:rsidRDefault="00045EBB" w:rsidP="00C90C6E">
            <w:pPr>
              <w:pStyle w:val="TableText-center-10"/>
            </w:pPr>
            <w:r w:rsidRPr="008D54A5">
              <w:t>Yes</w:t>
            </w:r>
          </w:p>
        </w:tc>
        <w:tc>
          <w:tcPr>
            <w:tcW w:w="2345" w:type="dxa"/>
          </w:tcPr>
          <w:p w14:paraId="0463E1A1" w14:textId="77777777" w:rsidR="00045EBB" w:rsidRPr="008D54A5" w:rsidRDefault="00045EBB" w:rsidP="00C90C6E">
            <w:pPr>
              <w:pStyle w:val="TableText-center-10"/>
            </w:pPr>
            <w:r w:rsidRPr="008D54A5">
              <w:t>Agree</w:t>
            </w:r>
            <w:r w:rsidR="005E3AEE" w:rsidRPr="008D54A5">
              <w:t>ment score</w:t>
            </w:r>
          </w:p>
        </w:tc>
        <w:tc>
          <w:tcPr>
            <w:tcW w:w="2345" w:type="dxa"/>
          </w:tcPr>
          <w:p w14:paraId="06D37E63" w14:textId="77777777" w:rsidR="00045EBB" w:rsidRPr="008D54A5" w:rsidRDefault="00045EBB" w:rsidP="00C90C6E">
            <w:pPr>
              <w:pStyle w:val="TableText-center-10"/>
            </w:pPr>
            <w:r w:rsidRPr="008D54A5">
              <w:t>Disagree</w:t>
            </w:r>
            <w:r w:rsidR="005E3AEE" w:rsidRPr="008D54A5">
              <w:t>ment score</w:t>
            </w:r>
          </w:p>
        </w:tc>
        <w:tc>
          <w:tcPr>
            <w:tcW w:w="2325" w:type="dxa"/>
          </w:tcPr>
          <w:p w14:paraId="7AA44579" w14:textId="77777777" w:rsidR="00045EBB" w:rsidRPr="008D54A5" w:rsidRDefault="005E3AEE" w:rsidP="00C90C6E">
            <w:pPr>
              <w:pStyle w:val="TableText-center-10"/>
            </w:pPr>
            <w:r w:rsidRPr="008D54A5">
              <w:t>0</w:t>
            </w:r>
          </w:p>
        </w:tc>
      </w:tr>
      <w:tr w:rsidR="00045EBB" w:rsidRPr="008D54A5" w14:paraId="0CF89D1C" w14:textId="77777777" w:rsidTr="00995AAF">
        <w:trPr>
          <w:trHeight w:val="20"/>
          <w:jc w:val="center"/>
        </w:trPr>
        <w:tc>
          <w:tcPr>
            <w:tcW w:w="2335" w:type="dxa"/>
          </w:tcPr>
          <w:p w14:paraId="1F375637" w14:textId="77777777" w:rsidR="00045EBB" w:rsidRPr="008D54A5" w:rsidRDefault="00045EBB" w:rsidP="00C90C6E">
            <w:pPr>
              <w:pStyle w:val="TableText-center-10"/>
            </w:pPr>
            <w:r w:rsidRPr="008D54A5">
              <w:t>No</w:t>
            </w:r>
          </w:p>
        </w:tc>
        <w:tc>
          <w:tcPr>
            <w:tcW w:w="2345" w:type="dxa"/>
          </w:tcPr>
          <w:p w14:paraId="28F345B6" w14:textId="77777777" w:rsidR="00045EBB" w:rsidRPr="008D54A5" w:rsidRDefault="00045EBB" w:rsidP="00C90C6E">
            <w:pPr>
              <w:pStyle w:val="TableText-center-10"/>
            </w:pPr>
            <w:r w:rsidRPr="008D54A5">
              <w:t>Disagree</w:t>
            </w:r>
            <w:r w:rsidR="005E3AEE" w:rsidRPr="008D54A5">
              <w:t>ment score</w:t>
            </w:r>
          </w:p>
        </w:tc>
        <w:tc>
          <w:tcPr>
            <w:tcW w:w="2345" w:type="dxa"/>
          </w:tcPr>
          <w:p w14:paraId="17C626C5" w14:textId="77777777" w:rsidR="00045EBB" w:rsidRPr="008D54A5" w:rsidRDefault="005E3AEE" w:rsidP="00C90C6E">
            <w:pPr>
              <w:pStyle w:val="TableText-center-10"/>
            </w:pPr>
            <w:r w:rsidRPr="008D54A5">
              <w:t>0</w:t>
            </w:r>
          </w:p>
        </w:tc>
        <w:tc>
          <w:tcPr>
            <w:tcW w:w="2325" w:type="dxa"/>
          </w:tcPr>
          <w:p w14:paraId="27CA0A44" w14:textId="77777777" w:rsidR="00045EBB" w:rsidRPr="008D54A5" w:rsidRDefault="005E3AEE" w:rsidP="00C90C6E">
            <w:pPr>
              <w:pStyle w:val="TableText-center-10"/>
            </w:pPr>
            <w:r w:rsidRPr="008D54A5">
              <w:t>0</w:t>
            </w:r>
          </w:p>
        </w:tc>
      </w:tr>
      <w:tr w:rsidR="00045EBB" w:rsidRPr="008D54A5" w14:paraId="4D79EF09" w14:textId="77777777" w:rsidTr="00995AAF">
        <w:trPr>
          <w:trHeight w:val="20"/>
          <w:jc w:val="center"/>
        </w:trPr>
        <w:tc>
          <w:tcPr>
            <w:tcW w:w="2335" w:type="dxa"/>
          </w:tcPr>
          <w:p w14:paraId="38AFFCCF" w14:textId="77777777" w:rsidR="00045EBB" w:rsidRPr="008D54A5" w:rsidRDefault="00045EBB" w:rsidP="00C90C6E">
            <w:pPr>
              <w:pStyle w:val="TableText-center-10"/>
            </w:pPr>
            <w:r w:rsidRPr="008D54A5">
              <w:t>Missing</w:t>
            </w:r>
          </w:p>
        </w:tc>
        <w:tc>
          <w:tcPr>
            <w:tcW w:w="2345" w:type="dxa"/>
          </w:tcPr>
          <w:p w14:paraId="52826F88" w14:textId="77777777" w:rsidR="00045EBB" w:rsidRPr="008D54A5" w:rsidRDefault="005E3AEE" w:rsidP="00C90C6E">
            <w:pPr>
              <w:pStyle w:val="TableText-center-10"/>
            </w:pPr>
            <w:r w:rsidRPr="008D54A5">
              <w:t>0</w:t>
            </w:r>
          </w:p>
        </w:tc>
        <w:tc>
          <w:tcPr>
            <w:tcW w:w="2345" w:type="dxa"/>
          </w:tcPr>
          <w:p w14:paraId="70FDA88B" w14:textId="77777777" w:rsidR="00045EBB" w:rsidRPr="008D54A5" w:rsidRDefault="005E3AEE" w:rsidP="00C90C6E">
            <w:pPr>
              <w:pStyle w:val="TableText-center-10"/>
            </w:pPr>
            <w:r w:rsidRPr="008D54A5">
              <w:t>0</w:t>
            </w:r>
          </w:p>
        </w:tc>
        <w:tc>
          <w:tcPr>
            <w:tcW w:w="2325" w:type="dxa"/>
          </w:tcPr>
          <w:p w14:paraId="4E37CB2A" w14:textId="77777777" w:rsidR="00045EBB" w:rsidRPr="008D54A5" w:rsidRDefault="005E3AEE" w:rsidP="00C90C6E">
            <w:pPr>
              <w:pStyle w:val="TableText-center-10"/>
            </w:pPr>
            <w:r w:rsidRPr="008D54A5">
              <w:t>0</w:t>
            </w:r>
          </w:p>
        </w:tc>
      </w:tr>
    </w:tbl>
    <w:p w14:paraId="0C6AC0A2" w14:textId="6A286393" w:rsidR="00F44F81" w:rsidRPr="008D54A5" w:rsidRDefault="00F44F81" w:rsidP="00C90C6E">
      <w:pPr>
        <w:pStyle w:val="Source-9-1"/>
        <w:spacing w:before="0" w:after="0"/>
      </w:pPr>
      <w:r w:rsidRPr="008D54A5">
        <w:t xml:space="preserve">HC = </w:t>
      </w:r>
      <w:r w:rsidR="00BB6089" w:rsidRPr="008D54A5">
        <w:t>Household Component</w:t>
      </w:r>
      <w:r w:rsidRPr="008D54A5">
        <w:t xml:space="preserve">; MPC = </w:t>
      </w:r>
      <w:r w:rsidR="00BB6089" w:rsidRPr="008D54A5">
        <w:t>Medical Provider Component</w:t>
      </w:r>
      <w:r w:rsidRPr="008D54A5">
        <w:t>.</w:t>
      </w:r>
    </w:p>
    <w:p w14:paraId="559FF872" w14:textId="15AEECE3" w:rsidR="007127B0" w:rsidRPr="008D54A5" w:rsidRDefault="00094C4E" w:rsidP="00C90C6E">
      <w:pPr>
        <w:pStyle w:val="Source-9-1"/>
        <w:spacing w:before="0" w:after="0"/>
      </w:pPr>
      <w:r w:rsidRPr="008D54A5">
        <w:t xml:space="preserve">Source: </w:t>
      </w:r>
      <w:r w:rsidR="002B2330" w:rsidRPr="008D54A5">
        <w:t>202</w:t>
      </w:r>
      <w:r w:rsidR="006262F9" w:rsidRPr="008D54A5">
        <w:t>2</w:t>
      </w:r>
      <w:r w:rsidRPr="008D54A5">
        <w:t xml:space="preserve"> Medical Expenditure Panel Survey – Medical Provider Component.</w:t>
      </w:r>
    </w:p>
    <w:p w14:paraId="59D411DF" w14:textId="750B048E" w:rsidR="00045EBB" w:rsidRPr="008D54A5" w:rsidRDefault="003022F0" w:rsidP="00C90C6E">
      <w:pPr>
        <w:pStyle w:val="Source-9-2"/>
        <w:spacing w:before="0" w:after="0"/>
      </w:pPr>
      <w:r w:rsidRPr="008D54A5">
        <w:t>Note: Field comparison score for the condition is set to 0 when the events neither agree nor disagree.</w:t>
      </w:r>
    </w:p>
    <w:p w14:paraId="37BE7D8A" w14:textId="30F47145" w:rsidR="00233A91" w:rsidRPr="008D54A5" w:rsidRDefault="00D43102" w:rsidP="00C90C6E">
      <w:pPr>
        <w:pStyle w:val="BodyText2"/>
      </w:pPr>
      <w:r w:rsidRPr="008D54A5">
        <w:t xml:space="preserve">The </w:t>
      </w:r>
      <w:r w:rsidR="00361E93" w:rsidRPr="008D54A5">
        <w:t>field comparison score for the array of condition indicators</w:t>
      </w:r>
      <w:r w:rsidRPr="008D54A5">
        <w:t xml:space="preserve"> is calculated from the individual agreement and disagreement weights as follows: if there is agreement for at least one of the conditions, then the contribution is the average of the agreement weights for those that agree; otherwise, it is the average of the disagreement w</w:t>
      </w:r>
      <w:r w:rsidR="007E37A8" w:rsidRPr="008D54A5">
        <w:t>eights for those that disagree.</w:t>
      </w:r>
    </w:p>
    <w:p w14:paraId="21E2F5B2" w14:textId="181E2AE6" w:rsidR="007C31EB" w:rsidRPr="008D54A5" w:rsidRDefault="00F66AD2" w:rsidP="008512DA">
      <w:pPr>
        <w:pStyle w:val="BodyText1212"/>
      </w:pPr>
      <w:r w:rsidRPr="008D54A5">
        <w:rPr>
          <w:b/>
          <w:u w:val="single"/>
        </w:rPr>
        <w:t>Comment 4: DONT1, DONT2</w:t>
      </w:r>
      <w:r w:rsidR="00A25134" w:rsidRPr="008D54A5">
        <w:rPr>
          <w:b/>
          <w:u w:val="single"/>
        </w:rPr>
        <w:t>,</w:t>
      </w:r>
      <w:r w:rsidRPr="008D54A5">
        <w:rPr>
          <w:b/>
          <w:u w:val="single"/>
        </w:rPr>
        <w:t xml:space="preserve"> DONT3</w:t>
      </w:r>
      <w:r w:rsidR="00ED447B" w:rsidRPr="008D54A5">
        <w:rPr>
          <w:b/>
          <w:u w:val="single"/>
        </w:rPr>
        <w:t>, DONT4</w:t>
      </w:r>
      <w:r w:rsidR="00BD0F5C" w:rsidRPr="008D54A5">
        <w:rPr>
          <w:b/>
          <w:u w:val="single"/>
        </w:rPr>
        <w:t>, DONT5, DONT6, DONT7</w:t>
      </w:r>
      <w:r w:rsidRPr="008D54A5">
        <w:rPr>
          <w:b/>
          <w:u w:val="single"/>
        </w:rPr>
        <w:t xml:space="preserve"> Variables</w:t>
      </w:r>
      <w:r w:rsidR="007177F2" w:rsidRPr="008D54A5">
        <w:rPr>
          <w:b/>
          <w:u w:val="single"/>
        </w:rPr>
        <w:t xml:space="preserve"> and</w:t>
      </w:r>
      <w:r w:rsidR="00356CD1" w:rsidRPr="008D54A5">
        <w:rPr>
          <w:b/>
          <w:u w:val="single"/>
        </w:rPr>
        <w:t xml:space="preserve"> </w:t>
      </w:r>
      <w:r w:rsidR="003463CF" w:rsidRPr="008D54A5">
        <w:rPr>
          <w:b/>
          <w:u w:val="single"/>
        </w:rPr>
        <w:t>DONT1a, DONT2a, DONT3a, DONT4a, DONT5a, DONT6a</w:t>
      </w:r>
      <w:r w:rsidR="00BD0F5C" w:rsidRPr="008D54A5">
        <w:rPr>
          <w:b/>
          <w:u w:val="single"/>
        </w:rPr>
        <w:t>, DONT7a, DONT8a, DONT9a, DONT10a, and DONT11a</w:t>
      </w:r>
      <w:r w:rsidR="003463CF" w:rsidRPr="008D54A5">
        <w:rPr>
          <w:b/>
          <w:u w:val="single"/>
        </w:rPr>
        <w:t xml:space="preserve"> Variables</w:t>
      </w:r>
    </w:p>
    <w:p w14:paraId="31A3DF14" w14:textId="77777777" w:rsidR="007C3601" w:rsidRPr="008D54A5" w:rsidRDefault="00F66AD2" w:rsidP="00514FF9">
      <w:pPr>
        <w:pStyle w:val="BodyText"/>
      </w:pPr>
      <w:r w:rsidRPr="008D54A5">
        <w:t xml:space="preserve">Historically, the MPC has not allowed matches between certain types of events between the HC and MPC. Those matches that are allowed and not allowed </w:t>
      </w:r>
      <w:r w:rsidR="00B64403" w:rsidRPr="008D54A5">
        <w:t xml:space="preserve">at Pass 1 </w:t>
      </w:r>
      <w:r w:rsidRPr="008D54A5">
        <w:t xml:space="preserve">are summarized in </w:t>
      </w:r>
      <w:r w:rsidR="00356CD1" w:rsidRPr="00404E1F">
        <w:rPr>
          <w:b/>
        </w:rPr>
        <w:t>Exhibit </w:t>
      </w:r>
      <w:r w:rsidRPr="008D54A5">
        <w:rPr>
          <w:b/>
        </w:rPr>
        <w:t>8.</w:t>
      </w:r>
      <w:r w:rsidR="002E3206" w:rsidRPr="008D54A5">
        <w:rPr>
          <w:b/>
        </w:rPr>
        <w:t>7</w:t>
      </w:r>
      <w:r w:rsidRPr="008D54A5">
        <w:t>. This exhibit indicates, for example, that an inpatient stay (HS) of 0 or 1 night on one of the two files cannot be paired up to a medical visit (MV) on the other file. As another example, an inpatient stay of 2 nights is not allowed to match with OP no surgery, ER, or medical visit event on the other file.</w:t>
      </w:r>
      <w:r w:rsidR="00C37447" w:rsidRPr="008D54A5">
        <w:t xml:space="preserve"> </w:t>
      </w:r>
    </w:p>
    <w:p w14:paraId="241A687A" w14:textId="19F82181" w:rsidR="00245172" w:rsidRPr="008D54A5" w:rsidRDefault="00245172" w:rsidP="00514FF9">
      <w:pPr>
        <w:pStyle w:val="BodyText"/>
      </w:pPr>
      <w:r w:rsidRPr="008D54A5">
        <w:t xml:space="preserve">Pass 1.5 is more restrictive in that inpatient stays can only match other inpatient stays, matched inpatient stays must have a difference in length of stay of less than 3 days, and an event with surgery can only be paired with another event with surgery, as shown in </w:t>
      </w:r>
      <w:r w:rsidRPr="00404E1F">
        <w:rPr>
          <w:b/>
          <w:bCs w:val="0"/>
        </w:rPr>
        <w:t>Exhibit </w:t>
      </w:r>
      <w:r w:rsidRPr="008D54A5">
        <w:rPr>
          <w:b/>
          <w:bCs w:val="0"/>
        </w:rPr>
        <w:t>8.8</w:t>
      </w:r>
      <w:r w:rsidRPr="008D54A5">
        <w:t>.</w:t>
      </w:r>
    </w:p>
    <w:p w14:paraId="13F29A66" w14:textId="77777777" w:rsidR="00245172" w:rsidRPr="008D54A5" w:rsidRDefault="00245172" w:rsidP="00245172">
      <w:pPr>
        <w:pStyle w:val="BodyText"/>
      </w:pPr>
      <w:r w:rsidRPr="008D54A5">
        <w:t>As noted in the previous section, beginning with the 2009 MPC, all events within a block group from one of the files are matched, with the exception that certain types of events are not allowed to match. To accomplish this goal of accepting as many allowed matches as possible within a block group in the matching process, the threshold, or a minimum allowable weight for any pair, is set to an extremely small value (specifically -100,000) and assigned the match weight to any unallowable pair to be this minimum threshold times 10,000 (any number less than the threshold of -100,000 could have been used). The variables DONT1 through DONT7 provide a method to algorithmically identify unallowable matches for Pass 1. For example, within a block group, if an HC event had a value of DONT1=1 and an MPC event had a value of DONT1=2, then the pair would receive a match weight of -100,000*10,000. The variables DONT1a through DONT11a serve a similar purpose for Pass 1.5.</w:t>
      </w:r>
    </w:p>
    <w:p w14:paraId="029D9A62" w14:textId="5D19F606" w:rsidR="00245172" w:rsidRPr="008D54A5" w:rsidRDefault="00245172" w:rsidP="00245172">
      <w:pPr>
        <w:pStyle w:val="BodyText"/>
      </w:pPr>
      <w:r w:rsidRPr="00404E1F">
        <w:rPr>
          <w:b/>
        </w:rPr>
        <w:t>Exhibit </w:t>
      </w:r>
      <w:r w:rsidRPr="008D54A5">
        <w:rPr>
          <w:b/>
        </w:rPr>
        <w:t>8.4</w:t>
      </w:r>
      <w:r w:rsidRPr="008D54A5">
        <w:t xml:space="preserve"> shows how DONT1 through DONT7 are defined as well as how DONT1a through DONT11a are defined.</w:t>
      </w:r>
    </w:p>
    <w:p w14:paraId="24DC5196" w14:textId="77777777" w:rsidR="00245172" w:rsidRPr="008D54A5" w:rsidRDefault="00245172" w:rsidP="00514FF9">
      <w:pPr>
        <w:pStyle w:val="BodyText"/>
      </w:pPr>
    </w:p>
    <w:p w14:paraId="1FC91AC0" w14:textId="16A279CC" w:rsidR="00245172" w:rsidRPr="008D54A5" w:rsidRDefault="00245172" w:rsidP="00514FF9">
      <w:pPr>
        <w:pStyle w:val="BodyText"/>
        <w:sectPr w:rsidR="00245172" w:rsidRPr="008D54A5" w:rsidSect="00356CD1">
          <w:type w:val="continuous"/>
          <w:pgSz w:w="12240" w:h="15840"/>
          <w:pgMar w:top="1440" w:right="1440" w:bottom="1440" w:left="1440" w:header="720" w:footer="720" w:gutter="0"/>
          <w:cols w:space="720"/>
          <w:docGrid w:linePitch="360"/>
        </w:sectPr>
      </w:pPr>
    </w:p>
    <w:p w14:paraId="2E0F767A" w14:textId="72C28C84" w:rsidR="00995AAF" w:rsidRPr="008D54A5" w:rsidRDefault="00995AAF" w:rsidP="00FD4A4F">
      <w:pPr>
        <w:pStyle w:val="ExhibitTitle"/>
      </w:pPr>
      <w:bookmarkStart w:id="494" w:name="_Toc128574201"/>
      <w:bookmarkStart w:id="495" w:name="_Toc188622356"/>
      <w:r w:rsidRPr="00404E1F">
        <w:lastRenderedPageBreak/>
        <w:t>Exhibit </w:t>
      </w:r>
      <w:r w:rsidR="000F4D1A" w:rsidRPr="008D54A5">
        <w:rPr>
          <w:noProof/>
        </w:rPr>
        <w:fldChar w:fldCharType="begin"/>
      </w:r>
      <w:r w:rsidR="000F4D1A" w:rsidRPr="008D54A5">
        <w:rPr>
          <w:noProof/>
        </w:rPr>
        <w:instrText xml:space="preserve"> STYLEREF 1 \s </w:instrText>
      </w:r>
      <w:r w:rsidR="000F4D1A" w:rsidRPr="008D54A5">
        <w:rPr>
          <w:noProof/>
        </w:rPr>
        <w:fldChar w:fldCharType="separate"/>
      </w:r>
      <w:r w:rsidR="00EC2444" w:rsidRPr="008D54A5">
        <w:rPr>
          <w:noProof/>
        </w:rPr>
        <w:t>8</w:t>
      </w:r>
      <w:r w:rsidR="000F4D1A" w:rsidRPr="008D54A5">
        <w:rPr>
          <w:noProof/>
        </w:rPr>
        <w:fldChar w:fldCharType="end"/>
      </w:r>
      <w:r w:rsidRPr="008D54A5">
        <w:t>.</w:t>
      </w:r>
      <w:r w:rsidR="000F4D1A" w:rsidRPr="008D54A5">
        <w:rPr>
          <w:noProof/>
        </w:rPr>
        <w:fldChar w:fldCharType="begin"/>
      </w:r>
      <w:r w:rsidR="000F4D1A" w:rsidRPr="008D54A5">
        <w:rPr>
          <w:noProof/>
        </w:rPr>
        <w:instrText xml:space="preserve"> SEQ Exhibit \* ARABIC \s 1 </w:instrText>
      </w:r>
      <w:r w:rsidR="000F4D1A" w:rsidRPr="008D54A5">
        <w:rPr>
          <w:noProof/>
        </w:rPr>
        <w:fldChar w:fldCharType="separate"/>
      </w:r>
      <w:r w:rsidR="00EC2444" w:rsidRPr="008D54A5">
        <w:rPr>
          <w:noProof/>
        </w:rPr>
        <w:t>7</w:t>
      </w:r>
      <w:r w:rsidR="000F4D1A" w:rsidRPr="008D54A5">
        <w:rPr>
          <w:noProof/>
        </w:rPr>
        <w:fldChar w:fldCharType="end"/>
      </w:r>
      <w:r w:rsidRPr="008D54A5">
        <w:tab/>
        <w:t>MPC-HC Matches Allowed and Not Allowed at Pass 1</w:t>
      </w:r>
      <w:r w:rsidR="0031186A" w:rsidRPr="008D54A5">
        <w:t xml:space="preserve">, </w:t>
      </w:r>
      <w:r w:rsidR="002B2330" w:rsidRPr="008D54A5">
        <w:t>202</w:t>
      </w:r>
      <w:r w:rsidR="00FF13B4" w:rsidRPr="008D54A5">
        <w:t>2</w:t>
      </w:r>
      <w:bookmarkEnd w:id="494"/>
      <w:bookmarkEnd w:id="495"/>
      <w:r w:rsidRPr="008D54A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1163"/>
        <w:gridCol w:w="1163"/>
        <w:gridCol w:w="1163"/>
        <w:gridCol w:w="1163"/>
        <w:gridCol w:w="1163"/>
        <w:gridCol w:w="1163"/>
        <w:gridCol w:w="1163"/>
        <w:gridCol w:w="1163"/>
        <w:gridCol w:w="813"/>
      </w:tblGrid>
      <w:tr w:rsidR="007C3601" w:rsidRPr="008D54A5" w14:paraId="51E64910" w14:textId="77777777" w:rsidTr="007C3601">
        <w:trPr>
          <w:trHeight w:val="310"/>
        </w:trPr>
        <w:tc>
          <w:tcPr>
            <w:tcW w:w="1094" w:type="pct"/>
            <w:vMerge w:val="restart"/>
            <w:shd w:val="clear" w:color="000000" w:fill="BFBFBF"/>
            <w:vAlign w:val="bottom"/>
            <w:hideMark/>
          </w:tcPr>
          <w:p w14:paraId="2E211178" w14:textId="77777777" w:rsidR="007C3601" w:rsidRPr="008D54A5" w:rsidRDefault="007C3601" w:rsidP="007C3601">
            <w:pPr>
              <w:rPr>
                <w:b/>
                <w:bCs/>
                <w:color w:val="000000"/>
                <w:sz w:val="18"/>
                <w:szCs w:val="18"/>
              </w:rPr>
            </w:pPr>
            <w:r w:rsidRPr="008D54A5">
              <w:rPr>
                <w:b/>
                <w:bCs/>
                <w:color w:val="000000"/>
                <w:sz w:val="18"/>
                <w:szCs w:val="18"/>
              </w:rPr>
              <w:t>MPC Classification</w:t>
            </w:r>
          </w:p>
        </w:tc>
        <w:tc>
          <w:tcPr>
            <w:tcW w:w="3906" w:type="pct"/>
            <w:gridSpan w:val="9"/>
            <w:shd w:val="clear" w:color="000000" w:fill="BFBFBF"/>
            <w:vAlign w:val="bottom"/>
            <w:hideMark/>
          </w:tcPr>
          <w:p w14:paraId="45A7EF1A" w14:textId="77777777" w:rsidR="007C3601" w:rsidRPr="008D54A5" w:rsidRDefault="007C3601" w:rsidP="007C3601">
            <w:pPr>
              <w:jc w:val="center"/>
              <w:rPr>
                <w:b/>
                <w:bCs/>
                <w:color w:val="000000"/>
                <w:sz w:val="18"/>
                <w:szCs w:val="18"/>
              </w:rPr>
            </w:pPr>
            <w:r w:rsidRPr="008D54A5">
              <w:rPr>
                <w:b/>
                <w:bCs/>
                <w:color w:val="000000"/>
                <w:sz w:val="18"/>
                <w:szCs w:val="18"/>
              </w:rPr>
              <w:t>HC Classification</w:t>
            </w:r>
          </w:p>
        </w:tc>
      </w:tr>
      <w:tr w:rsidR="00772C33" w:rsidRPr="008D54A5" w14:paraId="4E868F66" w14:textId="77777777" w:rsidTr="0033157C">
        <w:trPr>
          <w:trHeight w:val="233"/>
        </w:trPr>
        <w:tc>
          <w:tcPr>
            <w:tcW w:w="1094" w:type="pct"/>
            <w:vMerge/>
            <w:vAlign w:val="center"/>
            <w:hideMark/>
          </w:tcPr>
          <w:p w14:paraId="6964B13C" w14:textId="77777777" w:rsidR="00772C33" w:rsidRPr="008D54A5" w:rsidRDefault="00772C33" w:rsidP="00772C33">
            <w:pPr>
              <w:rPr>
                <w:b/>
                <w:bCs/>
                <w:color w:val="000000"/>
                <w:sz w:val="18"/>
                <w:szCs w:val="18"/>
              </w:rPr>
            </w:pPr>
          </w:p>
        </w:tc>
        <w:tc>
          <w:tcPr>
            <w:tcW w:w="449" w:type="pct"/>
            <w:shd w:val="clear" w:color="000000" w:fill="BFBFBF"/>
            <w:vAlign w:val="center"/>
            <w:hideMark/>
          </w:tcPr>
          <w:p w14:paraId="56F02B74" w14:textId="07874846" w:rsidR="00772C33" w:rsidRPr="008D54A5" w:rsidRDefault="00772C33" w:rsidP="00772C33">
            <w:pPr>
              <w:jc w:val="center"/>
              <w:rPr>
                <w:b/>
                <w:bCs/>
                <w:color w:val="000000"/>
                <w:sz w:val="18"/>
                <w:szCs w:val="18"/>
              </w:rPr>
            </w:pPr>
            <w:r w:rsidRPr="008D54A5">
              <w:rPr>
                <w:b/>
                <w:bCs/>
                <w:color w:val="000000"/>
                <w:sz w:val="18"/>
                <w:szCs w:val="18"/>
              </w:rPr>
              <w:t>HS, 0, 1 Night</w:t>
            </w:r>
          </w:p>
        </w:tc>
        <w:tc>
          <w:tcPr>
            <w:tcW w:w="449" w:type="pct"/>
            <w:shd w:val="clear" w:color="000000" w:fill="BFBFBF"/>
            <w:vAlign w:val="center"/>
            <w:hideMark/>
          </w:tcPr>
          <w:p w14:paraId="56BFE71E" w14:textId="6474D574" w:rsidR="00772C33" w:rsidRPr="008D54A5" w:rsidRDefault="00772C33" w:rsidP="00772C33">
            <w:pPr>
              <w:jc w:val="center"/>
              <w:rPr>
                <w:b/>
                <w:bCs/>
                <w:color w:val="000000"/>
                <w:sz w:val="18"/>
                <w:szCs w:val="18"/>
              </w:rPr>
            </w:pPr>
            <w:r w:rsidRPr="008D54A5">
              <w:rPr>
                <w:b/>
                <w:bCs/>
                <w:color w:val="000000"/>
                <w:sz w:val="18"/>
                <w:szCs w:val="18"/>
              </w:rPr>
              <w:t>HS, 2 Nights</w:t>
            </w:r>
          </w:p>
        </w:tc>
        <w:tc>
          <w:tcPr>
            <w:tcW w:w="449" w:type="pct"/>
            <w:shd w:val="clear" w:color="000000" w:fill="BFBFBF"/>
            <w:vAlign w:val="center"/>
            <w:hideMark/>
          </w:tcPr>
          <w:p w14:paraId="1B124BE8" w14:textId="7F2E0C5E" w:rsidR="00772C33" w:rsidRPr="008D54A5" w:rsidRDefault="00772C33" w:rsidP="00772C33">
            <w:pPr>
              <w:jc w:val="center"/>
              <w:rPr>
                <w:b/>
                <w:bCs/>
                <w:color w:val="000000"/>
                <w:sz w:val="18"/>
                <w:szCs w:val="18"/>
              </w:rPr>
            </w:pPr>
            <w:r w:rsidRPr="008D54A5">
              <w:rPr>
                <w:b/>
                <w:bCs/>
                <w:color w:val="000000"/>
                <w:sz w:val="18"/>
                <w:szCs w:val="18"/>
              </w:rPr>
              <w:t>HS, 3 Nights</w:t>
            </w:r>
          </w:p>
        </w:tc>
        <w:tc>
          <w:tcPr>
            <w:tcW w:w="449" w:type="pct"/>
            <w:shd w:val="clear" w:color="000000" w:fill="BFBFBF"/>
            <w:vAlign w:val="center"/>
            <w:hideMark/>
          </w:tcPr>
          <w:p w14:paraId="27F6CD3D" w14:textId="46FF3B07" w:rsidR="00772C33" w:rsidRPr="008D54A5" w:rsidRDefault="00772C33" w:rsidP="00772C33">
            <w:pPr>
              <w:jc w:val="center"/>
              <w:rPr>
                <w:b/>
                <w:bCs/>
                <w:color w:val="000000"/>
                <w:sz w:val="18"/>
                <w:szCs w:val="18"/>
              </w:rPr>
            </w:pPr>
            <w:r w:rsidRPr="008D54A5">
              <w:rPr>
                <w:b/>
                <w:bCs/>
                <w:color w:val="000000"/>
                <w:sz w:val="18"/>
                <w:szCs w:val="18"/>
              </w:rPr>
              <w:t>OP, With Surgery</w:t>
            </w:r>
          </w:p>
        </w:tc>
        <w:tc>
          <w:tcPr>
            <w:tcW w:w="449" w:type="pct"/>
            <w:shd w:val="clear" w:color="000000" w:fill="BFBFBF"/>
            <w:vAlign w:val="center"/>
            <w:hideMark/>
          </w:tcPr>
          <w:p w14:paraId="422C5B5A" w14:textId="3314ED32" w:rsidR="00772C33" w:rsidRPr="008D54A5" w:rsidRDefault="00772C33" w:rsidP="00772C33">
            <w:pPr>
              <w:jc w:val="center"/>
              <w:rPr>
                <w:b/>
                <w:bCs/>
                <w:color w:val="000000"/>
                <w:sz w:val="18"/>
                <w:szCs w:val="18"/>
              </w:rPr>
            </w:pPr>
            <w:r w:rsidRPr="008D54A5">
              <w:rPr>
                <w:b/>
                <w:bCs/>
                <w:color w:val="000000"/>
                <w:sz w:val="18"/>
                <w:szCs w:val="18"/>
              </w:rPr>
              <w:t>OP, No Surgery</w:t>
            </w:r>
          </w:p>
        </w:tc>
        <w:tc>
          <w:tcPr>
            <w:tcW w:w="449" w:type="pct"/>
            <w:shd w:val="clear" w:color="000000" w:fill="BFBFBF"/>
            <w:vAlign w:val="center"/>
            <w:hideMark/>
          </w:tcPr>
          <w:p w14:paraId="3AB95C65" w14:textId="54E88790" w:rsidR="00772C33" w:rsidRPr="008D54A5" w:rsidRDefault="00772C33" w:rsidP="00772C33">
            <w:pPr>
              <w:jc w:val="center"/>
              <w:rPr>
                <w:b/>
                <w:bCs/>
                <w:color w:val="000000"/>
                <w:sz w:val="18"/>
                <w:szCs w:val="18"/>
              </w:rPr>
            </w:pPr>
            <w:r w:rsidRPr="008D54A5">
              <w:rPr>
                <w:b/>
                <w:bCs/>
                <w:color w:val="000000"/>
                <w:sz w:val="18"/>
                <w:szCs w:val="18"/>
              </w:rPr>
              <w:t>ER, With Surgery</w:t>
            </w:r>
          </w:p>
        </w:tc>
        <w:tc>
          <w:tcPr>
            <w:tcW w:w="449" w:type="pct"/>
            <w:shd w:val="clear" w:color="000000" w:fill="BFBFBF"/>
            <w:vAlign w:val="center"/>
            <w:hideMark/>
          </w:tcPr>
          <w:p w14:paraId="741A5A37" w14:textId="25FF927C" w:rsidR="00772C33" w:rsidRPr="008D54A5" w:rsidRDefault="00772C33" w:rsidP="00772C33">
            <w:pPr>
              <w:jc w:val="center"/>
              <w:rPr>
                <w:b/>
                <w:bCs/>
                <w:color w:val="000000"/>
                <w:sz w:val="18"/>
                <w:szCs w:val="18"/>
              </w:rPr>
            </w:pPr>
            <w:r w:rsidRPr="008D54A5">
              <w:rPr>
                <w:b/>
                <w:bCs/>
                <w:color w:val="000000"/>
                <w:sz w:val="18"/>
                <w:szCs w:val="18"/>
              </w:rPr>
              <w:t>ER, No Surgery</w:t>
            </w:r>
          </w:p>
        </w:tc>
        <w:tc>
          <w:tcPr>
            <w:tcW w:w="449" w:type="pct"/>
            <w:shd w:val="clear" w:color="000000" w:fill="BFBFBF"/>
            <w:vAlign w:val="center"/>
            <w:hideMark/>
          </w:tcPr>
          <w:p w14:paraId="3203F3C8" w14:textId="0D7666C9" w:rsidR="00772C33" w:rsidRPr="008D54A5" w:rsidRDefault="00772C33" w:rsidP="00772C33">
            <w:pPr>
              <w:jc w:val="center"/>
              <w:rPr>
                <w:b/>
                <w:bCs/>
                <w:color w:val="000000"/>
                <w:sz w:val="18"/>
                <w:szCs w:val="18"/>
              </w:rPr>
            </w:pPr>
            <w:r w:rsidRPr="008D54A5">
              <w:rPr>
                <w:b/>
                <w:bCs/>
                <w:color w:val="000000"/>
                <w:sz w:val="18"/>
                <w:szCs w:val="18"/>
              </w:rPr>
              <w:t>MV</w:t>
            </w:r>
          </w:p>
        </w:tc>
        <w:tc>
          <w:tcPr>
            <w:tcW w:w="314" w:type="pct"/>
            <w:shd w:val="clear" w:color="000000" w:fill="BFBFBF"/>
            <w:vAlign w:val="center"/>
            <w:hideMark/>
          </w:tcPr>
          <w:p w14:paraId="5CAC069D" w14:textId="6A57B738" w:rsidR="00772C33" w:rsidRPr="008D54A5" w:rsidRDefault="00772C33" w:rsidP="00772C33">
            <w:pPr>
              <w:jc w:val="center"/>
              <w:rPr>
                <w:b/>
                <w:bCs/>
                <w:color w:val="000000"/>
                <w:sz w:val="18"/>
                <w:szCs w:val="18"/>
              </w:rPr>
            </w:pPr>
            <w:r w:rsidRPr="008D54A5">
              <w:rPr>
                <w:b/>
                <w:bCs/>
                <w:color w:val="000000"/>
                <w:sz w:val="18"/>
                <w:szCs w:val="18"/>
              </w:rPr>
              <w:t>Total</w:t>
            </w:r>
          </w:p>
        </w:tc>
      </w:tr>
      <w:tr w:rsidR="000753D0" w:rsidRPr="008D54A5" w14:paraId="0E6912F3" w14:textId="77777777" w:rsidTr="0086435E">
        <w:trPr>
          <w:trHeight w:val="260"/>
        </w:trPr>
        <w:tc>
          <w:tcPr>
            <w:tcW w:w="1094" w:type="pct"/>
            <w:shd w:val="clear" w:color="auto" w:fill="auto"/>
            <w:vAlign w:val="bottom"/>
            <w:hideMark/>
          </w:tcPr>
          <w:p w14:paraId="1B381825" w14:textId="77777777" w:rsidR="000753D0" w:rsidRPr="008D54A5" w:rsidRDefault="000753D0" w:rsidP="000753D0">
            <w:pPr>
              <w:rPr>
                <w:color w:val="000000"/>
                <w:sz w:val="18"/>
                <w:szCs w:val="18"/>
              </w:rPr>
            </w:pPr>
            <w:r w:rsidRPr="008D54A5">
              <w:rPr>
                <w:color w:val="000000"/>
                <w:sz w:val="18"/>
                <w:szCs w:val="18"/>
              </w:rPr>
              <w:t>Hospital Stay, 0, 1 Night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202FFFC" w14:textId="52C9A245" w:rsidR="000753D0" w:rsidRPr="007F0EC9" w:rsidRDefault="000753D0" w:rsidP="000753D0">
            <w:pPr>
              <w:jc w:val="center"/>
              <w:rPr>
                <w:color w:val="000000"/>
                <w:sz w:val="18"/>
                <w:szCs w:val="18"/>
              </w:rPr>
            </w:pPr>
            <w:r w:rsidRPr="007F0EC9">
              <w:rPr>
                <w:color w:val="000000"/>
                <w:sz w:val="18"/>
                <w:szCs w:val="18"/>
              </w:rPr>
              <w:t>+ (106)</w:t>
            </w:r>
          </w:p>
        </w:tc>
        <w:tc>
          <w:tcPr>
            <w:tcW w:w="449" w:type="pct"/>
            <w:tcBorders>
              <w:top w:val="single" w:sz="4" w:space="0" w:color="auto"/>
              <w:left w:val="nil"/>
              <w:bottom w:val="single" w:sz="4" w:space="0" w:color="auto"/>
              <w:right w:val="single" w:sz="4" w:space="0" w:color="auto"/>
            </w:tcBorders>
            <w:shd w:val="clear" w:color="auto" w:fill="auto"/>
            <w:vAlign w:val="bottom"/>
            <w:hideMark/>
          </w:tcPr>
          <w:p w14:paraId="58233765" w14:textId="1C631A31" w:rsidR="000753D0" w:rsidRPr="007F0EC9" w:rsidRDefault="000753D0" w:rsidP="000753D0">
            <w:pPr>
              <w:jc w:val="center"/>
              <w:rPr>
                <w:color w:val="000000"/>
                <w:sz w:val="18"/>
                <w:szCs w:val="18"/>
              </w:rPr>
            </w:pPr>
            <w:r w:rsidRPr="007F0EC9">
              <w:rPr>
                <w:color w:val="000000"/>
                <w:sz w:val="18"/>
                <w:szCs w:val="18"/>
              </w:rPr>
              <w:t>+ (34)</w:t>
            </w:r>
          </w:p>
        </w:tc>
        <w:tc>
          <w:tcPr>
            <w:tcW w:w="449" w:type="pct"/>
            <w:tcBorders>
              <w:top w:val="single" w:sz="4" w:space="0" w:color="auto"/>
              <w:left w:val="nil"/>
              <w:bottom w:val="single" w:sz="4" w:space="0" w:color="auto"/>
              <w:right w:val="single" w:sz="4" w:space="0" w:color="auto"/>
            </w:tcBorders>
            <w:shd w:val="clear" w:color="auto" w:fill="auto"/>
            <w:vAlign w:val="bottom"/>
            <w:hideMark/>
          </w:tcPr>
          <w:p w14:paraId="5A10F728" w14:textId="20F09D93" w:rsidR="000753D0" w:rsidRPr="007F0EC9" w:rsidRDefault="000753D0" w:rsidP="000753D0">
            <w:pPr>
              <w:jc w:val="center"/>
              <w:rPr>
                <w:color w:val="000000"/>
                <w:sz w:val="18"/>
                <w:szCs w:val="18"/>
              </w:rPr>
            </w:pPr>
            <w:r w:rsidRPr="007F0EC9">
              <w:rPr>
                <w:color w:val="000000"/>
                <w:sz w:val="18"/>
                <w:szCs w:val="18"/>
              </w:rPr>
              <w:t>+ (22)</w:t>
            </w:r>
          </w:p>
        </w:tc>
        <w:tc>
          <w:tcPr>
            <w:tcW w:w="449" w:type="pct"/>
            <w:tcBorders>
              <w:top w:val="single" w:sz="4" w:space="0" w:color="auto"/>
              <w:left w:val="nil"/>
              <w:bottom w:val="single" w:sz="4" w:space="0" w:color="auto"/>
              <w:right w:val="single" w:sz="4" w:space="0" w:color="auto"/>
            </w:tcBorders>
            <w:shd w:val="clear" w:color="auto" w:fill="auto"/>
            <w:vAlign w:val="bottom"/>
            <w:hideMark/>
          </w:tcPr>
          <w:p w14:paraId="57E68EB9" w14:textId="49D9C6BA" w:rsidR="000753D0" w:rsidRPr="007F0EC9" w:rsidRDefault="000753D0" w:rsidP="000753D0">
            <w:pPr>
              <w:jc w:val="center"/>
              <w:rPr>
                <w:color w:val="000000"/>
                <w:sz w:val="18"/>
                <w:szCs w:val="18"/>
              </w:rPr>
            </w:pPr>
            <w:r w:rsidRPr="007F0EC9">
              <w:rPr>
                <w:color w:val="000000"/>
                <w:sz w:val="18"/>
                <w:szCs w:val="18"/>
              </w:rPr>
              <w:t>+ (6)</w:t>
            </w:r>
          </w:p>
        </w:tc>
        <w:tc>
          <w:tcPr>
            <w:tcW w:w="449" w:type="pct"/>
            <w:tcBorders>
              <w:top w:val="single" w:sz="4" w:space="0" w:color="auto"/>
              <w:left w:val="nil"/>
              <w:bottom w:val="single" w:sz="4" w:space="0" w:color="auto"/>
              <w:right w:val="single" w:sz="4" w:space="0" w:color="auto"/>
            </w:tcBorders>
            <w:shd w:val="clear" w:color="auto" w:fill="auto"/>
            <w:vAlign w:val="bottom"/>
            <w:hideMark/>
          </w:tcPr>
          <w:p w14:paraId="42FE3D34" w14:textId="42A99B7F" w:rsidR="000753D0" w:rsidRPr="007F0EC9" w:rsidRDefault="000753D0" w:rsidP="000753D0">
            <w:pPr>
              <w:jc w:val="center"/>
              <w:rPr>
                <w:color w:val="000000"/>
                <w:sz w:val="18"/>
                <w:szCs w:val="18"/>
              </w:rPr>
            </w:pPr>
            <w:r w:rsidRPr="007F0EC9">
              <w:rPr>
                <w:color w:val="000000"/>
                <w:sz w:val="18"/>
                <w:szCs w:val="18"/>
              </w:rPr>
              <w:t>+ (7)</w:t>
            </w:r>
          </w:p>
        </w:tc>
        <w:tc>
          <w:tcPr>
            <w:tcW w:w="449" w:type="pct"/>
            <w:tcBorders>
              <w:top w:val="single" w:sz="4" w:space="0" w:color="auto"/>
              <w:left w:val="nil"/>
              <w:bottom w:val="single" w:sz="4" w:space="0" w:color="auto"/>
              <w:right w:val="single" w:sz="4" w:space="0" w:color="auto"/>
            </w:tcBorders>
            <w:shd w:val="clear" w:color="auto" w:fill="auto"/>
            <w:vAlign w:val="bottom"/>
            <w:hideMark/>
          </w:tcPr>
          <w:p w14:paraId="2E7EC03E" w14:textId="7FBF2D60"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single" w:sz="4" w:space="0" w:color="auto"/>
              <w:left w:val="nil"/>
              <w:bottom w:val="single" w:sz="4" w:space="0" w:color="auto"/>
              <w:right w:val="single" w:sz="4" w:space="0" w:color="auto"/>
            </w:tcBorders>
            <w:shd w:val="clear" w:color="auto" w:fill="auto"/>
            <w:vAlign w:val="bottom"/>
            <w:hideMark/>
          </w:tcPr>
          <w:p w14:paraId="4FA1E7E2" w14:textId="643CBEB3" w:rsidR="000753D0" w:rsidRPr="007F0EC9" w:rsidRDefault="000753D0" w:rsidP="000753D0">
            <w:pPr>
              <w:jc w:val="center"/>
              <w:rPr>
                <w:color w:val="000000"/>
                <w:sz w:val="18"/>
                <w:szCs w:val="18"/>
              </w:rPr>
            </w:pPr>
            <w:r w:rsidRPr="007F0EC9">
              <w:rPr>
                <w:color w:val="000000"/>
                <w:sz w:val="18"/>
                <w:szCs w:val="18"/>
              </w:rPr>
              <w:t>+ (1)</w:t>
            </w:r>
          </w:p>
        </w:tc>
        <w:tc>
          <w:tcPr>
            <w:tcW w:w="449" w:type="pct"/>
            <w:tcBorders>
              <w:top w:val="single" w:sz="4" w:space="0" w:color="auto"/>
              <w:left w:val="nil"/>
              <w:bottom w:val="single" w:sz="4" w:space="0" w:color="auto"/>
              <w:right w:val="single" w:sz="4" w:space="0" w:color="auto"/>
            </w:tcBorders>
            <w:shd w:val="clear" w:color="auto" w:fill="auto"/>
            <w:vAlign w:val="bottom"/>
            <w:hideMark/>
          </w:tcPr>
          <w:p w14:paraId="1149AF62" w14:textId="096CB891" w:rsidR="000753D0" w:rsidRPr="007F0EC9" w:rsidRDefault="000753D0" w:rsidP="000753D0">
            <w:pPr>
              <w:jc w:val="center"/>
              <w:rPr>
                <w:color w:val="000000"/>
                <w:sz w:val="18"/>
                <w:szCs w:val="18"/>
              </w:rPr>
            </w:pPr>
            <w:r w:rsidRPr="007F0EC9">
              <w:rPr>
                <w:color w:val="000000"/>
                <w:sz w:val="18"/>
                <w:szCs w:val="18"/>
              </w:rPr>
              <w:t>X</w:t>
            </w:r>
          </w:p>
        </w:tc>
        <w:tc>
          <w:tcPr>
            <w:tcW w:w="314" w:type="pct"/>
            <w:tcBorders>
              <w:top w:val="single" w:sz="4" w:space="0" w:color="auto"/>
              <w:left w:val="nil"/>
              <w:bottom w:val="single" w:sz="4" w:space="0" w:color="auto"/>
              <w:right w:val="single" w:sz="4" w:space="0" w:color="auto"/>
            </w:tcBorders>
            <w:shd w:val="clear" w:color="auto" w:fill="auto"/>
            <w:noWrap/>
            <w:vAlign w:val="bottom"/>
            <w:hideMark/>
          </w:tcPr>
          <w:p w14:paraId="52D9F3C1" w14:textId="2AF1367E" w:rsidR="000753D0" w:rsidRPr="007F0EC9" w:rsidRDefault="000753D0" w:rsidP="000753D0">
            <w:pPr>
              <w:jc w:val="center"/>
              <w:rPr>
                <w:color w:val="000000"/>
                <w:sz w:val="18"/>
                <w:szCs w:val="18"/>
              </w:rPr>
            </w:pPr>
            <w:r w:rsidRPr="007F0EC9">
              <w:rPr>
                <w:color w:val="000000"/>
                <w:sz w:val="18"/>
                <w:szCs w:val="18"/>
              </w:rPr>
              <w:t>176</w:t>
            </w:r>
          </w:p>
        </w:tc>
      </w:tr>
      <w:tr w:rsidR="000753D0" w:rsidRPr="008D54A5" w14:paraId="2712DDCC" w14:textId="77777777" w:rsidTr="0086435E">
        <w:trPr>
          <w:trHeight w:val="161"/>
        </w:trPr>
        <w:tc>
          <w:tcPr>
            <w:tcW w:w="1094" w:type="pct"/>
            <w:shd w:val="clear" w:color="auto" w:fill="auto"/>
            <w:vAlign w:val="bottom"/>
            <w:hideMark/>
          </w:tcPr>
          <w:p w14:paraId="7008B3F7" w14:textId="77777777" w:rsidR="000753D0" w:rsidRPr="008D54A5" w:rsidRDefault="000753D0" w:rsidP="000753D0">
            <w:pPr>
              <w:rPr>
                <w:color w:val="000000"/>
                <w:sz w:val="18"/>
                <w:szCs w:val="18"/>
              </w:rPr>
            </w:pPr>
            <w:r w:rsidRPr="008D54A5">
              <w:rPr>
                <w:color w:val="000000"/>
                <w:sz w:val="18"/>
                <w:szCs w:val="18"/>
              </w:rPr>
              <w:t>Hospital Stay, 2 Nights</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18ECF3B5" w14:textId="02C452DF" w:rsidR="000753D0" w:rsidRPr="007F0EC9" w:rsidRDefault="000753D0" w:rsidP="000753D0">
            <w:pPr>
              <w:jc w:val="center"/>
              <w:rPr>
                <w:color w:val="000000"/>
                <w:sz w:val="18"/>
                <w:szCs w:val="18"/>
              </w:rPr>
            </w:pPr>
            <w:r w:rsidRPr="007F0EC9">
              <w:rPr>
                <w:color w:val="000000"/>
                <w:sz w:val="18"/>
                <w:szCs w:val="18"/>
              </w:rPr>
              <w:t>+ (18)</w:t>
            </w:r>
          </w:p>
        </w:tc>
        <w:tc>
          <w:tcPr>
            <w:tcW w:w="449" w:type="pct"/>
            <w:tcBorders>
              <w:top w:val="nil"/>
              <w:left w:val="nil"/>
              <w:bottom w:val="single" w:sz="4" w:space="0" w:color="auto"/>
              <w:right w:val="single" w:sz="4" w:space="0" w:color="auto"/>
            </w:tcBorders>
            <w:shd w:val="clear" w:color="auto" w:fill="auto"/>
            <w:vAlign w:val="bottom"/>
            <w:hideMark/>
          </w:tcPr>
          <w:p w14:paraId="554E2CA9" w14:textId="40ABF959" w:rsidR="000753D0" w:rsidRPr="007F0EC9" w:rsidRDefault="000753D0" w:rsidP="000753D0">
            <w:pPr>
              <w:jc w:val="center"/>
              <w:rPr>
                <w:color w:val="000000"/>
                <w:sz w:val="18"/>
                <w:szCs w:val="18"/>
              </w:rPr>
            </w:pPr>
            <w:r w:rsidRPr="007F0EC9">
              <w:rPr>
                <w:color w:val="000000"/>
                <w:sz w:val="18"/>
                <w:szCs w:val="18"/>
              </w:rPr>
              <w:t>+ (146)</w:t>
            </w:r>
          </w:p>
        </w:tc>
        <w:tc>
          <w:tcPr>
            <w:tcW w:w="449" w:type="pct"/>
            <w:tcBorders>
              <w:top w:val="nil"/>
              <w:left w:val="nil"/>
              <w:bottom w:val="single" w:sz="4" w:space="0" w:color="auto"/>
              <w:right w:val="single" w:sz="4" w:space="0" w:color="auto"/>
            </w:tcBorders>
            <w:shd w:val="clear" w:color="auto" w:fill="auto"/>
            <w:vAlign w:val="bottom"/>
            <w:hideMark/>
          </w:tcPr>
          <w:p w14:paraId="33143B4B" w14:textId="208997FD" w:rsidR="000753D0" w:rsidRPr="007F0EC9" w:rsidRDefault="000753D0" w:rsidP="000753D0">
            <w:pPr>
              <w:jc w:val="center"/>
              <w:rPr>
                <w:color w:val="000000"/>
                <w:sz w:val="18"/>
                <w:szCs w:val="18"/>
              </w:rPr>
            </w:pPr>
            <w:r w:rsidRPr="007F0EC9">
              <w:rPr>
                <w:color w:val="000000"/>
                <w:sz w:val="18"/>
                <w:szCs w:val="18"/>
              </w:rPr>
              <w:t>+ (62)</w:t>
            </w:r>
          </w:p>
        </w:tc>
        <w:tc>
          <w:tcPr>
            <w:tcW w:w="449" w:type="pct"/>
            <w:tcBorders>
              <w:top w:val="nil"/>
              <w:left w:val="nil"/>
              <w:bottom w:val="single" w:sz="4" w:space="0" w:color="auto"/>
              <w:right w:val="single" w:sz="4" w:space="0" w:color="auto"/>
            </w:tcBorders>
            <w:shd w:val="clear" w:color="auto" w:fill="auto"/>
            <w:vAlign w:val="bottom"/>
            <w:hideMark/>
          </w:tcPr>
          <w:p w14:paraId="2A33754E" w14:textId="5998886B"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1327E8A3" w14:textId="4BB663F6"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7D146AA3" w14:textId="2F25AE35"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134BDC9D" w14:textId="5398F8ED"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605B2E01" w14:textId="2E92757D" w:rsidR="000753D0" w:rsidRPr="007F0EC9" w:rsidRDefault="000753D0" w:rsidP="000753D0">
            <w:pPr>
              <w:jc w:val="center"/>
              <w:rPr>
                <w:color w:val="000000"/>
                <w:sz w:val="18"/>
                <w:szCs w:val="18"/>
              </w:rPr>
            </w:pPr>
            <w:r w:rsidRPr="007F0EC9">
              <w:rPr>
                <w:color w:val="000000"/>
                <w:sz w:val="18"/>
                <w:szCs w:val="18"/>
              </w:rPr>
              <w:t>X</w:t>
            </w:r>
          </w:p>
        </w:tc>
        <w:tc>
          <w:tcPr>
            <w:tcW w:w="314" w:type="pct"/>
            <w:tcBorders>
              <w:top w:val="nil"/>
              <w:left w:val="nil"/>
              <w:bottom w:val="single" w:sz="4" w:space="0" w:color="auto"/>
              <w:right w:val="single" w:sz="4" w:space="0" w:color="auto"/>
            </w:tcBorders>
            <w:shd w:val="clear" w:color="auto" w:fill="auto"/>
            <w:noWrap/>
            <w:vAlign w:val="bottom"/>
            <w:hideMark/>
          </w:tcPr>
          <w:p w14:paraId="2500B455" w14:textId="43B20AA3" w:rsidR="000753D0" w:rsidRPr="007F0EC9" w:rsidRDefault="000753D0" w:rsidP="000753D0">
            <w:pPr>
              <w:jc w:val="center"/>
              <w:rPr>
                <w:color w:val="000000"/>
                <w:sz w:val="18"/>
                <w:szCs w:val="18"/>
              </w:rPr>
            </w:pPr>
            <w:r w:rsidRPr="007F0EC9">
              <w:rPr>
                <w:color w:val="000000"/>
                <w:sz w:val="18"/>
                <w:szCs w:val="18"/>
              </w:rPr>
              <w:t>226</w:t>
            </w:r>
          </w:p>
        </w:tc>
      </w:tr>
      <w:tr w:rsidR="000753D0" w:rsidRPr="008D54A5" w14:paraId="02A4F2DA" w14:textId="77777777" w:rsidTr="0086435E">
        <w:trPr>
          <w:trHeight w:val="116"/>
        </w:trPr>
        <w:tc>
          <w:tcPr>
            <w:tcW w:w="1094" w:type="pct"/>
            <w:shd w:val="clear" w:color="auto" w:fill="auto"/>
            <w:vAlign w:val="bottom"/>
            <w:hideMark/>
          </w:tcPr>
          <w:p w14:paraId="19D3A870" w14:textId="77777777" w:rsidR="000753D0" w:rsidRPr="008D54A5" w:rsidRDefault="000753D0" w:rsidP="000753D0">
            <w:pPr>
              <w:rPr>
                <w:color w:val="000000"/>
                <w:sz w:val="18"/>
                <w:szCs w:val="18"/>
              </w:rPr>
            </w:pPr>
            <w:r w:rsidRPr="008D54A5">
              <w:rPr>
                <w:color w:val="000000"/>
                <w:sz w:val="18"/>
                <w:szCs w:val="18"/>
              </w:rPr>
              <w:t>Hospital Stay, 3 Nights</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67F1958B" w14:textId="204EDAF8" w:rsidR="000753D0" w:rsidRPr="007F0EC9" w:rsidRDefault="000753D0" w:rsidP="000753D0">
            <w:pPr>
              <w:jc w:val="center"/>
              <w:rPr>
                <w:color w:val="000000"/>
                <w:sz w:val="18"/>
                <w:szCs w:val="18"/>
              </w:rPr>
            </w:pPr>
            <w:r w:rsidRPr="007F0EC9">
              <w:rPr>
                <w:color w:val="000000"/>
                <w:sz w:val="18"/>
                <w:szCs w:val="18"/>
              </w:rPr>
              <w:t>+ (7)</w:t>
            </w:r>
          </w:p>
        </w:tc>
        <w:tc>
          <w:tcPr>
            <w:tcW w:w="449" w:type="pct"/>
            <w:tcBorders>
              <w:top w:val="nil"/>
              <w:left w:val="nil"/>
              <w:bottom w:val="single" w:sz="4" w:space="0" w:color="auto"/>
              <w:right w:val="single" w:sz="4" w:space="0" w:color="auto"/>
            </w:tcBorders>
            <w:shd w:val="clear" w:color="auto" w:fill="auto"/>
            <w:vAlign w:val="bottom"/>
            <w:hideMark/>
          </w:tcPr>
          <w:p w14:paraId="3A02F2ED" w14:textId="0C332813" w:rsidR="000753D0" w:rsidRPr="007F0EC9" w:rsidRDefault="000753D0" w:rsidP="000753D0">
            <w:pPr>
              <w:jc w:val="center"/>
              <w:rPr>
                <w:color w:val="000000"/>
                <w:sz w:val="18"/>
                <w:szCs w:val="18"/>
              </w:rPr>
            </w:pPr>
            <w:r w:rsidRPr="007F0EC9">
              <w:rPr>
                <w:color w:val="000000"/>
                <w:sz w:val="18"/>
                <w:szCs w:val="18"/>
              </w:rPr>
              <w:t>+ (19)</w:t>
            </w:r>
          </w:p>
        </w:tc>
        <w:tc>
          <w:tcPr>
            <w:tcW w:w="449" w:type="pct"/>
            <w:tcBorders>
              <w:top w:val="nil"/>
              <w:left w:val="nil"/>
              <w:bottom w:val="single" w:sz="4" w:space="0" w:color="auto"/>
              <w:right w:val="single" w:sz="4" w:space="0" w:color="auto"/>
            </w:tcBorders>
            <w:shd w:val="clear" w:color="auto" w:fill="auto"/>
            <w:vAlign w:val="bottom"/>
            <w:hideMark/>
          </w:tcPr>
          <w:p w14:paraId="1E2E4A7D" w14:textId="21951B6C" w:rsidR="000753D0" w:rsidRPr="007F0EC9" w:rsidRDefault="000753D0" w:rsidP="000753D0">
            <w:pPr>
              <w:jc w:val="center"/>
              <w:rPr>
                <w:color w:val="000000"/>
                <w:sz w:val="18"/>
                <w:szCs w:val="18"/>
              </w:rPr>
            </w:pPr>
            <w:r w:rsidRPr="007F0EC9">
              <w:rPr>
                <w:color w:val="000000"/>
                <w:sz w:val="18"/>
                <w:szCs w:val="18"/>
              </w:rPr>
              <w:t>+ (514)</w:t>
            </w:r>
          </w:p>
        </w:tc>
        <w:tc>
          <w:tcPr>
            <w:tcW w:w="449" w:type="pct"/>
            <w:tcBorders>
              <w:top w:val="nil"/>
              <w:left w:val="nil"/>
              <w:bottom w:val="single" w:sz="4" w:space="0" w:color="auto"/>
              <w:right w:val="single" w:sz="4" w:space="0" w:color="auto"/>
            </w:tcBorders>
            <w:shd w:val="clear" w:color="auto" w:fill="auto"/>
            <w:vAlign w:val="bottom"/>
            <w:hideMark/>
          </w:tcPr>
          <w:p w14:paraId="70EC4F76" w14:textId="7049D2C0"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34B14898" w14:textId="5B270BC1"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103ACA43" w14:textId="03FADCA2"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3A6E140D" w14:textId="49EEED72"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2C041AE7" w14:textId="6E1809E6" w:rsidR="000753D0" w:rsidRPr="007F0EC9" w:rsidRDefault="000753D0" w:rsidP="000753D0">
            <w:pPr>
              <w:jc w:val="center"/>
              <w:rPr>
                <w:color w:val="000000"/>
                <w:sz w:val="18"/>
                <w:szCs w:val="18"/>
              </w:rPr>
            </w:pPr>
            <w:r w:rsidRPr="007F0EC9">
              <w:rPr>
                <w:color w:val="000000"/>
                <w:sz w:val="18"/>
                <w:szCs w:val="18"/>
              </w:rPr>
              <w:t>X</w:t>
            </w:r>
          </w:p>
        </w:tc>
        <w:tc>
          <w:tcPr>
            <w:tcW w:w="314" w:type="pct"/>
            <w:tcBorders>
              <w:top w:val="nil"/>
              <w:left w:val="nil"/>
              <w:bottom w:val="single" w:sz="4" w:space="0" w:color="auto"/>
              <w:right w:val="single" w:sz="4" w:space="0" w:color="auto"/>
            </w:tcBorders>
            <w:shd w:val="clear" w:color="auto" w:fill="auto"/>
            <w:noWrap/>
            <w:vAlign w:val="bottom"/>
            <w:hideMark/>
          </w:tcPr>
          <w:p w14:paraId="3488E423" w14:textId="2B40B471" w:rsidR="000753D0" w:rsidRPr="007F0EC9" w:rsidRDefault="000753D0" w:rsidP="000753D0">
            <w:pPr>
              <w:jc w:val="center"/>
              <w:rPr>
                <w:color w:val="000000"/>
                <w:sz w:val="18"/>
                <w:szCs w:val="18"/>
              </w:rPr>
            </w:pPr>
            <w:r w:rsidRPr="007F0EC9">
              <w:rPr>
                <w:color w:val="000000"/>
                <w:sz w:val="18"/>
                <w:szCs w:val="18"/>
              </w:rPr>
              <w:t>540</w:t>
            </w:r>
          </w:p>
        </w:tc>
      </w:tr>
      <w:tr w:rsidR="000753D0" w:rsidRPr="008D54A5" w14:paraId="664F6C3A" w14:textId="77777777" w:rsidTr="0086435E">
        <w:trPr>
          <w:trHeight w:val="188"/>
        </w:trPr>
        <w:tc>
          <w:tcPr>
            <w:tcW w:w="1094" w:type="pct"/>
            <w:shd w:val="clear" w:color="auto" w:fill="auto"/>
            <w:vAlign w:val="bottom"/>
            <w:hideMark/>
          </w:tcPr>
          <w:p w14:paraId="0D054A66" w14:textId="77777777" w:rsidR="000753D0" w:rsidRPr="008D54A5" w:rsidRDefault="000753D0" w:rsidP="000753D0">
            <w:pPr>
              <w:rPr>
                <w:color w:val="000000"/>
                <w:sz w:val="18"/>
                <w:szCs w:val="18"/>
              </w:rPr>
            </w:pPr>
            <w:r w:rsidRPr="008D54A5">
              <w:rPr>
                <w:color w:val="000000"/>
                <w:sz w:val="18"/>
                <w:szCs w:val="18"/>
              </w:rPr>
              <w:t>Outpatient, With Surgery, multi-night observation not indicated</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1F03DD30" w14:textId="6C571E80" w:rsidR="000753D0" w:rsidRPr="007F0EC9" w:rsidRDefault="000753D0" w:rsidP="000753D0">
            <w:pPr>
              <w:jc w:val="center"/>
              <w:rPr>
                <w:color w:val="000000"/>
                <w:sz w:val="18"/>
                <w:szCs w:val="18"/>
              </w:rPr>
            </w:pPr>
            <w:r w:rsidRPr="007F0EC9">
              <w:rPr>
                <w:color w:val="000000"/>
                <w:sz w:val="18"/>
                <w:szCs w:val="18"/>
              </w:rPr>
              <w:t>+ (5)</w:t>
            </w:r>
          </w:p>
        </w:tc>
        <w:tc>
          <w:tcPr>
            <w:tcW w:w="449" w:type="pct"/>
            <w:tcBorders>
              <w:top w:val="nil"/>
              <w:left w:val="nil"/>
              <w:bottom w:val="single" w:sz="4" w:space="0" w:color="auto"/>
              <w:right w:val="single" w:sz="4" w:space="0" w:color="auto"/>
            </w:tcBorders>
            <w:shd w:val="clear" w:color="auto" w:fill="auto"/>
            <w:vAlign w:val="bottom"/>
            <w:hideMark/>
          </w:tcPr>
          <w:p w14:paraId="72493266" w14:textId="653A1154" w:rsidR="000753D0" w:rsidRPr="007F0EC9" w:rsidRDefault="000753D0" w:rsidP="000753D0">
            <w:pPr>
              <w:jc w:val="center"/>
              <w:rPr>
                <w:color w:val="000000"/>
                <w:sz w:val="18"/>
                <w:szCs w:val="18"/>
              </w:rPr>
            </w:pPr>
            <w:r w:rsidRPr="007F0EC9">
              <w:rPr>
                <w:color w:val="000000"/>
                <w:sz w:val="18"/>
                <w:szCs w:val="18"/>
              </w:rPr>
              <w:t>+ (3)</w:t>
            </w:r>
          </w:p>
        </w:tc>
        <w:tc>
          <w:tcPr>
            <w:tcW w:w="449" w:type="pct"/>
            <w:tcBorders>
              <w:top w:val="nil"/>
              <w:left w:val="nil"/>
              <w:bottom w:val="single" w:sz="4" w:space="0" w:color="auto"/>
              <w:right w:val="single" w:sz="4" w:space="0" w:color="auto"/>
            </w:tcBorders>
            <w:shd w:val="clear" w:color="auto" w:fill="auto"/>
            <w:vAlign w:val="bottom"/>
            <w:hideMark/>
          </w:tcPr>
          <w:p w14:paraId="7D1F57F1" w14:textId="7FB7B507"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367DBBE7" w14:textId="45A8D4DD" w:rsidR="000753D0" w:rsidRPr="007F0EC9" w:rsidRDefault="000753D0" w:rsidP="000753D0">
            <w:pPr>
              <w:jc w:val="center"/>
              <w:rPr>
                <w:color w:val="000000"/>
                <w:sz w:val="18"/>
                <w:szCs w:val="18"/>
              </w:rPr>
            </w:pPr>
            <w:r w:rsidRPr="007F0EC9">
              <w:rPr>
                <w:color w:val="000000"/>
                <w:sz w:val="18"/>
                <w:szCs w:val="18"/>
              </w:rPr>
              <w:t>+ (417)</w:t>
            </w:r>
          </w:p>
        </w:tc>
        <w:tc>
          <w:tcPr>
            <w:tcW w:w="449" w:type="pct"/>
            <w:tcBorders>
              <w:top w:val="nil"/>
              <w:left w:val="nil"/>
              <w:bottom w:val="single" w:sz="4" w:space="0" w:color="auto"/>
              <w:right w:val="single" w:sz="4" w:space="0" w:color="auto"/>
            </w:tcBorders>
            <w:shd w:val="clear" w:color="auto" w:fill="auto"/>
            <w:vAlign w:val="bottom"/>
            <w:hideMark/>
          </w:tcPr>
          <w:p w14:paraId="109E506E" w14:textId="78FAFDEB" w:rsidR="000753D0" w:rsidRPr="007F0EC9" w:rsidRDefault="000753D0" w:rsidP="000753D0">
            <w:pPr>
              <w:jc w:val="center"/>
              <w:rPr>
                <w:color w:val="000000"/>
                <w:sz w:val="18"/>
                <w:szCs w:val="18"/>
              </w:rPr>
            </w:pPr>
            <w:r w:rsidRPr="007F0EC9">
              <w:rPr>
                <w:color w:val="000000"/>
                <w:sz w:val="18"/>
                <w:szCs w:val="18"/>
              </w:rPr>
              <w:t>+ (588)</w:t>
            </w:r>
          </w:p>
        </w:tc>
        <w:tc>
          <w:tcPr>
            <w:tcW w:w="449" w:type="pct"/>
            <w:tcBorders>
              <w:top w:val="nil"/>
              <w:left w:val="nil"/>
              <w:bottom w:val="single" w:sz="4" w:space="0" w:color="auto"/>
              <w:right w:val="single" w:sz="4" w:space="0" w:color="auto"/>
            </w:tcBorders>
            <w:shd w:val="clear" w:color="auto" w:fill="auto"/>
            <w:vAlign w:val="bottom"/>
            <w:hideMark/>
          </w:tcPr>
          <w:p w14:paraId="248058B1" w14:textId="4FEC2631" w:rsidR="000753D0" w:rsidRPr="007F0EC9" w:rsidRDefault="000753D0" w:rsidP="000753D0">
            <w:pPr>
              <w:jc w:val="center"/>
              <w:rPr>
                <w:color w:val="000000"/>
                <w:sz w:val="18"/>
                <w:szCs w:val="18"/>
              </w:rPr>
            </w:pPr>
            <w:r w:rsidRPr="007F0EC9">
              <w:rPr>
                <w:color w:val="000000"/>
                <w:sz w:val="18"/>
                <w:szCs w:val="18"/>
              </w:rPr>
              <w:t>+ (4)</w:t>
            </w:r>
          </w:p>
        </w:tc>
        <w:tc>
          <w:tcPr>
            <w:tcW w:w="449" w:type="pct"/>
            <w:tcBorders>
              <w:top w:val="nil"/>
              <w:left w:val="nil"/>
              <w:bottom w:val="single" w:sz="4" w:space="0" w:color="auto"/>
              <w:right w:val="single" w:sz="4" w:space="0" w:color="auto"/>
            </w:tcBorders>
            <w:shd w:val="clear" w:color="auto" w:fill="auto"/>
            <w:vAlign w:val="bottom"/>
            <w:hideMark/>
          </w:tcPr>
          <w:p w14:paraId="6AD731C6" w14:textId="31820F87" w:rsidR="000753D0" w:rsidRPr="007F0EC9" w:rsidRDefault="000753D0" w:rsidP="000753D0">
            <w:pPr>
              <w:jc w:val="center"/>
              <w:rPr>
                <w:color w:val="000000"/>
                <w:sz w:val="18"/>
                <w:szCs w:val="18"/>
              </w:rPr>
            </w:pPr>
            <w:r w:rsidRPr="007F0EC9">
              <w:rPr>
                <w:color w:val="000000"/>
                <w:sz w:val="18"/>
                <w:szCs w:val="18"/>
              </w:rPr>
              <w:t>+ (22)</w:t>
            </w:r>
          </w:p>
        </w:tc>
        <w:tc>
          <w:tcPr>
            <w:tcW w:w="449" w:type="pct"/>
            <w:tcBorders>
              <w:top w:val="nil"/>
              <w:left w:val="nil"/>
              <w:bottom w:val="single" w:sz="4" w:space="0" w:color="auto"/>
              <w:right w:val="single" w:sz="4" w:space="0" w:color="auto"/>
            </w:tcBorders>
            <w:shd w:val="clear" w:color="auto" w:fill="auto"/>
            <w:vAlign w:val="bottom"/>
            <w:hideMark/>
          </w:tcPr>
          <w:p w14:paraId="5C9D70F7" w14:textId="659A6CD5" w:rsidR="000753D0" w:rsidRPr="007F0EC9" w:rsidRDefault="000753D0" w:rsidP="000753D0">
            <w:pPr>
              <w:jc w:val="center"/>
              <w:rPr>
                <w:color w:val="000000"/>
                <w:sz w:val="18"/>
                <w:szCs w:val="18"/>
              </w:rPr>
            </w:pPr>
            <w:r w:rsidRPr="007F0EC9">
              <w:rPr>
                <w:color w:val="000000"/>
                <w:sz w:val="18"/>
                <w:szCs w:val="18"/>
              </w:rPr>
              <w:t>+ (864)</w:t>
            </w:r>
          </w:p>
        </w:tc>
        <w:tc>
          <w:tcPr>
            <w:tcW w:w="314" w:type="pct"/>
            <w:tcBorders>
              <w:top w:val="nil"/>
              <w:left w:val="nil"/>
              <w:bottom w:val="single" w:sz="4" w:space="0" w:color="auto"/>
              <w:right w:val="single" w:sz="4" w:space="0" w:color="auto"/>
            </w:tcBorders>
            <w:shd w:val="clear" w:color="auto" w:fill="auto"/>
            <w:noWrap/>
            <w:vAlign w:val="bottom"/>
            <w:hideMark/>
          </w:tcPr>
          <w:p w14:paraId="1F038D46" w14:textId="704E0975" w:rsidR="000753D0" w:rsidRPr="007F0EC9" w:rsidRDefault="000753D0" w:rsidP="000753D0">
            <w:pPr>
              <w:jc w:val="center"/>
              <w:rPr>
                <w:color w:val="000000"/>
                <w:sz w:val="18"/>
                <w:szCs w:val="18"/>
              </w:rPr>
            </w:pPr>
            <w:r w:rsidRPr="007F0EC9">
              <w:rPr>
                <w:color w:val="000000"/>
                <w:sz w:val="18"/>
                <w:szCs w:val="18"/>
              </w:rPr>
              <w:t>1,903</w:t>
            </w:r>
          </w:p>
        </w:tc>
      </w:tr>
      <w:tr w:rsidR="000753D0" w:rsidRPr="008D54A5" w14:paraId="02CD433C" w14:textId="77777777" w:rsidTr="0086435E">
        <w:trPr>
          <w:trHeight w:val="287"/>
        </w:trPr>
        <w:tc>
          <w:tcPr>
            <w:tcW w:w="1094" w:type="pct"/>
            <w:shd w:val="clear" w:color="auto" w:fill="auto"/>
            <w:vAlign w:val="bottom"/>
            <w:hideMark/>
          </w:tcPr>
          <w:p w14:paraId="0FF7D6F2" w14:textId="77777777" w:rsidR="000753D0" w:rsidRPr="008D54A5" w:rsidRDefault="000753D0" w:rsidP="000753D0">
            <w:pPr>
              <w:rPr>
                <w:color w:val="000000"/>
                <w:sz w:val="18"/>
                <w:szCs w:val="18"/>
              </w:rPr>
            </w:pPr>
            <w:r w:rsidRPr="008D54A5">
              <w:rPr>
                <w:color w:val="000000"/>
                <w:sz w:val="18"/>
                <w:szCs w:val="18"/>
              </w:rPr>
              <w:t>Outpatient, No Surgery, multi-night observation not indicated</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31FDCEA4" w14:textId="7CCDC4C9" w:rsidR="000753D0" w:rsidRPr="007F0EC9" w:rsidRDefault="000753D0" w:rsidP="000753D0">
            <w:pPr>
              <w:jc w:val="center"/>
              <w:rPr>
                <w:color w:val="000000"/>
                <w:sz w:val="18"/>
                <w:szCs w:val="18"/>
              </w:rPr>
            </w:pPr>
            <w:r w:rsidRPr="007F0EC9">
              <w:rPr>
                <w:color w:val="000000"/>
                <w:sz w:val="18"/>
                <w:szCs w:val="18"/>
              </w:rPr>
              <w:t>+ (42)</w:t>
            </w:r>
          </w:p>
        </w:tc>
        <w:tc>
          <w:tcPr>
            <w:tcW w:w="449" w:type="pct"/>
            <w:tcBorders>
              <w:top w:val="nil"/>
              <w:left w:val="nil"/>
              <w:bottom w:val="single" w:sz="4" w:space="0" w:color="auto"/>
              <w:right w:val="single" w:sz="4" w:space="0" w:color="auto"/>
            </w:tcBorders>
            <w:shd w:val="clear" w:color="auto" w:fill="auto"/>
            <w:vAlign w:val="bottom"/>
            <w:hideMark/>
          </w:tcPr>
          <w:p w14:paraId="70ED436A" w14:textId="7D0359D0"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5940318B" w14:textId="04997814"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0EB97B0A" w14:textId="0EA03FF4" w:rsidR="000753D0" w:rsidRPr="007F0EC9" w:rsidRDefault="000753D0" w:rsidP="000753D0">
            <w:pPr>
              <w:jc w:val="center"/>
              <w:rPr>
                <w:color w:val="000000"/>
                <w:sz w:val="18"/>
                <w:szCs w:val="18"/>
              </w:rPr>
            </w:pPr>
            <w:r w:rsidRPr="007F0EC9">
              <w:rPr>
                <w:color w:val="000000"/>
                <w:sz w:val="18"/>
                <w:szCs w:val="18"/>
              </w:rPr>
              <w:t>+ (299)</w:t>
            </w:r>
          </w:p>
        </w:tc>
        <w:tc>
          <w:tcPr>
            <w:tcW w:w="449" w:type="pct"/>
            <w:tcBorders>
              <w:top w:val="nil"/>
              <w:left w:val="nil"/>
              <w:bottom w:val="single" w:sz="4" w:space="0" w:color="auto"/>
              <w:right w:val="single" w:sz="4" w:space="0" w:color="auto"/>
            </w:tcBorders>
            <w:shd w:val="clear" w:color="auto" w:fill="auto"/>
            <w:vAlign w:val="bottom"/>
            <w:hideMark/>
          </w:tcPr>
          <w:p w14:paraId="7CB1E46E" w14:textId="34C23F52" w:rsidR="000753D0" w:rsidRPr="007F0EC9" w:rsidRDefault="000753D0" w:rsidP="000753D0">
            <w:pPr>
              <w:jc w:val="center"/>
              <w:rPr>
                <w:color w:val="000000"/>
                <w:sz w:val="18"/>
                <w:szCs w:val="18"/>
              </w:rPr>
            </w:pPr>
            <w:r w:rsidRPr="007F0EC9">
              <w:rPr>
                <w:color w:val="000000"/>
                <w:sz w:val="18"/>
                <w:szCs w:val="18"/>
              </w:rPr>
              <w:t>+ (8</w:t>
            </w:r>
            <w:r w:rsidR="0075008A" w:rsidRPr="007F0EC9">
              <w:rPr>
                <w:color w:val="000000"/>
                <w:sz w:val="18"/>
                <w:szCs w:val="18"/>
              </w:rPr>
              <w:t>,</w:t>
            </w:r>
            <w:r w:rsidRPr="007F0EC9">
              <w:rPr>
                <w:color w:val="000000"/>
                <w:sz w:val="18"/>
                <w:szCs w:val="18"/>
              </w:rPr>
              <w:t>926)</w:t>
            </w:r>
          </w:p>
        </w:tc>
        <w:tc>
          <w:tcPr>
            <w:tcW w:w="449" w:type="pct"/>
            <w:tcBorders>
              <w:top w:val="nil"/>
              <w:left w:val="nil"/>
              <w:bottom w:val="single" w:sz="4" w:space="0" w:color="auto"/>
              <w:right w:val="single" w:sz="4" w:space="0" w:color="auto"/>
            </w:tcBorders>
            <w:shd w:val="clear" w:color="auto" w:fill="auto"/>
            <w:vAlign w:val="bottom"/>
            <w:hideMark/>
          </w:tcPr>
          <w:p w14:paraId="4F9539D6" w14:textId="1B03F1CD" w:rsidR="000753D0" w:rsidRPr="007F0EC9" w:rsidRDefault="000753D0" w:rsidP="000753D0">
            <w:pPr>
              <w:jc w:val="center"/>
              <w:rPr>
                <w:color w:val="000000"/>
                <w:sz w:val="18"/>
                <w:szCs w:val="18"/>
              </w:rPr>
            </w:pPr>
            <w:r w:rsidRPr="007F0EC9">
              <w:rPr>
                <w:color w:val="000000"/>
                <w:sz w:val="18"/>
                <w:szCs w:val="18"/>
              </w:rPr>
              <w:t>+ (9)</w:t>
            </w:r>
          </w:p>
        </w:tc>
        <w:tc>
          <w:tcPr>
            <w:tcW w:w="449" w:type="pct"/>
            <w:tcBorders>
              <w:top w:val="nil"/>
              <w:left w:val="nil"/>
              <w:bottom w:val="single" w:sz="4" w:space="0" w:color="auto"/>
              <w:right w:val="single" w:sz="4" w:space="0" w:color="auto"/>
            </w:tcBorders>
            <w:shd w:val="clear" w:color="auto" w:fill="auto"/>
            <w:vAlign w:val="bottom"/>
            <w:hideMark/>
          </w:tcPr>
          <w:p w14:paraId="2AD8938C" w14:textId="0160041E" w:rsidR="000753D0" w:rsidRPr="007F0EC9" w:rsidRDefault="000753D0" w:rsidP="000753D0">
            <w:pPr>
              <w:jc w:val="center"/>
              <w:rPr>
                <w:color w:val="000000"/>
                <w:sz w:val="18"/>
                <w:szCs w:val="18"/>
              </w:rPr>
            </w:pPr>
            <w:r w:rsidRPr="007F0EC9">
              <w:rPr>
                <w:color w:val="000000"/>
                <w:sz w:val="18"/>
                <w:szCs w:val="18"/>
              </w:rPr>
              <w:t>+ (293)</w:t>
            </w:r>
          </w:p>
        </w:tc>
        <w:tc>
          <w:tcPr>
            <w:tcW w:w="449" w:type="pct"/>
            <w:tcBorders>
              <w:top w:val="nil"/>
              <w:left w:val="nil"/>
              <w:bottom w:val="single" w:sz="4" w:space="0" w:color="auto"/>
              <w:right w:val="single" w:sz="4" w:space="0" w:color="auto"/>
            </w:tcBorders>
            <w:shd w:val="clear" w:color="auto" w:fill="auto"/>
            <w:vAlign w:val="bottom"/>
            <w:hideMark/>
          </w:tcPr>
          <w:p w14:paraId="51A11C4D" w14:textId="5B8AA0AE" w:rsidR="000753D0" w:rsidRPr="007F0EC9" w:rsidRDefault="000753D0" w:rsidP="000753D0">
            <w:pPr>
              <w:jc w:val="center"/>
              <w:rPr>
                <w:color w:val="000000"/>
                <w:sz w:val="18"/>
                <w:szCs w:val="18"/>
              </w:rPr>
            </w:pPr>
            <w:r w:rsidRPr="007F0EC9">
              <w:rPr>
                <w:color w:val="000000"/>
                <w:sz w:val="18"/>
                <w:szCs w:val="18"/>
              </w:rPr>
              <w:t>+ (9</w:t>
            </w:r>
            <w:r w:rsidR="0075008A" w:rsidRPr="007F0EC9">
              <w:rPr>
                <w:color w:val="000000"/>
                <w:sz w:val="18"/>
                <w:szCs w:val="18"/>
              </w:rPr>
              <w:t>,</w:t>
            </w:r>
            <w:r w:rsidRPr="007F0EC9">
              <w:rPr>
                <w:color w:val="000000"/>
                <w:sz w:val="18"/>
                <w:szCs w:val="18"/>
              </w:rPr>
              <w:t>039)</w:t>
            </w:r>
          </w:p>
        </w:tc>
        <w:tc>
          <w:tcPr>
            <w:tcW w:w="314" w:type="pct"/>
            <w:tcBorders>
              <w:top w:val="nil"/>
              <w:left w:val="nil"/>
              <w:bottom w:val="single" w:sz="4" w:space="0" w:color="auto"/>
              <w:right w:val="single" w:sz="4" w:space="0" w:color="auto"/>
            </w:tcBorders>
            <w:shd w:val="clear" w:color="auto" w:fill="auto"/>
            <w:noWrap/>
            <w:vAlign w:val="bottom"/>
            <w:hideMark/>
          </w:tcPr>
          <w:p w14:paraId="2CC7A9E3" w14:textId="70430C60" w:rsidR="000753D0" w:rsidRPr="007F0EC9" w:rsidRDefault="000753D0" w:rsidP="000753D0">
            <w:pPr>
              <w:jc w:val="center"/>
              <w:rPr>
                <w:color w:val="000000"/>
                <w:sz w:val="18"/>
                <w:szCs w:val="18"/>
              </w:rPr>
            </w:pPr>
            <w:r w:rsidRPr="007F0EC9">
              <w:rPr>
                <w:color w:val="000000"/>
                <w:sz w:val="18"/>
                <w:szCs w:val="18"/>
              </w:rPr>
              <w:t>18,608</w:t>
            </w:r>
          </w:p>
        </w:tc>
      </w:tr>
      <w:tr w:rsidR="000753D0" w:rsidRPr="008D54A5" w14:paraId="09B57A3E" w14:textId="77777777" w:rsidTr="0086435E">
        <w:trPr>
          <w:trHeight w:val="323"/>
        </w:trPr>
        <w:tc>
          <w:tcPr>
            <w:tcW w:w="1094" w:type="pct"/>
            <w:shd w:val="clear" w:color="auto" w:fill="auto"/>
            <w:vAlign w:val="bottom"/>
            <w:hideMark/>
          </w:tcPr>
          <w:p w14:paraId="1798F924" w14:textId="77777777" w:rsidR="000753D0" w:rsidRPr="008D54A5" w:rsidRDefault="000753D0" w:rsidP="000753D0">
            <w:pPr>
              <w:rPr>
                <w:color w:val="000000"/>
                <w:sz w:val="18"/>
                <w:szCs w:val="18"/>
              </w:rPr>
            </w:pPr>
            <w:r w:rsidRPr="008D54A5">
              <w:rPr>
                <w:color w:val="000000"/>
                <w:sz w:val="18"/>
                <w:szCs w:val="18"/>
              </w:rPr>
              <w:t>Outpatient, With Surgery, multi-night observation indicated</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629A913A" w14:textId="573EAA05" w:rsidR="000753D0" w:rsidRPr="007F0EC9" w:rsidRDefault="000753D0" w:rsidP="000753D0">
            <w:pPr>
              <w:jc w:val="center"/>
              <w:rPr>
                <w:color w:val="000000"/>
                <w:sz w:val="18"/>
                <w:szCs w:val="18"/>
              </w:rPr>
            </w:pPr>
            <w:r w:rsidRPr="007F0EC9">
              <w:rPr>
                <w:color w:val="000000"/>
                <w:sz w:val="18"/>
                <w:szCs w:val="18"/>
              </w:rPr>
              <w:t>+ (52)</w:t>
            </w:r>
          </w:p>
        </w:tc>
        <w:tc>
          <w:tcPr>
            <w:tcW w:w="449" w:type="pct"/>
            <w:tcBorders>
              <w:top w:val="nil"/>
              <w:left w:val="nil"/>
              <w:bottom w:val="single" w:sz="4" w:space="0" w:color="auto"/>
              <w:right w:val="single" w:sz="4" w:space="0" w:color="auto"/>
            </w:tcBorders>
            <w:shd w:val="clear" w:color="auto" w:fill="auto"/>
            <w:vAlign w:val="bottom"/>
            <w:hideMark/>
          </w:tcPr>
          <w:p w14:paraId="5EC242EC" w14:textId="1A0D786E" w:rsidR="000753D0" w:rsidRPr="007F0EC9" w:rsidRDefault="000753D0" w:rsidP="000753D0">
            <w:pPr>
              <w:jc w:val="center"/>
              <w:rPr>
                <w:color w:val="000000"/>
                <w:sz w:val="18"/>
                <w:szCs w:val="18"/>
              </w:rPr>
            </w:pPr>
            <w:r w:rsidRPr="007F0EC9">
              <w:rPr>
                <w:color w:val="000000"/>
                <w:sz w:val="18"/>
                <w:szCs w:val="18"/>
              </w:rPr>
              <w:t>+ (2)</w:t>
            </w:r>
          </w:p>
        </w:tc>
        <w:tc>
          <w:tcPr>
            <w:tcW w:w="449" w:type="pct"/>
            <w:tcBorders>
              <w:top w:val="nil"/>
              <w:left w:val="nil"/>
              <w:bottom w:val="single" w:sz="4" w:space="0" w:color="auto"/>
              <w:right w:val="single" w:sz="4" w:space="0" w:color="auto"/>
            </w:tcBorders>
            <w:shd w:val="clear" w:color="auto" w:fill="auto"/>
            <w:vAlign w:val="bottom"/>
            <w:hideMark/>
          </w:tcPr>
          <w:p w14:paraId="5D8E444E" w14:textId="11D1DC0C" w:rsidR="000753D0" w:rsidRPr="007F0EC9" w:rsidRDefault="000753D0" w:rsidP="000753D0">
            <w:pPr>
              <w:jc w:val="center"/>
              <w:rPr>
                <w:color w:val="000000"/>
                <w:sz w:val="18"/>
                <w:szCs w:val="18"/>
              </w:rPr>
            </w:pPr>
            <w:r w:rsidRPr="007F0EC9">
              <w:rPr>
                <w:color w:val="000000"/>
                <w:sz w:val="18"/>
                <w:szCs w:val="18"/>
              </w:rPr>
              <w:t>+ (6)</w:t>
            </w:r>
          </w:p>
        </w:tc>
        <w:tc>
          <w:tcPr>
            <w:tcW w:w="449" w:type="pct"/>
            <w:tcBorders>
              <w:top w:val="nil"/>
              <w:left w:val="nil"/>
              <w:bottom w:val="single" w:sz="4" w:space="0" w:color="auto"/>
              <w:right w:val="single" w:sz="4" w:space="0" w:color="auto"/>
            </w:tcBorders>
            <w:shd w:val="clear" w:color="auto" w:fill="auto"/>
            <w:vAlign w:val="bottom"/>
            <w:hideMark/>
          </w:tcPr>
          <w:p w14:paraId="35DF45BE" w14:textId="3AF361CC" w:rsidR="000753D0" w:rsidRPr="007F0EC9" w:rsidRDefault="000753D0" w:rsidP="000753D0">
            <w:pPr>
              <w:jc w:val="center"/>
              <w:rPr>
                <w:color w:val="000000"/>
                <w:sz w:val="18"/>
                <w:szCs w:val="18"/>
              </w:rPr>
            </w:pPr>
            <w:r w:rsidRPr="007F0EC9">
              <w:rPr>
                <w:color w:val="000000"/>
                <w:sz w:val="18"/>
                <w:szCs w:val="18"/>
              </w:rPr>
              <w:t>+ (213)</w:t>
            </w:r>
          </w:p>
        </w:tc>
        <w:tc>
          <w:tcPr>
            <w:tcW w:w="449" w:type="pct"/>
            <w:tcBorders>
              <w:top w:val="nil"/>
              <w:left w:val="nil"/>
              <w:bottom w:val="single" w:sz="4" w:space="0" w:color="auto"/>
              <w:right w:val="single" w:sz="4" w:space="0" w:color="auto"/>
            </w:tcBorders>
            <w:shd w:val="clear" w:color="auto" w:fill="auto"/>
            <w:vAlign w:val="bottom"/>
            <w:hideMark/>
          </w:tcPr>
          <w:p w14:paraId="518368F5" w14:textId="25FB93BF" w:rsidR="000753D0" w:rsidRPr="007F0EC9" w:rsidRDefault="000753D0" w:rsidP="000753D0">
            <w:pPr>
              <w:jc w:val="center"/>
              <w:rPr>
                <w:color w:val="000000"/>
                <w:sz w:val="18"/>
                <w:szCs w:val="18"/>
              </w:rPr>
            </w:pPr>
            <w:r w:rsidRPr="007F0EC9">
              <w:rPr>
                <w:color w:val="000000"/>
                <w:sz w:val="18"/>
                <w:szCs w:val="18"/>
              </w:rPr>
              <w:t>+ (74)</w:t>
            </w:r>
          </w:p>
        </w:tc>
        <w:tc>
          <w:tcPr>
            <w:tcW w:w="449" w:type="pct"/>
            <w:tcBorders>
              <w:top w:val="nil"/>
              <w:left w:val="nil"/>
              <w:bottom w:val="single" w:sz="4" w:space="0" w:color="auto"/>
              <w:right w:val="single" w:sz="4" w:space="0" w:color="auto"/>
            </w:tcBorders>
            <w:shd w:val="clear" w:color="auto" w:fill="auto"/>
            <w:vAlign w:val="bottom"/>
            <w:hideMark/>
          </w:tcPr>
          <w:p w14:paraId="395E5E2A" w14:textId="3F5FC88C" w:rsidR="000753D0" w:rsidRPr="007F0EC9" w:rsidRDefault="000753D0" w:rsidP="000753D0">
            <w:pPr>
              <w:jc w:val="center"/>
              <w:rPr>
                <w:color w:val="000000"/>
                <w:sz w:val="18"/>
                <w:szCs w:val="18"/>
              </w:rPr>
            </w:pPr>
            <w:r w:rsidRPr="007F0EC9">
              <w:rPr>
                <w:color w:val="000000"/>
                <w:sz w:val="18"/>
                <w:szCs w:val="18"/>
              </w:rPr>
              <w:t>+ (6)</w:t>
            </w:r>
          </w:p>
        </w:tc>
        <w:tc>
          <w:tcPr>
            <w:tcW w:w="449" w:type="pct"/>
            <w:tcBorders>
              <w:top w:val="nil"/>
              <w:left w:val="nil"/>
              <w:bottom w:val="single" w:sz="4" w:space="0" w:color="auto"/>
              <w:right w:val="single" w:sz="4" w:space="0" w:color="auto"/>
            </w:tcBorders>
            <w:shd w:val="clear" w:color="auto" w:fill="auto"/>
            <w:vAlign w:val="bottom"/>
            <w:hideMark/>
          </w:tcPr>
          <w:p w14:paraId="744F3EF5" w14:textId="589D8B9C" w:rsidR="000753D0" w:rsidRPr="007F0EC9" w:rsidRDefault="000753D0" w:rsidP="000753D0">
            <w:pPr>
              <w:jc w:val="center"/>
              <w:rPr>
                <w:color w:val="000000"/>
                <w:sz w:val="18"/>
                <w:szCs w:val="18"/>
              </w:rPr>
            </w:pPr>
            <w:r w:rsidRPr="007F0EC9">
              <w:rPr>
                <w:color w:val="000000"/>
                <w:sz w:val="18"/>
                <w:szCs w:val="18"/>
              </w:rPr>
              <w:t>+ (1)</w:t>
            </w:r>
          </w:p>
        </w:tc>
        <w:tc>
          <w:tcPr>
            <w:tcW w:w="449" w:type="pct"/>
            <w:tcBorders>
              <w:top w:val="nil"/>
              <w:left w:val="nil"/>
              <w:bottom w:val="single" w:sz="4" w:space="0" w:color="auto"/>
              <w:right w:val="single" w:sz="4" w:space="0" w:color="auto"/>
            </w:tcBorders>
            <w:shd w:val="clear" w:color="auto" w:fill="auto"/>
            <w:vAlign w:val="bottom"/>
            <w:hideMark/>
          </w:tcPr>
          <w:p w14:paraId="1F2F24B5" w14:textId="2F01B6F7" w:rsidR="000753D0" w:rsidRPr="007F0EC9" w:rsidRDefault="000753D0" w:rsidP="000753D0">
            <w:pPr>
              <w:jc w:val="center"/>
              <w:rPr>
                <w:color w:val="000000"/>
                <w:sz w:val="18"/>
                <w:szCs w:val="18"/>
              </w:rPr>
            </w:pPr>
            <w:r w:rsidRPr="007F0EC9">
              <w:rPr>
                <w:color w:val="000000"/>
                <w:sz w:val="18"/>
                <w:szCs w:val="18"/>
              </w:rPr>
              <w:t>+ (70)</w:t>
            </w:r>
          </w:p>
        </w:tc>
        <w:tc>
          <w:tcPr>
            <w:tcW w:w="314" w:type="pct"/>
            <w:tcBorders>
              <w:top w:val="nil"/>
              <w:left w:val="nil"/>
              <w:bottom w:val="single" w:sz="4" w:space="0" w:color="auto"/>
              <w:right w:val="single" w:sz="4" w:space="0" w:color="auto"/>
            </w:tcBorders>
            <w:shd w:val="clear" w:color="auto" w:fill="auto"/>
            <w:noWrap/>
            <w:vAlign w:val="bottom"/>
            <w:hideMark/>
          </w:tcPr>
          <w:p w14:paraId="6E9FF636" w14:textId="6FD4ECA8" w:rsidR="000753D0" w:rsidRPr="007F0EC9" w:rsidRDefault="000753D0" w:rsidP="000753D0">
            <w:pPr>
              <w:jc w:val="center"/>
              <w:rPr>
                <w:color w:val="000000"/>
                <w:sz w:val="18"/>
                <w:szCs w:val="18"/>
              </w:rPr>
            </w:pPr>
            <w:r w:rsidRPr="007F0EC9">
              <w:rPr>
                <w:color w:val="000000"/>
                <w:sz w:val="18"/>
                <w:szCs w:val="18"/>
              </w:rPr>
              <w:t>424</w:t>
            </w:r>
          </w:p>
        </w:tc>
      </w:tr>
      <w:tr w:rsidR="000753D0" w:rsidRPr="008D54A5" w14:paraId="0B3E2D3C" w14:textId="77777777" w:rsidTr="0086435E">
        <w:trPr>
          <w:trHeight w:val="170"/>
        </w:trPr>
        <w:tc>
          <w:tcPr>
            <w:tcW w:w="1094" w:type="pct"/>
            <w:shd w:val="clear" w:color="auto" w:fill="auto"/>
            <w:vAlign w:val="bottom"/>
            <w:hideMark/>
          </w:tcPr>
          <w:p w14:paraId="121F637C" w14:textId="77777777" w:rsidR="000753D0" w:rsidRPr="008D54A5" w:rsidRDefault="000753D0" w:rsidP="000753D0">
            <w:pPr>
              <w:rPr>
                <w:color w:val="000000"/>
                <w:sz w:val="18"/>
                <w:szCs w:val="18"/>
              </w:rPr>
            </w:pPr>
            <w:r w:rsidRPr="008D54A5">
              <w:rPr>
                <w:color w:val="000000"/>
                <w:sz w:val="18"/>
                <w:szCs w:val="18"/>
              </w:rPr>
              <w:t>Outpatient, No Surgery, multi-night observation indicated</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5938400C" w14:textId="5687DB72" w:rsidR="000753D0" w:rsidRPr="007F0EC9" w:rsidRDefault="000753D0" w:rsidP="000753D0">
            <w:pPr>
              <w:jc w:val="center"/>
              <w:rPr>
                <w:color w:val="000000"/>
                <w:sz w:val="18"/>
                <w:szCs w:val="18"/>
              </w:rPr>
            </w:pPr>
            <w:r w:rsidRPr="007F0EC9">
              <w:rPr>
                <w:color w:val="000000"/>
                <w:sz w:val="18"/>
                <w:szCs w:val="18"/>
              </w:rPr>
              <w:t>+ (17)</w:t>
            </w:r>
          </w:p>
        </w:tc>
        <w:tc>
          <w:tcPr>
            <w:tcW w:w="449" w:type="pct"/>
            <w:tcBorders>
              <w:top w:val="nil"/>
              <w:left w:val="nil"/>
              <w:bottom w:val="single" w:sz="4" w:space="0" w:color="auto"/>
              <w:right w:val="single" w:sz="4" w:space="0" w:color="auto"/>
            </w:tcBorders>
            <w:shd w:val="clear" w:color="auto" w:fill="auto"/>
            <w:vAlign w:val="bottom"/>
            <w:hideMark/>
          </w:tcPr>
          <w:p w14:paraId="5DFDE872" w14:textId="0AE6BCFA" w:rsidR="000753D0" w:rsidRPr="007F0EC9" w:rsidRDefault="000753D0" w:rsidP="000753D0">
            <w:pPr>
              <w:jc w:val="center"/>
              <w:rPr>
                <w:color w:val="000000"/>
                <w:sz w:val="18"/>
                <w:szCs w:val="18"/>
              </w:rPr>
            </w:pPr>
            <w:r w:rsidRPr="007F0EC9">
              <w:rPr>
                <w:color w:val="000000"/>
                <w:sz w:val="18"/>
                <w:szCs w:val="18"/>
              </w:rPr>
              <w:t>+ (3)</w:t>
            </w:r>
          </w:p>
        </w:tc>
        <w:tc>
          <w:tcPr>
            <w:tcW w:w="449" w:type="pct"/>
            <w:tcBorders>
              <w:top w:val="nil"/>
              <w:left w:val="nil"/>
              <w:bottom w:val="single" w:sz="4" w:space="0" w:color="auto"/>
              <w:right w:val="single" w:sz="4" w:space="0" w:color="auto"/>
            </w:tcBorders>
            <w:shd w:val="clear" w:color="auto" w:fill="auto"/>
            <w:vAlign w:val="bottom"/>
            <w:hideMark/>
          </w:tcPr>
          <w:p w14:paraId="70CB4051" w14:textId="50EC6E5A" w:rsidR="000753D0" w:rsidRPr="007F0EC9" w:rsidRDefault="000753D0" w:rsidP="000753D0">
            <w:pPr>
              <w:jc w:val="center"/>
              <w:rPr>
                <w:color w:val="000000"/>
                <w:sz w:val="18"/>
                <w:szCs w:val="18"/>
              </w:rPr>
            </w:pPr>
            <w:r w:rsidRPr="007F0EC9">
              <w:rPr>
                <w:color w:val="000000"/>
                <w:sz w:val="18"/>
                <w:szCs w:val="18"/>
              </w:rPr>
              <w:t>+ (1)</w:t>
            </w:r>
          </w:p>
        </w:tc>
        <w:tc>
          <w:tcPr>
            <w:tcW w:w="449" w:type="pct"/>
            <w:tcBorders>
              <w:top w:val="nil"/>
              <w:left w:val="nil"/>
              <w:bottom w:val="single" w:sz="4" w:space="0" w:color="auto"/>
              <w:right w:val="single" w:sz="4" w:space="0" w:color="auto"/>
            </w:tcBorders>
            <w:shd w:val="clear" w:color="auto" w:fill="auto"/>
            <w:vAlign w:val="bottom"/>
            <w:hideMark/>
          </w:tcPr>
          <w:p w14:paraId="406F5AA3" w14:textId="195260FE" w:rsidR="000753D0" w:rsidRPr="007F0EC9" w:rsidRDefault="000753D0" w:rsidP="000753D0">
            <w:pPr>
              <w:jc w:val="center"/>
              <w:rPr>
                <w:color w:val="000000"/>
                <w:sz w:val="18"/>
                <w:szCs w:val="18"/>
              </w:rPr>
            </w:pPr>
            <w:r w:rsidRPr="007F0EC9">
              <w:rPr>
                <w:color w:val="000000"/>
                <w:sz w:val="18"/>
                <w:szCs w:val="18"/>
              </w:rPr>
              <w:t>+ (9)</w:t>
            </w:r>
          </w:p>
        </w:tc>
        <w:tc>
          <w:tcPr>
            <w:tcW w:w="449" w:type="pct"/>
            <w:tcBorders>
              <w:top w:val="nil"/>
              <w:left w:val="nil"/>
              <w:bottom w:val="single" w:sz="4" w:space="0" w:color="auto"/>
              <w:right w:val="single" w:sz="4" w:space="0" w:color="auto"/>
            </w:tcBorders>
            <w:shd w:val="clear" w:color="auto" w:fill="auto"/>
            <w:vAlign w:val="bottom"/>
            <w:hideMark/>
          </w:tcPr>
          <w:p w14:paraId="0AF4F8C2" w14:textId="085FB224" w:rsidR="000753D0" w:rsidRPr="007F0EC9" w:rsidRDefault="000753D0" w:rsidP="000753D0">
            <w:pPr>
              <w:jc w:val="center"/>
              <w:rPr>
                <w:color w:val="000000"/>
                <w:sz w:val="18"/>
                <w:szCs w:val="18"/>
              </w:rPr>
            </w:pPr>
            <w:r w:rsidRPr="007F0EC9">
              <w:rPr>
                <w:color w:val="000000"/>
                <w:sz w:val="18"/>
                <w:szCs w:val="18"/>
              </w:rPr>
              <w:t>+ (98)</w:t>
            </w:r>
          </w:p>
        </w:tc>
        <w:tc>
          <w:tcPr>
            <w:tcW w:w="449" w:type="pct"/>
            <w:tcBorders>
              <w:top w:val="nil"/>
              <w:left w:val="nil"/>
              <w:bottom w:val="single" w:sz="4" w:space="0" w:color="auto"/>
              <w:right w:val="single" w:sz="4" w:space="0" w:color="auto"/>
            </w:tcBorders>
            <w:shd w:val="clear" w:color="auto" w:fill="auto"/>
            <w:vAlign w:val="bottom"/>
            <w:hideMark/>
          </w:tcPr>
          <w:p w14:paraId="72F7E046" w14:textId="5A41B597"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2A63C74E" w14:textId="25E049A2" w:rsidR="000753D0" w:rsidRPr="007F0EC9" w:rsidRDefault="000753D0" w:rsidP="000753D0">
            <w:pPr>
              <w:jc w:val="center"/>
              <w:rPr>
                <w:color w:val="000000"/>
                <w:sz w:val="18"/>
                <w:szCs w:val="18"/>
              </w:rPr>
            </w:pPr>
            <w:r w:rsidRPr="007F0EC9">
              <w:rPr>
                <w:color w:val="000000"/>
                <w:sz w:val="18"/>
                <w:szCs w:val="18"/>
              </w:rPr>
              <w:t>+ (1)</w:t>
            </w:r>
          </w:p>
        </w:tc>
        <w:tc>
          <w:tcPr>
            <w:tcW w:w="449" w:type="pct"/>
            <w:tcBorders>
              <w:top w:val="nil"/>
              <w:left w:val="nil"/>
              <w:bottom w:val="single" w:sz="4" w:space="0" w:color="auto"/>
              <w:right w:val="single" w:sz="4" w:space="0" w:color="auto"/>
            </w:tcBorders>
            <w:shd w:val="clear" w:color="auto" w:fill="auto"/>
            <w:vAlign w:val="bottom"/>
            <w:hideMark/>
          </w:tcPr>
          <w:p w14:paraId="50E1C823" w14:textId="28759548" w:rsidR="000753D0" w:rsidRPr="007F0EC9" w:rsidRDefault="000753D0" w:rsidP="000753D0">
            <w:pPr>
              <w:jc w:val="center"/>
              <w:rPr>
                <w:color w:val="000000"/>
                <w:sz w:val="18"/>
                <w:szCs w:val="18"/>
              </w:rPr>
            </w:pPr>
            <w:r w:rsidRPr="007F0EC9">
              <w:rPr>
                <w:color w:val="000000"/>
                <w:sz w:val="18"/>
                <w:szCs w:val="18"/>
              </w:rPr>
              <w:t>+ (48)</w:t>
            </w:r>
          </w:p>
        </w:tc>
        <w:tc>
          <w:tcPr>
            <w:tcW w:w="314" w:type="pct"/>
            <w:tcBorders>
              <w:top w:val="nil"/>
              <w:left w:val="nil"/>
              <w:bottom w:val="single" w:sz="4" w:space="0" w:color="auto"/>
              <w:right w:val="single" w:sz="4" w:space="0" w:color="auto"/>
            </w:tcBorders>
            <w:shd w:val="clear" w:color="auto" w:fill="auto"/>
            <w:noWrap/>
            <w:vAlign w:val="bottom"/>
            <w:hideMark/>
          </w:tcPr>
          <w:p w14:paraId="00C7C787" w14:textId="41ECC54C" w:rsidR="000753D0" w:rsidRPr="007F0EC9" w:rsidRDefault="000753D0" w:rsidP="000753D0">
            <w:pPr>
              <w:jc w:val="center"/>
              <w:rPr>
                <w:color w:val="000000"/>
                <w:sz w:val="18"/>
                <w:szCs w:val="18"/>
              </w:rPr>
            </w:pPr>
            <w:r w:rsidRPr="007F0EC9">
              <w:rPr>
                <w:color w:val="000000"/>
                <w:sz w:val="18"/>
                <w:szCs w:val="18"/>
              </w:rPr>
              <w:t>177</w:t>
            </w:r>
          </w:p>
        </w:tc>
      </w:tr>
      <w:tr w:rsidR="000753D0" w:rsidRPr="008D54A5" w14:paraId="0894BB24" w14:textId="77777777" w:rsidTr="0086435E">
        <w:trPr>
          <w:trHeight w:val="197"/>
        </w:trPr>
        <w:tc>
          <w:tcPr>
            <w:tcW w:w="1094" w:type="pct"/>
            <w:shd w:val="clear" w:color="auto" w:fill="auto"/>
            <w:vAlign w:val="center"/>
            <w:hideMark/>
          </w:tcPr>
          <w:p w14:paraId="6B5A0A32" w14:textId="77777777" w:rsidR="000753D0" w:rsidRPr="008D54A5" w:rsidRDefault="000753D0" w:rsidP="000753D0">
            <w:pPr>
              <w:rPr>
                <w:color w:val="000000"/>
                <w:sz w:val="18"/>
                <w:szCs w:val="18"/>
              </w:rPr>
            </w:pPr>
            <w:r w:rsidRPr="008D54A5">
              <w:rPr>
                <w:color w:val="000000"/>
                <w:sz w:val="18"/>
                <w:szCs w:val="18"/>
              </w:rPr>
              <w:t xml:space="preserve">Emergency Room </w:t>
            </w:r>
            <w:proofErr w:type="gramStart"/>
            <w:r w:rsidRPr="008D54A5">
              <w:rPr>
                <w:color w:val="000000"/>
                <w:sz w:val="18"/>
                <w:szCs w:val="18"/>
              </w:rPr>
              <w:t>With</w:t>
            </w:r>
            <w:proofErr w:type="gramEnd"/>
            <w:r w:rsidRPr="008D54A5">
              <w:rPr>
                <w:color w:val="000000"/>
                <w:sz w:val="18"/>
                <w:szCs w:val="18"/>
              </w:rPr>
              <w:t xml:space="preserve"> Surgery linked to &lt;2 night Inpatient</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78461CBB" w14:textId="3359BBCB"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34C91E35" w14:textId="148623A8"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22989CDD" w14:textId="79128D63"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53C69A4F" w14:textId="57C7195B"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051AA23E" w14:textId="0C24A4C8"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69CEDA52" w14:textId="74D255A2"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3F9A65AA" w14:textId="442C24E8"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213AF77D" w14:textId="6C90B843" w:rsidR="000753D0" w:rsidRPr="007F0EC9" w:rsidRDefault="000753D0" w:rsidP="000753D0">
            <w:pPr>
              <w:jc w:val="center"/>
              <w:rPr>
                <w:color w:val="000000"/>
                <w:sz w:val="18"/>
                <w:szCs w:val="18"/>
              </w:rPr>
            </w:pPr>
            <w:r w:rsidRPr="007F0EC9">
              <w:rPr>
                <w:color w:val="000000"/>
                <w:sz w:val="18"/>
                <w:szCs w:val="18"/>
              </w:rPr>
              <w:t>X</w:t>
            </w:r>
          </w:p>
        </w:tc>
        <w:tc>
          <w:tcPr>
            <w:tcW w:w="314" w:type="pct"/>
            <w:tcBorders>
              <w:top w:val="nil"/>
              <w:left w:val="nil"/>
              <w:bottom w:val="single" w:sz="4" w:space="0" w:color="auto"/>
              <w:right w:val="single" w:sz="4" w:space="0" w:color="auto"/>
            </w:tcBorders>
            <w:shd w:val="clear" w:color="auto" w:fill="auto"/>
            <w:noWrap/>
            <w:vAlign w:val="bottom"/>
            <w:hideMark/>
          </w:tcPr>
          <w:p w14:paraId="6E3529E2" w14:textId="06F9D655" w:rsidR="000753D0" w:rsidRPr="007F0EC9" w:rsidRDefault="000753D0" w:rsidP="000753D0">
            <w:pPr>
              <w:jc w:val="center"/>
              <w:rPr>
                <w:color w:val="000000"/>
                <w:sz w:val="18"/>
                <w:szCs w:val="18"/>
              </w:rPr>
            </w:pPr>
            <w:r w:rsidRPr="007F0EC9">
              <w:rPr>
                <w:color w:val="000000"/>
                <w:sz w:val="18"/>
                <w:szCs w:val="18"/>
              </w:rPr>
              <w:t>0</w:t>
            </w:r>
          </w:p>
        </w:tc>
      </w:tr>
      <w:tr w:rsidR="000753D0" w:rsidRPr="008D54A5" w14:paraId="1F90CA0E" w14:textId="77777777" w:rsidTr="0086435E">
        <w:trPr>
          <w:trHeight w:val="90"/>
        </w:trPr>
        <w:tc>
          <w:tcPr>
            <w:tcW w:w="1094" w:type="pct"/>
            <w:shd w:val="clear" w:color="auto" w:fill="auto"/>
            <w:vAlign w:val="center"/>
            <w:hideMark/>
          </w:tcPr>
          <w:p w14:paraId="4CDC0741" w14:textId="77777777" w:rsidR="000753D0" w:rsidRPr="008D54A5" w:rsidRDefault="000753D0" w:rsidP="000753D0">
            <w:pPr>
              <w:rPr>
                <w:color w:val="000000"/>
                <w:sz w:val="18"/>
                <w:szCs w:val="18"/>
              </w:rPr>
            </w:pPr>
            <w:r w:rsidRPr="008D54A5">
              <w:rPr>
                <w:color w:val="000000"/>
                <w:sz w:val="18"/>
                <w:szCs w:val="18"/>
              </w:rPr>
              <w:t>Emergency Room No Surgery linked to &lt;</w:t>
            </w:r>
            <w:proofErr w:type="gramStart"/>
            <w:r w:rsidRPr="008D54A5">
              <w:rPr>
                <w:color w:val="000000"/>
                <w:sz w:val="18"/>
                <w:szCs w:val="18"/>
              </w:rPr>
              <w:t>2 night</w:t>
            </w:r>
            <w:proofErr w:type="gramEnd"/>
            <w:r w:rsidRPr="008D54A5">
              <w:rPr>
                <w:color w:val="000000"/>
                <w:sz w:val="18"/>
                <w:szCs w:val="18"/>
              </w:rPr>
              <w:t xml:space="preserve"> Inpatient</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300F24C7" w14:textId="39A03540"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5002A9CD" w14:textId="52279ED5"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11391091" w14:textId="55052F43"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553D3E27" w14:textId="42F30E08" w:rsidR="000753D0" w:rsidRPr="007F0EC9" w:rsidRDefault="000753D0" w:rsidP="000753D0">
            <w:pPr>
              <w:jc w:val="center"/>
              <w:rPr>
                <w:color w:val="000000"/>
                <w:sz w:val="18"/>
                <w:szCs w:val="18"/>
              </w:rPr>
            </w:pPr>
            <w:r w:rsidRPr="007F0EC9">
              <w:rPr>
                <w:color w:val="000000"/>
                <w:sz w:val="18"/>
                <w:szCs w:val="18"/>
              </w:rPr>
              <w:t>+ (2)</w:t>
            </w:r>
          </w:p>
        </w:tc>
        <w:tc>
          <w:tcPr>
            <w:tcW w:w="449" w:type="pct"/>
            <w:tcBorders>
              <w:top w:val="nil"/>
              <w:left w:val="nil"/>
              <w:bottom w:val="single" w:sz="4" w:space="0" w:color="auto"/>
              <w:right w:val="single" w:sz="4" w:space="0" w:color="auto"/>
            </w:tcBorders>
            <w:shd w:val="clear" w:color="auto" w:fill="auto"/>
            <w:vAlign w:val="bottom"/>
            <w:hideMark/>
          </w:tcPr>
          <w:p w14:paraId="29862FD7" w14:textId="016E29F1" w:rsidR="000753D0" w:rsidRPr="007F0EC9" w:rsidRDefault="000753D0" w:rsidP="000753D0">
            <w:pPr>
              <w:jc w:val="center"/>
              <w:rPr>
                <w:color w:val="000000"/>
                <w:sz w:val="18"/>
                <w:szCs w:val="18"/>
              </w:rPr>
            </w:pPr>
            <w:r w:rsidRPr="007F0EC9">
              <w:rPr>
                <w:color w:val="000000"/>
                <w:sz w:val="18"/>
                <w:szCs w:val="18"/>
              </w:rPr>
              <w:t>+ (8)</w:t>
            </w:r>
          </w:p>
        </w:tc>
        <w:tc>
          <w:tcPr>
            <w:tcW w:w="449" w:type="pct"/>
            <w:tcBorders>
              <w:top w:val="nil"/>
              <w:left w:val="nil"/>
              <w:bottom w:val="single" w:sz="4" w:space="0" w:color="auto"/>
              <w:right w:val="single" w:sz="4" w:space="0" w:color="auto"/>
            </w:tcBorders>
            <w:shd w:val="clear" w:color="auto" w:fill="auto"/>
            <w:vAlign w:val="bottom"/>
            <w:hideMark/>
          </w:tcPr>
          <w:p w14:paraId="1BE6247F" w14:textId="7A4BBEA4" w:rsidR="000753D0" w:rsidRPr="007F0EC9" w:rsidRDefault="000753D0" w:rsidP="000753D0">
            <w:pPr>
              <w:jc w:val="center"/>
              <w:rPr>
                <w:color w:val="000000"/>
                <w:sz w:val="18"/>
                <w:szCs w:val="18"/>
              </w:rPr>
            </w:pPr>
            <w:r w:rsidRPr="007F0EC9">
              <w:rPr>
                <w:color w:val="000000"/>
                <w:sz w:val="18"/>
                <w:szCs w:val="18"/>
              </w:rPr>
              <w:t>+ (7)</w:t>
            </w:r>
          </w:p>
        </w:tc>
        <w:tc>
          <w:tcPr>
            <w:tcW w:w="449" w:type="pct"/>
            <w:tcBorders>
              <w:top w:val="nil"/>
              <w:left w:val="nil"/>
              <w:bottom w:val="single" w:sz="4" w:space="0" w:color="auto"/>
              <w:right w:val="single" w:sz="4" w:space="0" w:color="auto"/>
            </w:tcBorders>
            <w:shd w:val="clear" w:color="auto" w:fill="auto"/>
            <w:vAlign w:val="bottom"/>
            <w:hideMark/>
          </w:tcPr>
          <w:p w14:paraId="6712EA5C" w14:textId="46DD8D58" w:rsidR="000753D0" w:rsidRPr="007F0EC9" w:rsidRDefault="000753D0" w:rsidP="000753D0">
            <w:pPr>
              <w:jc w:val="center"/>
              <w:rPr>
                <w:color w:val="000000"/>
                <w:sz w:val="18"/>
                <w:szCs w:val="18"/>
              </w:rPr>
            </w:pPr>
            <w:r w:rsidRPr="007F0EC9">
              <w:rPr>
                <w:color w:val="000000"/>
                <w:sz w:val="18"/>
                <w:szCs w:val="18"/>
              </w:rPr>
              <w:t>+ (68)</w:t>
            </w:r>
          </w:p>
        </w:tc>
        <w:tc>
          <w:tcPr>
            <w:tcW w:w="449" w:type="pct"/>
            <w:tcBorders>
              <w:top w:val="nil"/>
              <w:left w:val="nil"/>
              <w:bottom w:val="single" w:sz="4" w:space="0" w:color="auto"/>
              <w:right w:val="single" w:sz="4" w:space="0" w:color="auto"/>
            </w:tcBorders>
            <w:shd w:val="clear" w:color="auto" w:fill="auto"/>
            <w:vAlign w:val="bottom"/>
            <w:hideMark/>
          </w:tcPr>
          <w:p w14:paraId="5BB5BD89" w14:textId="3C844069" w:rsidR="000753D0" w:rsidRPr="007F0EC9" w:rsidRDefault="000753D0" w:rsidP="000753D0">
            <w:pPr>
              <w:jc w:val="center"/>
              <w:rPr>
                <w:color w:val="000000"/>
                <w:sz w:val="18"/>
                <w:szCs w:val="18"/>
              </w:rPr>
            </w:pPr>
            <w:r w:rsidRPr="007F0EC9">
              <w:rPr>
                <w:color w:val="000000"/>
                <w:sz w:val="18"/>
                <w:szCs w:val="18"/>
              </w:rPr>
              <w:t>X</w:t>
            </w:r>
          </w:p>
        </w:tc>
        <w:tc>
          <w:tcPr>
            <w:tcW w:w="314" w:type="pct"/>
            <w:tcBorders>
              <w:top w:val="nil"/>
              <w:left w:val="nil"/>
              <w:bottom w:val="single" w:sz="4" w:space="0" w:color="auto"/>
              <w:right w:val="single" w:sz="4" w:space="0" w:color="auto"/>
            </w:tcBorders>
            <w:shd w:val="clear" w:color="auto" w:fill="auto"/>
            <w:noWrap/>
            <w:vAlign w:val="bottom"/>
            <w:hideMark/>
          </w:tcPr>
          <w:p w14:paraId="6635231C" w14:textId="38A7D503" w:rsidR="000753D0" w:rsidRPr="007F0EC9" w:rsidRDefault="000753D0" w:rsidP="000753D0">
            <w:pPr>
              <w:jc w:val="center"/>
              <w:rPr>
                <w:color w:val="000000"/>
                <w:sz w:val="18"/>
                <w:szCs w:val="18"/>
              </w:rPr>
            </w:pPr>
            <w:r w:rsidRPr="007F0EC9">
              <w:rPr>
                <w:color w:val="000000"/>
                <w:sz w:val="18"/>
                <w:szCs w:val="18"/>
              </w:rPr>
              <w:t>85</w:t>
            </w:r>
          </w:p>
        </w:tc>
      </w:tr>
      <w:tr w:rsidR="000753D0" w:rsidRPr="008D54A5" w14:paraId="2521679C" w14:textId="77777777" w:rsidTr="0086435E">
        <w:trPr>
          <w:trHeight w:val="90"/>
        </w:trPr>
        <w:tc>
          <w:tcPr>
            <w:tcW w:w="1094" w:type="pct"/>
            <w:shd w:val="clear" w:color="auto" w:fill="auto"/>
            <w:vAlign w:val="center"/>
            <w:hideMark/>
          </w:tcPr>
          <w:p w14:paraId="10A44F9C" w14:textId="77777777" w:rsidR="000753D0" w:rsidRPr="008D54A5" w:rsidRDefault="000753D0" w:rsidP="000753D0">
            <w:pPr>
              <w:rPr>
                <w:color w:val="000000"/>
                <w:sz w:val="18"/>
                <w:szCs w:val="18"/>
              </w:rPr>
            </w:pPr>
            <w:r w:rsidRPr="008D54A5">
              <w:rPr>
                <w:color w:val="000000"/>
                <w:sz w:val="18"/>
                <w:szCs w:val="18"/>
              </w:rPr>
              <w:t xml:space="preserve">Emergency Room </w:t>
            </w:r>
            <w:proofErr w:type="gramStart"/>
            <w:r w:rsidRPr="008D54A5">
              <w:rPr>
                <w:color w:val="000000"/>
                <w:sz w:val="18"/>
                <w:szCs w:val="18"/>
              </w:rPr>
              <w:t>With</w:t>
            </w:r>
            <w:proofErr w:type="gramEnd"/>
            <w:r w:rsidRPr="008D54A5">
              <w:rPr>
                <w:color w:val="000000"/>
                <w:sz w:val="18"/>
                <w:szCs w:val="18"/>
              </w:rPr>
              <w:t xml:space="preserve"> Surgery linked to 2 night Inpatient</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0A8EC2F5" w14:textId="19A397E7"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21D9D5B9" w14:textId="34073B28"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3CE8CDD5" w14:textId="147536E4"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4A2D43FD" w14:textId="6FC775A2"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4596120F" w14:textId="51F8B984"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293F986D" w14:textId="4DF1EBEC"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07C75250" w14:textId="54F496F2"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04AD69D5" w14:textId="464FB66D" w:rsidR="000753D0" w:rsidRPr="007F0EC9" w:rsidRDefault="000753D0" w:rsidP="000753D0">
            <w:pPr>
              <w:jc w:val="center"/>
              <w:rPr>
                <w:color w:val="000000"/>
                <w:sz w:val="18"/>
                <w:szCs w:val="18"/>
              </w:rPr>
            </w:pPr>
            <w:r w:rsidRPr="007F0EC9">
              <w:rPr>
                <w:color w:val="000000"/>
                <w:sz w:val="18"/>
                <w:szCs w:val="18"/>
              </w:rPr>
              <w:t>X</w:t>
            </w:r>
          </w:p>
        </w:tc>
        <w:tc>
          <w:tcPr>
            <w:tcW w:w="314" w:type="pct"/>
            <w:tcBorders>
              <w:top w:val="nil"/>
              <w:left w:val="nil"/>
              <w:bottom w:val="single" w:sz="4" w:space="0" w:color="auto"/>
              <w:right w:val="single" w:sz="4" w:space="0" w:color="auto"/>
            </w:tcBorders>
            <w:shd w:val="clear" w:color="auto" w:fill="auto"/>
            <w:noWrap/>
            <w:vAlign w:val="bottom"/>
            <w:hideMark/>
          </w:tcPr>
          <w:p w14:paraId="0BC1CEA6" w14:textId="7B165EBE" w:rsidR="000753D0" w:rsidRPr="007F0EC9" w:rsidRDefault="000753D0" w:rsidP="000753D0">
            <w:pPr>
              <w:jc w:val="center"/>
              <w:rPr>
                <w:color w:val="000000"/>
                <w:sz w:val="18"/>
                <w:szCs w:val="18"/>
              </w:rPr>
            </w:pPr>
            <w:r w:rsidRPr="007F0EC9">
              <w:rPr>
                <w:color w:val="000000"/>
                <w:sz w:val="18"/>
                <w:szCs w:val="18"/>
              </w:rPr>
              <w:t>0</w:t>
            </w:r>
          </w:p>
        </w:tc>
      </w:tr>
      <w:tr w:rsidR="000753D0" w:rsidRPr="008D54A5" w14:paraId="555F31CB" w14:textId="77777777" w:rsidTr="0086435E">
        <w:trPr>
          <w:trHeight w:val="269"/>
        </w:trPr>
        <w:tc>
          <w:tcPr>
            <w:tcW w:w="1094" w:type="pct"/>
            <w:shd w:val="clear" w:color="auto" w:fill="auto"/>
            <w:vAlign w:val="center"/>
            <w:hideMark/>
          </w:tcPr>
          <w:p w14:paraId="0D909315" w14:textId="77777777" w:rsidR="000753D0" w:rsidRPr="008D54A5" w:rsidRDefault="000753D0" w:rsidP="000753D0">
            <w:pPr>
              <w:rPr>
                <w:color w:val="000000"/>
                <w:sz w:val="18"/>
                <w:szCs w:val="18"/>
              </w:rPr>
            </w:pPr>
            <w:r w:rsidRPr="008D54A5">
              <w:rPr>
                <w:color w:val="000000"/>
                <w:sz w:val="18"/>
                <w:szCs w:val="18"/>
              </w:rPr>
              <w:t xml:space="preserve">Emergency Room No Surgery linked to </w:t>
            </w:r>
            <w:proofErr w:type="gramStart"/>
            <w:r w:rsidRPr="008D54A5">
              <w:rPr>
                <w:color w:val="000000"/>
                <w:sz w:val="18"/>
                <w:szCs w:val="18"/>
              </w:rPr>
              <w:t>2 night</w:t>
            </w:r>
            <w:proofErr w:type="gramEnd"/>
            <w:r w:rsidRPr="008D54A5">
              <w:rPr>
                <w:color w:val="000000"/>
                <w:sz w:val="18"/>
                <w:szCs w:val="18"/>
              </w:rPr>
              <w:t xml:space="preserve"> Inpatient</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7E674413" w14:textId="243D957D"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5AAB76A0" w14:textId="699C96A1"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7EF2BD59" w14:textId="374B7D80"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41570EBF" w14:textId="661A5743" w:rsidR="000753D0" w:rsidRPr="007F0EC9" w:rsidRDefault="000753D0" w:rsidP="000753D0">
            <w:pPr>
              <w:jc w:val="center"/>
              <w:rPr>
                <w:color w:val="000000"/>
                <w:sz w:val="18"/>
                <w:szCs w:val="18"/>
              </w:rPr>
            </w:pPr>
            <w:r w:rsidRPr="007F0EC9">
              <w:rPr>
                <w:color w:val="000000"/>
                <w:sz w:val="18"/>
                <w:szCs w:val="18"/>
              </w:rPr>
              <w:t>+ (2)</w:t>
            </w:r>
          </w:p>
        </w:tc>
        <w:tc>
          <w:tcPr>
            <w:tcW w:w="449" w:type="pct"/>
            <w:tcBorders>
              <w:top w:val="nil"/>
              <w:left w:val="nil"/>
              <w:bottom w:val="single" w:sz="4" w:space="0" w:color="auto"/>
              <w:right w:val="single" w:sz="4" w:space="0" w:color="auto"/>
            </w:tcBorders>
            <w:shd w:val="clear" w:color="auto" w:fill="auto"/>
            <w:vAlign w:val="bottom"/>
            <w:hideMark/>
          </w:tcPr>
          <w:p w14:paraId="43DD8257" w14:textId="1B929549"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23DE0BFD" w14:textId="6175D33B" w:rsidR="000753D0" w:rsidRPr="007F0EC9" w:rsidRDefault="000753D0" w:rsidP="000753D0">
            <w:pPr>
              <w:jc w:val="center"/>
              <w:rPr>
                <w:color w:val="000000"/>
                <w:sz w:val="18"/>
                <w:szCs w:val="18"/>
              </w:rPr>
            </w:pPr>
            <w:r w:rsidRPr="007F0EC9">
              <w:rPr>
                <w:color w:val="000000"/>
                <w:sz w:val="18"/>
                <w:szCs w:val="18"/>
              </w:rPr>
              <w:t>+ (9)</w:t>
            </w:r>
          </w:p>
        </w:tc>
        <w:tc>
          <w:tcPr>
            <w:tcW w:w="449" w:type="pct"/>
            <w:tcBorders>
              <w:top w:val="nil"/>
              <w:left w:val="nil"/>
              <w:bottom w:val="single" w:sz="4" w:space="0" w:color="auto"/>
              <w:right w:val="single" w:sz="4" w:space="0" w:color="auto"/>
            </w:tcBorders>
            <w:shd w:val="clear" w:color="auto" w:fill="auto"/>
            <w:vAlign w:val="bottom"/>
            <w:hideMark/>
          </w:tcPr>
          <w:p w14:paraId="187EAE39" w14:textId="003563BE" w:rsidR="000753D0" w:rsidRPr="007F0EC9" w:rsidRDefault="000753D0" w:rsidP="000753D0">
            <w:pPr>
              <w:jc w:val="center"/>
              <w:rPr>
                <w:color w:val="000000"/>
                <w:sz w:val="18"/>
                <w:szCs w:val="18"/>
              </w:rPr>
            </w:pPr>
            <w:r w:rsidRPr="007F0EC9">
              <w:rPr>
                <w:color w:val="000000"/>
                <w:sz w:val="18"/>
                <w:szCs w:val="18"/>
              </w:rPr>
              <w:t>+ (95)</w:t>
            </w:r>
          </w:p>
        </w:tc>
        <w:tc>
          <w:tcPr>
            <w:tcW w:w="449" w:type="pct"/>
            <w:tcBorders>
              <w:top w:val="nil"/>
              <w:left w:val="nil"/>
              <w:bottom w:val="single" w:sz="4" w:space="0" w:color="auto"/>
              <w:right w:val="single" w:sz="4" w:space="0" w:color="auto"/>
            </w:tcBorders>
            <w:shd w:val="clear" w:color="auto" w:fill="auto"/>
            <w:vAlign w:val="bottom"/>
            <w:hideMark/>
          </w:tcPr>
          <w:p w14:paraId="4EEE74DB" w14:textId="1B401351" w:rsidR="000753D0" w:rsidRPr="007F0EC9" w:rsidRDefault="000753D0" w:rsidP="000753D0">
            <w:pPr>
              <w:jc w:val="center"/>
              <w:rPr>
                <w:color w:val="000000"/>
                <w:sz w:val="18"/>
                <w:szCs w:val="18"/>
              </w:rPr>
            </w:pPr>
            <w:r w:rsidRPr="007F0EC9">
              <w:rPr>
                <w:color w:val="000000"/>
                <w:sz w:val="18"/>
                <w:szCs w:val="18"/>
              </w:rPr>
              <w:t>X</w:t>
            </w:r>
          </w:p>
        </w:tc>
        <w:tc>
          <w:tcPr>
            <w:tcW w:w="314" w:type="pct"/>
            <w:tcBorders>
              <w:top w:val="nil"/>
              <w:left w:val="nil"/>
              <w:bottom w:val="single" w:sz="4" w:space="0" w:color="auto"/>
              <w:right w:val="single" w:sz="4" w:space="0" w:color="auto"/>
            </w:tcBorders>
            <w:shd w:val="clear" w:color="auto" w:fill="auto"/>
            <w:noWrap/>
            <w:vAlign w:val="bottom"/>
            <w:hideMark/>
          </w:tcPr>
          <w:p w14:paraId="2D05DF95" w14:textId="0431D31D" w:rsidR="000753D0" w:rsidRPr="007F0EC9" w:rsidRDefault="000753D0" w:rsidP="000753D0">
            <w:pPr>
              <w:jc w:val="center"/>
              <w:rPr>
                <w:color w:val="000000"/>
                <w:sz w:val="18"/>
                <w:szCs w:val="18"/>
              </w:rPr>
            </w:pPr>
            <w:r w:rsidRPr="007F0EC9">
              <w:rPr>
                <w:color w:val="000000"/>
                <w:sz w:val="18"/>
                <w:szCs w:val="18"/>
              </w:rPr>
              <w:t>106</w:t>
            </w:r>
          </w:p>
        </w:tc>
      </w:tr>
      <w:tr w:rsidR="000753D0" w:rsidRPr="008D54A5" w14:paraId="43EE8DFE" w14:textId="77777777" w:rsidTr="0086435E">
        <w:trPr>
          <w:trHeight w:val="386"/>
        </w:trPr>
        <w:tc>
          <w:tcPr>
            <w:tcW w:w="1094" w:type="pct"/>
            <w:shd w:val="clear" w:color="auto" w:fill="auto"/>
            <w:vAlign w:val="center"/>
            <w:hideMark/>
          </w:tcPr>
          <w:p w14:paraId="40060A58" w14:textId="77777777" w:rsidR="000753D0" w:rsidRPr="008D54A5" w:rsidRDefault="000753D0" w:rsidP="000753D0">
            <w:pPr>
              <w:rPr>
                <w:color w:val="000000"/>
                <w:sz w:val="18"/>
                <w:szCs w:val="18"/>
              </w:rPr>
            </w:pPr>
            <w:r w:rsidRPr="008D54A5">
              <w:rPr>
                <w:color w:val="000000"/>
                <w:sz w:val="18"/>
                <w:szCs w:val="18"/>
              </w:rPr>
              <w:t xml:space="preserve">Emergency Room </w:t>
            </w:r>
            <w:proofErr w:type="gramStart"/>
            <w:r w:rsidRPr="008D54A5">
              <w:rPr>
                <w:color w:val="000000"/>
                <w:sz w:val="18"/>
                <w:szCs w:val="18"/>
              </w:rPr>
              <w:t>With</w:t>
            </w:r>
            <w:proofErr w:type="gramEnd"/>
            <w:r w:rsidRPr="008D54A5">
              <w:rPr>
                <w:color w:val="000000"/>
                <w:sz w:val="18"/>
                <w:szCs w:val="18"/>
              </w:rPr>
              <w:t xml:space="preserve"> Surgery linked to 3+ night Inpatient</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42C7A464" w14:textId="067CA261"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7FFA62AC" w14:textId="766E2878"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43A8523A" w14:textId="7B137D80"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2B674AB8" w14:textId="35C285B8"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34AA51E8" w14:textId="0290C52E"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0514FBB0" w14:textId="06E92751" w:rsidR="000753D0" w:rsidRPr="007F0EC9" w:rsidRDefault="000753D0" w:rsidP="000753D0">
            <w:pPr>
              <w:jc w:val="center"/>
              <w:rPr>
                <w:color w:val="000000"/>
                <w:sz w:val="18"/>
                <w:szCs w:val="18"/>
              </w:rPr>
            </w:pPr>
            <w:r w:rsidRPr="007F0EC9">
              <w:rPr>
                <w:color w:val="000000"/>
                <w:sz w:val="18"/>
                <w:szCs w:val="18"/>
              </w:rPr>
              <w:t>+ (0)</w:t>
            </w:r>
          </w:p>
        </w:tc>
        <w:tc>
          <w:tcPr>
            <w:tcW w:w="449" w:type="pct"/>
            <w:tcBorders>
              <w:top w:val="nil"/>
              <w:left w:val="nil"/>
              <w:bottom w:val="single" w:sz="4" w:space="0" w:color="auto"/>
              <w:right w:val="single" w:sz="4" w:space="0" w:color="auto"/>
            </w:tcBorders>
            <w:shd w:val="clear" w:color="auto" w:fill="auto"/>
            <w:vAlign w:val="bottom"/>
            <w:hideMark/>
          </w:tcPr>
          <w:p w14:paraId="11085094" w14:textId="39960B58" w:rsidR="000753D0" w:rsidRPr="007F0EC9" w:rsidRDefault="000753D0" w:rsidP="000753D0">
            <w:pPr>
              <w:jc w:val="center"/>
              <w:rPr>
                <w:color w:val="000000"/>
                <w:sz w:val="18"/>
                <w:szCs w:val="18"/>
              </w:rPr>
            </w:pPr>
            <w:r w:rsidRPr="007F0EC9">
              <w:rPr>
                <w:color w:val="000000"/>
                <w:sz w:val="18"/>
                <w:szCs w:val="18"/>
              </w:rPr>
              <w:t>+ (2)</w:t>
            </w:r>
          </w:p>
        </w:tc>
        <w:tc>
          <w:tcPr>
            <w:tcW w:w="449" w:type="pct"/>
            <w:tcBorders>
              <w:top w:val="nil"/>
              <w:left w:val="nil"/>
              <w:bottom w:val="single" w:sz="4" w:space="0" w:color="auto"/>
              <w:right w:val="single" w:sz="4" w:space="0" w:color="auto"/>
            </w:tcBorders>
            <w:shd w:val="clear" w:color="auto" w:fill="auto"/>
            <w:vAlign w:val="bottom"/>
            <w:hideMark/>
          </w:tcPr>
          <w:p w14:paraId="0707F5BE" w14:textId="4C3E134A" w:rsidR="000753D0" w:rsidRPr="007F0EC9" w:rsidRDefault="000753D0" w:rsidP="000753D0">
            <w:pPr>
              <w:jc w:val="center"/>
              <w:rPr>
                <w:color w:val="000000"/>
                <w:sz w:val="18"/>
                <w:szCs w:val="18"/>
              </w:rPr>
            </w:pPr>
            <w:r w:rsidRPr="007F0EC9">
              <w:rPr>
                <w:color w:val="000000"/>
                <w:sz w:val="18"/>
                <w:szCs w:val="18"/>
              </w:rPr>
              <w:t>X</w:t>
            </w:r>
          </w:p>
        </w:tc>
        <w:tc>
          <w:tcPr>
            <w:tcW w:w="314" w:type="pct"/>
            <w:tcBorders>
              <w:top w:val="nil"/>
              <w:left w:val="nil"/>
              <w:bottom w:val="single" w:sz="4" w:space="0" w:color="auto"/>
              <w:right w:val="single" w:sz="4" w:space="0" w:color="auto"/>
            </w:tcBorders>
            <w:shd w:val="clear" w:color="auto" w:fill="auto"/>
            <w:noWrap/>
            <w:vAlign w:val="bottom"/>
            <w:hideMark/>
          </w:tcPr>
          <w:p w14:paraId="576B216F" w14:textId="0476D0C2" w:rsidR="000753D0" w:rsidRPr="007F0EC9" w:rsidRDefault="000753D0" w:rsidP="000753D0">
            <w:pPr>
              <w:jc w:val="center"/>
              <w:rPr>
                <w:color w:val="000000"/>
                <w:sz w:val="18"/>
                <w:szCs w:val="18"/>
              </w:rPr>
            </w:pPr>
            <w:r w:rsidRPr="007F0EC9">
              <w:rPr>
                <w:color w:val="000000"/>
                <w:sz w:val="18"/>
                <w:szCs w:val="18"/>
              </w:rPr>
              <w:t>2</w:t>
            </w:r>
          </w:p>
        </w:tc>
      </w:tr>
      <w:tr w:rsidR="000753D0" w:rsidRPr="008D54A5" w14:paraId="702DA29E" w14:textId="77777777" w:rsidTr="0086435E">
        <w:trPr>
          <w:trHeight w:val="332"/>
        </w:trPr>
        <w:tc>
          <w:tcPr>
            <w:tcW w:w="1094" w:type="pct"/>
            <w:shd w:val="clear" w:color="auto" w:fill="auto"/>
            <w:vAlign w:val="center"/>
            <w:hideMark/>
          </w:tcPr>
          <w:p w14:paraId="31CA2DFA" w14:textId="77777777" w:rsidR="000753D0" w:rsidRPr="008D54A5" w:rsidRDefault="000753D0" w:rsidP="000753D0">
            <w:pPr>
              <w:rPr>
                <w:color w:val="000000"/>
                <w:sz w:val="18"/>
                <w:szCs w:val="18"/>
              </w:rPr>
            </w:pPr>
            <w:r w:rsidRPr="008D54A5">
              <w:rPr>
                <w:color w:val="000000"/>
                <w:sz w:val="18"/>
                <w:szCs w:val="18"/>
              </w:rPr>
              <w:t>Emergency Room No Surgery linked to 3+ night Inpatient</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3452AE75" w14:textId="5D3351E8" w:rsidR="000753D0" w:rsidRPr="007F0EC9" w:rsidRDefault="000753D0" w:rsidP="000753D0">
            <w:pPr>
              <w:jc w:val="center"/>
              <w:rPr>
                <w:color w:val="000000"/>
                <w:sz w:val="18"/>
                <w:szCs w:val="18"/>
              </w:rPr>
            </w:pPr>
            <w:r w:rsidRPr="007F0EC9">
              <w:rPr>
                <w:color w:val="000000"/>
                <w:sz w:val="18"/>
                <w:szCs w:val="18"/>
              </w:rPr>
              <w:t>+ (2)</w:t>
            </w:r>
          </w:p>
        </w:tc>
        <w:tc>
          <w:tcPr>
            <w:tcW w:w="449" w:type="pct"/>
            <w:tcBorders>
              <w:top w:val="nil"/>
              <w:left w:val="nil"/>
              <w:bottom w:val="single" w:sz="4" w:space="0" w:color="auto"/>
              <w:right w:val="single" w:sz="4" w:space="0" w:color="auto"/>
            </w:tcBorders>
            <w:shd w:val="clear" w:color="auto" w:fill="auto"/>
            <w:vAlign w:val="bottom"/>
            <w:hideMark/>
          </w:tcPr>
          <w:p w14:paraId="62FB81CA" w14:textId="14DA0A4D"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65AF0091" w14:textId="0BC9D75C"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05B5A0E2" w14:textId="59579E6A"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23E9A84A" w14:textId="116538FA"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55E9DC79" w14:textId="73479AF2" w:rsidR="000753D0" w:rsidRPr="007F0EC9" w:rsidRDefault="000753D0" w:rsidP="000753D0">
            <w:pPr>
              <w:jc w:val="center"/>
              <w:rPr>
                <w:color w:val="000000"/>
                <w:sz w:val="18"/>
                <w:szCs w:val="18"/>
              </w:rPr>
            </w:pPr>
            <w:r w:rsidRPr="007F0EC9">
              <w:rPr>
                <w:color w:val="000000"/>
                <w:sz w:val="18"/>
                <w:szCs w:val="18"/>
              </w:rPr>
              <w:t>+ (13)</w:t>
            </w:r>
          </w:p>
        </w:tc>
        <w:tc>
          <w:tcPr>
            <w:tcW w:w="449" w:type="pct"/>
            <w:tcBorders>
              <w:top w:val="nil"/>
              <w:left w:val="nil"/>
              <w:bottom w:val="single" w:sz="4" w:space="0" w:color="auto"/>
              <w:right w:val="single" w:sz="4" w:space="0" w:color="auto"/>
            </w:tcBorders>
            <w:shd w:val="clear" w:color="auto" w:fill="auto"/>
            <w:vAlign w:val="bottom"/>
            <w:hideMark/>
          </w:tcPr>
          <w:p w14:paraId="07BBF3A3" w14:textId="1D1024BC" w:rsidR="000753D0" w:rsidRPr="007F0EC9" w:rsidRDefault="000753D0" w:rsidP="000753D0">
            <w:pPr>
              <w:jc w:val="center"/>
              <w:rPr>
                <w:color w:val="000000"/>
                <w:sz w:val="18"/>
                <w:szCs w:val="18"/>
              </w:rPr>
            </w:pPr>
            <w:r w:rsidRPr="007F0EC9">
              <w:rPr>
                <w:color w:val="000000"/>
                <w:sz w:val="18"/>
                <w:szCs w:val="18"/>
              </w:rPr>
              <w:t>+ (267)</w:t>
            </w:r>
          </w:p>
        </w:tc>
        <w:tc>
          <w:tcPr>
            <w:tcW w:w="449" w:type="pct"/>
            <w:tcBorders>
              <w:top w:val="nil"/>
              <w:left w:val="nil"/>
              <w:bottom w:val="single" w:sz="4" w:space="0" w:color="auto"/>
              <w:right w:val="single" w:sz="4" w:space="0" w:color="auto"/>
            </w:tcBorders>
            <w:shd w:val="clear" w:color="auto" w:fill="auto"/>
            <w:vAlign w:val="bottom"/>
            <w:hideMark/>
          </w:tcPr>
          <w:p w14:paraId="507E7A59" w14:textId="0F5E0CA7" w:rsidR="000753D0" w:rsidRPr="007F0EC9" w:rsidRDefault="000753D0" w:rsidP="000753D0">
            <w:pPr>
              <w:jc w:val="center"/>
              <w:rPr>
                <w:color w:val="000000"/>
                <w:sz w:val="18"/>
                <w:szCs w:val="18"/>
              </w:rPr>
            </w:pPr>
            <w:r w:rsidRPr="007F0EC9">
              <w:rPr>
                <w:color w:val="000000"/>
                <w:sz w:val="18"/>
                <w:szCs w:val="18"/>
              </w:rPr>
              <w:t>X</w:t>
            </w:r>
          </w:p>
        </w:tc>
        <w:tc>
          <w:tcPr>
            <w:tcW w:w="314" w:type="pct"/>
            <w:tcBorders>
              <w:top w:val="nil"/>
              <w:left w:val="nil"/>
              <w:bottom w:val="single" w:sz="4" w:space="0" w:color="auto"/>
              <w:right w:val="single" w:sz="4" w:space="0" w:color="auto"/>
            </w:tcBorders>
            <w:shd w:val="clear" w:color="auto" w:fill="auto"/>
            <w:noWrap/>
            <w:vAlign w:val="bottom"/>
            <w:hideMark/>
          </w:tcPr>
          <w:p w14:paraId="1F2882C6" w14:textId="261819AB" w:rsidR="000753D0" w:rsidRPr="007F0EC9" w:rsidRDefault="000753D0" w:rsidP="000753D0">
            <w:pPr>
              <w:jc w:val="center"/>
              <w:rPr>
                <w:color w:val="000000"/>
                <w:sz w:val="18"/>
                <w:szCs w:val="18"/>
              </w:rPr>
            </w:pPr>
            <w:r w:rsidRPr="007F0EC9">
              <w:rPr>
                <w:color w:val="000000"/>
                <w:sz w:val="18"/>
                <w:szCs w:val="18"/>
              </w:rPr>
              <w:t>282</w:t>
            </w:r>
          </w:p>
        </w:tc>
      </w:tr>
      <w:tr w:rsidR="000753D0" w:rsidRPr="008D54A5" w14:paraId="1B7ED5E2" w14:textId="77777777" w:rsidTr="0086435E">
        <w:trPr>
          <w:trHeight w:val="359"/>
        </w:trPr>
        <w:tc>
          <w:tcPr>
            <w:tcW w:w="1094" w:type="pct"/>
            <w:shd w:val="clear" w:color="auto" w:fill="auto"/>
            <w:vAlign w:val="center"/>
            <w:hideMark/>
          </w:tcPr>
          <w:p w14:paraId="21C48C8C" w14:textId="77777777" w:rsidR="000753D0" w:rsidRPr="008D54A5" w:rsidRDefault="000753D0" w:rsidP="000753D0">
            <w:pPr>
              <w:rPr>
                <w:color w:val="000000"/>
                <w:sz w:val="18"/>
                <w:szCs w:val="18"/>
              </w:rPr>
            </w:pPr>
            <w:r w:rsidRPr="008D54A5">
              <w:rPr>
                <w:color w:val="000000"/>
                <w:sz w:val="18"/>
                <w:szCs w:val="18"/>
              </w:rPr>
              <w:t>Other Emergency Room, With Surgery</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0C50A829" w14:textId="059D750A" w:rsidR="000753D0" w:rsidRPr="007F0EC9" w:rsidRDefault="000753D0" w:rsidP="000753D0">
            <w:pPr>
              <w:jc w:val="center"/>
              <w:rPr>
                <w:color w:val="000000"/>
                <w:sz w:val="18"/>
                <w:szCs w:val="18"/>
              </w:rPr>
            </w:pPr>
            <w:r w:rsidRPr="007F0EC9">
              <w:rPr>
                <w:color w:val="000000"/>
                <w:sz w:val="18"/>
                <w:szCs w:val="18"/>
              </w:rPr>
              <w:t>+ (3)</w:t>
            </w:r>
          </w:p>
        </w:tc>
        <w:tc>
          <w:tcPr>
            <w:tcW w:w="449" w:type="pct"/>
            <w:tcBorders>
              <w:top w:val="nil"/>
              <w:left w:val="nil"/>
              <w:bottom w:val="single" w:sz="4" w:space="0" w:color="auto"/>
              <w:right w:val="single" w:sz="4" w:space="0" w:color="auto"/>
            </w:tcBorders>
            <w:shd w:val="clear" w:color="auto" w:fill="auto"/>
            <w:vAlign w:val="bottom"/>
            <w:hideMark/>
          </w:tcPr>
          <w:p w14:paraId="0D4FE372" w14:textId="049FB1CA"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4CD548E1" w14:textId="7D744BD9"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2D59CFFB" w14:textId="718ED03F" w:rsidR="000753D0" w:rsidRPr="007F0EC9" w:rsidRDefault="000753D0" w:rsidP="000753D0">
            <w:pPr>
              <w:jc w:val="center"/>
              <w:rPr>
                <w:color w:val="000000"/>
                <w:sz w:val="18"/>
                <w:szCs w:val="18"/>
              </w:rPr>
            </w:pPr>
            <w:r w:rsidRPr="007F0EC9">
              <w:rPr>
                <w:color w:val="000000"/>
                <w:sz w:val="18"/>
                <w:szCs w:val="18"/>
              </w:rPr>
              <w:t>+ (3)</w:t>
            </w:r>
          </w:p>
        </w:tc>
        <w:tc>
          <w:tcPr>
            <w:tcW w:w="449" w:type="pct"/>
            <w:tcBorders>
              <w:top w:val="nil"/>
              <w:left w:val="nil"/>
              <w:bottom w:val="single" w:sz="4" w:space="0" w:color="auto"/>
              <w:right w:val="single" w:sz="4" w:space="0" w:color="auto"/>
            </w:tcBorders>
            <w:shd w:val="clear" w:color="auto" w:fill="auto"/>
            <w:vAlign w:val="bottom"/>
            <w:hideMark/>
          </w:tcPr>
          <w:p w14:paraId="698CADC4" w14:textId="0ED7EA04" w:rsidR="000753D0" w:rsidRPr="007F0EC9" w:rsidRDefault="000753D0" w:rsidP="000753D0">
            <w:pPr>
              <w:jc w:val="center"/>
              <w:rPr>
                <w:color w:val="000000"/>
                <w:sz w:val="18"/>
                <w:szCs w:val="18"/>
              </w:rPr>
            </w:pPr>
            <w:r w:rsidRPr="007F0EC9">
              <w:rPr>
                <w:color w:val="000000"/>
                <w:sz w:val="18"/>
                <w:szCs w:val="18"/>
              </w:rPr>
              <w:t>+ (8)</w:t>
            </w:r>
          </w:p>
        </w:tc>
        <w:tc>
          <w:tcPr>
            <w:tcW w:w="449" w:type="pct"/>
            <w:tcBorders>
              <w:top w:val="nil"/>
              <w:left w:val="nil"/>
              <w:bottom w:val="single" w:sz="4" w:space="0" w:color="auto"/>
              <w:right w:val="single" w:sz="4" w:space="0" w:color="auto"/>
            </w:tcBorders>
            <w:shd w:val="clear" w:color="auto" w:fill="auto"/>
            <w:vAlign w:val="bottom"/>
            <w:hideMark/>
          </w:tcPr>
          <w:p w14:paraId="54F33362" w14:textId="0C3948F0" w:rsidR="000753D0" w:rsidRPr="007F0EC9" w:rsidRDefault="000753D0" w:rsidP="000753D0">
            <w:pPr>
              <w:jc w:val="center"/>
              <w:rPr>
                <w:color w:val="000000"/>
                <w:sz w:val="18"/>
                <w:szCs w:val="18"/>
              </w:rPr>
            </w:pPr>
            <w:r w:rsidRPr="007F0EC9">
              <w:rPr>
                <w:color w:val="000000"/>
                <w:sz w:val="18"/>
                <w:szCs w:val="18"/>
              </w:rPr>
              <w:t>+ (34)</w:t>
            </w:r>
          </w:p>
        </w:tc>
        <w:tc>
          <w:tcPr>
            <w:tcW w:w="449" w:type="pct"/>
            <w:tcBorders>
              <w:top w:val="nil"/>
              <w:left w:val="nil"/>
              <w:bottom w:val="single" w:sz="4" w:space="0" w:color="auto"/>
              <w:right w:val="single" w:sz="4" w:space="0" w:color="auto"/>
            </w:tcBorders>
            <w:shd w:val="clear" w:color="auto" w:fill="auto"/>
            <w:vAlign w:val="bottom"/>
            <w:hideMark/>
          </w:tcPr>
          <w:p w14:paraId="1107281F" w14:textId="0CAFDC7B" w:rsidR="000753D0" w:rsidRPr="007F0EC9" w:rsidRDefault="000753D0" w:rsidP="000753D0">
            <w:pPr>
              <w:jc w:val="center"/>
              <w:rPr>
                <w:color w:val="000000"/>
                <w:sz w:val="18"/>
                <w:szCs w:val="18"/>
              </w:rPr>
            </w:pPr>
            <w:r w:rsidRPr="007F0EC9">
              <w:rPr>
                <w:color w:val="000000"/>
                <w:sz w:val="18"/>
                <w:szCs w:val="18"/>
              </w:rPr>
              <w:t>+ (115)</w:t>
            </w:r>
          </w:p>
        </w:tc>
        <w:tc>
          <w:tcPr>
            <w:tcW w:w="449" w:type="pct"/>
            <w:tcBorders>
              <w:top w:val="nil"/>
              <w:left w:val="nil"/>
              <w:bottom w:val="single" w:sz="4" w:space="0" w:color="auto"/>
              <w:right w:val="single" w:sz="4" w:space="0" w:color="auto"/>
            </w:tcBorders>
            <w:shd w:val="clear" w:color="auto" w:fill="auto"/>
            <w:vAlign w:val="bottom"/>
            <w:hideMark/>
          </w:tcPr>
          <w:p w14:paraId="5A9AE7DB" w14:textId="51AA247D" w:rsidR="000753D0" w:rsidRPr="007F0EC9" w:rsidRDefault="000753D0" w:rsidP="000753D0">
            <w:pPr>
              <w:jc w:val="center"/>
              <w:rPr>
                <w:color w:val="000000"/>
                <w:sz w:val="18"/>
                <w:szCs w:val="18"/>
              </w:rPr>
            </w:pPr>
            <w:r w:rsidRPr="007F0EC9">
              <w:rPr>
                <w:color w:val="000000"/>
                <w:sz w:val="18"/>
                <w:szCs w:val="18"/>
              </w:rPr>
              <w:t>+ (14)</w:t>
            </w:r>
          </w:p>
        </w:tc>
        <w:tc>
          <w:tcPr>
            <w:tcW w:w="314" w:type="pct"/>
            <w:tcBorders>
              <w:top w:val="nil"/>
              <w:left w:val="nil"/>
              <w:bottom w:val="single" w:sz="4" w:space="0" w:color="auto"/>
              <w:right w:val="single" w:sz="4" w:space="0" w:color="auto"/>
            </w:tcBorders>
            <w:shd w:val="clear" w:color="auto" w:fill="auto"/>
            <w:noWrap/>
            <w:vAlign w:val="bottom"/>
            <w:hideMark/>
          </w:tcPr>
          <w:p w14:paraId="03BD980D" w14:textId="0746A608" w:rsidR="000753D0" w:rsidRPr="007F0EC9" w:rsidRDefault="000753D0" w:rsidP="000753D0">
            <w:pPr>
              <w:jc w:val="center"/>
              <w:rPr>
                <w:color w:val="000000"/>
                <w:sz w:val="18"/>
                <w:szCs w:val="18"/>
              </w:rPr>
            </w:pPr>
            <w:r w:rsidRPr="007F0EC9">
              <w:rPr>
                <w:color w:val="000000"/>
                <w:sz w:val="18"/>
                <w:szCs w:val="18"/>
              </w:rPr>
              <w:t>177</w:t>
            </w:r>
          </w:p>
        </w:tc>
      </w:tr>
      <w:tr w:rsidR="000753D0" w:rsidRPr="008D54A5" w14:paraId="3389531A" w14:textId="77777777" w:rsidTr="0086435E">
        <w:trPr>
          <w:trHeight w:val="368"/>
        </w:trPr>
        <w:tc>
          <w:tcPr>
            <w:tcW w:w="1094" w:type="pct"/>
            <w:shd w:val="clear" w:color="auto" w:fill="auto"/>
            <w:vAlign w:val="center"/>
            <w:hideMark/>
          </w:tcPr>
          <w:p w14:paraId="6BE00A8D" w14:textId="77777777" w:rsidR="000753D0" w:rsidRPr="008D54A5" w:rsidRDefault="000753D0" w:rsidP="000753D0">
            <w:pPr>
              <w:rPr>
                <w:color w:val="000000"/>
                <w:sz w:val="18"/>
                <w:szCs w:val="18"/>
              </w:rPr>
            </w:pPr>
            <w:r w:rsidRPr="008D54A5">
              <w:rPr>
                <w:color w:val="000000"/>
                <w:sz w:val="18"/>
                <w:szCs w:val="18"/>
              </w:rPr>
              <w:t>Other Emergency Room, No Surgery</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0D01C00E" w14:textId="3C5C337C" w:rsidR="000753D0" w:rsidRPr="007F0EC9" w:rsidRDefault="000753D0" w:rsidP="000753D0">
            <w:pPr>
              <w:jc w:val="center"/>
              <w:rPr>
                <w:color w:val="000000"/>
                <w:sz w:val="18"/>
                <w:szCs w:val="18"/>
              </w:rPr>
            </w:pPr>
            <w:r w:rsidRPr="007F0EC9">
              <w:rPr>
                <w:color w:val="000000"/>
                <w:sz w:val="18"/>
                <w:szCs w:val="18"/>
              </w:rPr>
              <w:t>+ (8)</w:t>
            </w:r>
          </w:p>
        </w:tc>
        <w:tc>
          <w:tcPr>
            <w:tcW w:w="449" w:type="pct"/>
            <w:tcBorders>
              <w:top w:val="nil"/>
              <w:left w:val="nil"/>
              <w:bottom w:val="single" w:sz="4" w:space="0" w:color="auto"/>
              <w:right w:val="single" w:sz="4" w:space="0" w:color="auto"/>
            </w:tcBorders>
            <w:shd w:val="clear" w:color="auto" w:fill="auto"/>
            <w:vAlign w:val="bottom"/>
            <w:hideMark/>
          </w:tcPr>
          <w:p w14:paraId="1731A43E" w14:textId="382FE6D3"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6676991E" w14:textId="20B71122"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6EDCEF62" w14:textId="2A190F15" w:rsidR="000753D0" w:rsidRPr="007F0EC9" w:rsidRDefault="000753D0" w:rsidP="000753D0">
            <w:pPr>
              <w:jc w:val="center"/>
              <w:rPr>
                <w:color w:val="000000"/>
                <w:sz w:val="18"/>
                <w:szCs w:val="18"/>
              </w:rPr>
            </w:pPr>
            <w:r w:rsidRPr="007F0EC9">
              <w:rPr>
                <w:color w:val="000000"/>
                <w:sz w:val="18"/>
                <w:szCs w:val="18"/>
              </w:rPr>
              <w:t>+ (9)</w:t>
            </w:r>
          </w:p>
        </w:tc>
        <w:tc>
          <w:tcPr>
            <w:tcW w:w="449" w:type="pct"/>
            <w:tcBorders>
              <w:top w:val="nil"/>
              <w:left w:val="nil"/>
              <w:bottom w:val="single" w:sz="4" w:space="0" w:color="auto"/>
              <w:right w:val="single" w:sz="4" w:space="0" w:color="auto"/>
            </w:tcBorders>
            <w:shd w:val="clear" w:color="auto" w:fill="auto"/>
            <w:vAlign w:val="bottom"/>
            <w:hideMark/>
          </w:tcPr>
          <w:p w14:paraId="2CD87A7D" w14:textId="1E646848" w:rsidR="000753D0" w:rsidRPr="007F0EC9" w:rsidRDefault="000753D0" w:rsidP="000753D0">
            <w:pPr>
              <w:jc w:val="center"/>
              <w:rPr>
                <w:color w:val="000000"/>
                <w:sz w:val="18"/>
                <w:szCs w:val="18"/>
              </w:rPr>
            </w:pPr>
            <w:r w:rsidRPr="007F0EC9">
              <w:rPr>
                <w:color w:val="000000"/>
                <w:sz w:val="18"/>
                <w:szCs w:val="18"/>
              </w:rPr>
              <w:t>+ (122)</w:t>
            </w:r>
          </w:p>
        </w:tc>
        <w:tc>
          <w:tcPr>
            <w:tcW w:w="449" w:type="pct"/>
            <w:tcBorders>
              <w:top w:val="nil"/>
              <w:left w:val="nil"/>
              <w:bottom w:val="single" w:sz="4" w:space="0" w:color="auto"/>
              <w:right w:val="single" w:sz="4" w:space="0" w:color="auto"/>
            </w:tcBorders>
            <w:shd w:val="clear" w:color="auto" w:fill="auto"/>
            <w:vAlign w:val="bottom"/>
            <w:hideMark/>
          </w:tcPr>
          <w:p w14:paraId="07DFD8DE" w14:textId="0D0148DB" w:rsidR="000753D0" w:rsidRPr="007F0EC9" w:rsidRDefault="000753D0" w:rsidP="000753D0">
            <w:pPr>
              <w:jc w:val="center"/>
              <w:rPr>
                <w:color w:val="000000"/>
                <w:sz w:val="18"/>
                <w:szCs w:val="18"/>
              </w:rPr>
            </w:pPr>
            <w:r w:rsidRPr="007F0EC9">
              <w:rPr>
                <w:color w:val="000000"/>
                <w:sz w:val="18"/>
                <w:szCs w:val="18"/>
              </w:rPr>
              <w:t>+ (31)</w:t>
            </w:r>
          </w:p>
        </w:tc>
        <w:tc>
          <w:tcPr>
            <w:tcW w:w="449" w:type="pct"/>
            <w:tcBorders>
              <w:top w:val="nil"/>
              <w:left w:val="nil"/>
              <w:bottom w:val="single" w:sz="4" w:space="0" w:color="auto"/>
              <w:right w:val="single" w:sz="4" w:space="0" w:color="auto"/>
            </w:tcBorders>
            <w:shd w:val="clear" w:color="auto" w:fill="auto"/>
            <w:vAlign w:val="bottom"/>
            <w:hideMark/>
          </w:tcPr>
          <w:p w14:paraId="318F6CC1" w14:textId="0554C3F7" w:rsidR="000753D0" w:rsidRPr="007F0EC9" w:rsidRDefault="000753D0" w:rsidP="000753D0">
            <w:pPr>
              <w:jc w:val="center"/>
              <w:rPr>
                <w:color w:val="000000"/>
                <w:sz w:val="18"/>
                <w:szCs w:val="18"/>
              </w:rPr>
            </w:pPr>
            <w:r w:rsidRPr="007F0EC9">
              <w:rPr>
                <w:color w:val="000000"/>
                <w:sz w:val="18"/>
                <w:szCs w:val="18"/>
              </w:rPr>
              <w:t>+ (1426)</w:t>
            </w:r>
          </w:p>
        </w:tc>
        <w:tc>
          <w:tcPr>
            <w:tcW w:w="449" w:type="pct"/>
            <w:tcBorders>
              <w:top w:val="nil"/>
              <w:left w:val="nil"/>
              <w:bottom w:val="single" w:sz="4" w:space="0" w:color="auto"/>
              <w:right w:val="single" w:sz="4" w:space="0" w:color="auto"/>
            </w:tcBorders>
            <w:shd w:val="clear" w:color="auto" w:fill="auto"/>
            <w:vAlign w:val="bottom"/>
            <w:hideMark/>
          </w:tcPr>
          <w:p w14:paraId="664BF31D" w14:textId="1FEE9C5F" w:rsidR="000753D0" w:rsidRPr="007F0EC9" w:rsidRDefault="000753D0" w:rsidP="000753D0">
            <w:pPr>
              <w:jc w:val="center"/>
              <w:rPr>
                <w:color w:val="000000"/>
                <w:sz w:val="18"/>
                <w:szCs w:val="18"/>
              </w:rPr>
            </w:pPr>
            <w:r w:rsidRPr="007F0EC9">
              <w:rPr>
                <w:color w:val="000000"/>
                <w:sz w:val="18"/>
                <w:szCs w:val="18"/>
              </w:rPr>
              <w:t>+ (144)</w:t>
            </w:r>
          </w:p>
        </w:tc>
        <w:tc>
          <w:tcPr>
            <w:tcW w:w="314" w:type="pct"/>
            <w:tcBorders>
              <w:top w:val="nil"/>
              <w:left w:val="nil"/>
              <w:bottom w:val="single" w:sz="4" w:space="0" w:color="auto"/>
              <w:right w:val="single" w:sz="4" w:space="0" w:color="auto"/>
            </w:tcBorders>
            <w:shd w:val="clear" w:color="auto" w:fill="auto"/>
            <w:noWrap/>
            <w:vAlign w:val="bottom"/>
            <w:hideMark/>
          </w:tcPr>
          <w:p w14:paraId="0ABA98EC" w14:textId="1FF1A07C" w:rsidR="000753D0" w:rsidRPr="007F0EC9" w:rsidRDefault="000753D0" w:rsidP="000753D0">
            <w:pPr>
              <w:jc w:val="center"/>
              <w:rPr>
                <w:color w:val="000000"/>
                <w:sz w:val="18"/>
                <w:szCs w:val="18"/>
              </w:rPr>
            </w:pPr>
            <w:r w:rsidRPr="007F0EC9">
              <w:rPr>
                <w:color w:val="000000"/>
                <w:sz w:val="18"/>
                <w:szCs w:val="18"/>
              </w:rPr>
              <w:t>1,740</w:t>
            </w:r>
          </w:p>
        </w:tc>
      </w:tr>
      <w:tr w:rsidR="000753D0" w:rsidRPr="008D54A5" w14:paraId="5BF8F81C" w14:textId="77777777" w:rsidTr="0086435E">
        <w:trPr>
          <w:trHeight w:val="134"/>
        </w:trPr>
        <w:tc>
          <w:tcPr>
            <w:tcW w:w="1094" w:type="pct"/>
            <w:shd w:val="clear" w:color="auto" w:fill="auto"/>
            <w:vAlign w:val="bottom"/>
            <w:hideMark/>
          </w:tcPr>
          <w:p w14:paraId="3645DD38" w14:textId="77777777" w:rsidR="000753D0" w:rsidRPr="008D54A5" w:rsidRDefault="000753D0" w:rsidP="000753D0">
            <w:pPr>
              <w:rPr>
                <w:color w:val="000000"/>
                <w:sz w:val="18"/>
                <w:szCs w:val="18"/>
              </w:rPr>
            </w:pPr>
            <w:r w:rsidRPr="008D54A5">
              <w:rPr>
                <w:color w:val="000000"/>
                <w:sz w:val="18"/>
                <w:szCs w:val="18"/>
              </w:rPr>
              <w:t>Medical Visit</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31447FD7" w14:textId="13A682D3"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2BE9346C" w14:textId="75F5A0F5"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2C8CDA7E" w14:textId="6B2CBBB5" w:rsidR="000753D0" w:rsidRPr="007F0EC9" w:rsidRDefault="000753D0" w:rsidP="000753D0">
            <w:pPr>
              <w:jc w:val="center"/>
              <w:rPr>
                <w:color w:val="000000"/>
                <w:sz w:val="18"/>
                <w:szCs w:val="18"/>
              </w:rPr>
            </w:pPr>
            <w:r w:rsidRPr="007F0EC9">
              <w:rPr>
                <w:color w:val="000000"/>
                <w:sz w:val="18"/>
                <w:szCs w:val="18"/>
              </w:rPr>
              <w:t>X</w:t>
            </w:r>
          </w:p>
        </w:tc>
        <w:tc>
          <w:tcPr>
            <w:tcW w:w="449" w:type="pct"/>
            <w:tcBorders>
              <w:top w:val="nil"/>
              <w:left w:val="nil"/>
              <w:bottom w:val="single" w:sz="4" w:space="0" w:color="auto"/>
              <w:right w:val="single" w:sz="4" w:space="0" w:color="auto"/>
            </w:tcBorders>
            <w:shd w:val="clear" w:color="auto" w:fill="auto"/>
            <w:vAlign w:val="bottom"/>
            <w:hideMark/>
          </w:tcPr>
          <w:p w14:paraId="32A6E3A6" w14:textId="2E29ED64" w:rsidR="000753D0" w:rsidRPr="007F0EC9" w:rsidRDefault="000753D0" w:rsidP="000753D0">
            <w:pPr>
              <w:jc w:val="center"/>
              <w:rPr>
                <w:color w:val="000000"/>
                <w:sz w:val="18"/>
                <w:szCs w:val="18"/>
              </w:rPr>
            </w:pPr>
            <w:r w:rsidRPr="007F0EC9">
              <w:rPr>
                <w:color w:val="000000"/>
                <w:sz w:val="18"/>
                <w:szCs w:val="18"/>
              </w:rPr>
              <w:t>+ (67)</w:t>
            </w:r>
          </w:p>
        </w:tc>
        <w:tc>
          <w:tcPr>
            <w:tcW w:w="449" w:type="pct"/>
            <w:tcBorders>
              <w:top w:val="nil"/>
              <w:left w:val="nil"/>
              <w:bottom w:val="single" w:sz="4" w:space="0" w:color="auto"/>
              <w:right w:val="single" w:sz="4" w:space="0" w:color="auto"/>
            </w:tcBorders>
            <w:shd w:val="clear" w:color="auto" w:fill="auto"/>
            <w:vAlign w:val="bottom"/>
            <w:hideMark/>
          </w:tcPr>
          <w:p w14:paraId="477822E8" w14:textId="1984D8B1" w:rsidR="000753D0" w:rsidRPr="007F0EC9" w:rsidRDefault="000753D0" w:rsidP="000753D0">
            <w:pPr>
              <w:jc w:val="center"/>
              <w:rPr>
                <w:color w:val="000000"/>
                <w:sz w:val="18"/>
                <w:szCs w:val="18"/>
              </w:rPr>
            </w:pPr>
            <w:r w:rsidRPr="007F0EC9">
              <w:rPr>
                <w:color w:val="000000"/>
                <w:sz w:val="18"/>
                <w:szCs w:val="18"/>
              </w:rPr>
              <w:t>+ (322)</w:t>
            </w:r>
          </w:p>
        </w:tc>
        <w:tc>
          <w:tcPr>
            <w:tcW w:w="449" w:type="pct"/>
            <w:tcBorders>
              <w:top w:val="nil"/>
              <w:left w:val="nil"/>
              <w:bottom w:val="single" w:sz="4" w:space="0" w:color="auto"/>
              <w:right w:val="single" w:sz="4" w:space="0" w:color="auto"/>
            </w:tcBorders>
            <w:shd w:val="clear" w:color="auto" w:fill="auto"/>
            <w:vAlign w:val="bottom"/>
            <w:hideMark/>
          </w:tcPr>
          <w:p w14:paraId="66E002AF" w14:textId="1879BD18" w:rsidR="000753D0" w:rsidRPr="007F0EC9" w:rsidRDefault="000753D0" w:rsidP="000753D0">
            <w:pPr>
              <w:jc w:val="center"/>
              <w:rPr>
                <w:color w:val="000000"/>
                <w:sz w:val="18"/>
                <w:szCs w:val="18"/>
              </w:rPr>
            </w:pPr>
            <w:r w:rsidRPr="007F0EC9">
              <w:rPr>
                <w:color w:val="000000"/>
                <w:sz w:val="18"/>
                <w:szCs w:val="18"/>
              </w:rPr>
              <w:t>+ (3)</w:t>
            </w:r>
          </w:p>
        </w:tc>
        <w:tc>
          <w:tcPr>
            <w:tcW w:w="449" w:type="pct"/>
            <w:tcBorders>
              <w:top w:val="nil"/>
              <w:left w:val="nil"/>
              <w:bottom w:val="single" w:sz="4" w:space="0" w:color="auto"/>
              <w:right w:val="single" w:sz="4" w:space="0" w:color="auto"/>
            </w:tcBorders>
            <w:shd w:val="clear" w:color="auto" w:fill="auto"/>
            <w:vAlign w:val="bottom"/>
            <w:hideMark/>
          </w:tcPr>
          <w:p w14:paraId="3AD3DCB3" w14:textId="1157FD71" w:rsidR="000753D0" w:rsidRPr="007F0EC9" w:rsidRDefault="000753D0" w:rsidP="000753D0">
            <w:pPr>
              <w:jc w:val="center"/>
              <w:rPr>
                <w:color w:val="000000"/>
                <w:sz w:val="18"/>
                <w:szCs w:val="18"/>
              </w:rPr>
            </w:pPr>
            <w:r w:rsidRPr="007F0EC9">
              <w:rPr>
                <w:color w:val="000000"/>
                <w:sz w:val="18"/>
                <w:szCs w:val="18"/>
              </w:rPr>
              <w:t>+ (23)</w:t>
            </w:r>
          </w:p>
        </w:tc>
        <w:tc>
          <w:tcPr>
            <w:tcW w:w="449" w:type="pct"/>
            <w:tcBorders>
              <w:top w:val="nil"/>
              <w:left w:val="nil"/>
              <w:bottom w:val="single" w:sz="4" w:space="0" w:color="auto"/>
              <w:right w:val="single" w:sz="4" w:space="0" w:color="auto"/>
            </w:tcBorders>
            <w:shd w:val="clear" w:color="auto" w:fill="auto"/>
            <w:vAlign w:val="bottom"/>
            <w:hideMark/>
          </w:tcPr>
          <w:p w14:paraId="6CC692CB" w14:textId="77A2829B" w:rsidR="000753D0" w:rsidRPr="007F0EC9" w:rsidRDefault="000753D0" w:rsidP="000753D0">
            <w:pPr>
              <w:jc w:val="center"/>
              <w:rPr>
                <w:color w:val="000000"/>
                <w:sz w:val="18"/>
                <w:szCs w:val="18"/>
              </w:rPr>
            </w:pPr>
            <w:r w:rsidRPr="007F0EC9">
              <w:rPr>
                <w:color w:val="000000"/>
                <w:sz w:val="18"/>
                <w:szCs w:val="18"/>
              </w:rPr>
              <w:t>+ (22</w:t>
            </w:r>
            <w:r w:rsidR="0075008A" w:rsidRPr="007F0EC9">
              <w:rPr>
                <w:color w:val="000000"/>
                <w:sz w:val="18"/>
                <w:szCs w:val="18"/>
              </w:rPr>
              <w:t>,</w:t>
            </w:r>
            <w:r w:rsidRPr="007F0EC9">
              <w:rPr>
                <w:color w:val="000000"/>
                <w:sz w:val="18"/>
                <w:szCs w:val="18"/>
              </w:rPr>
              <w:t>787)</w:t>
            </w:r>
          </w:p>
        </w:tc>
        <w:tc>
          <w:tcPr>
            <w:tcW w:w="314" w:type="pct"/>
            <w:tcBorders>
              <w:top w:val="nil"/>
              <w:left w:val="nil"/>
              <w:bottom w:val="single" w:sz="4" w:space="0" w:color="auto"/>
              <w:right w:val="single" w:sz="4" w:space="0" w:color="auto"/>
            </w:tcBorders>
            <w:shd w:val="clear" w:color="auto" w:fill="auto"/>
            <w:noWrap/>
            <w:vAlign w:val="bottom"/>
            <w:hideMark/>
          </w:tcPr>
          <w:p w14:paraId="18FA78CC" w14:textId="30797B1B" w:rsidR="000753D0" w:rsidRPr="007F0EC9" w:rsidRDefault="000753D0" w:rsidP="000753D0">
            <w:pPr>
              <w:jc w:val="center"/>
              <w:rPr>
                <w:color w:val="000000"/>
                <w:sz w:val="18"/>
                <w:szCs w:val="18"/>
              </w:rPr>
            </w:pPr>
            <w:r w:rsidRPr="007F0EC9">
              <w:rPr>
                <w:color w:val="000000"/>
                <w:sz w:val="18"/>
                <w:szCs w:val="18"/>
              </w:rPr>
              <w:t>23,202</w:t>
            </w:r>
          </w:p>
        </w:tc>
      </w:tr>
      <w:tr w:rsidR="000753D0" w:rsidRPr="008D54A5" w14:paraId="029BA265" w14:textId="77777777" w:rsidTr="0086435E">
        <w:trPr>
          <w:trHeight w:val="90"/>
        </w:trPr>
        <w:tc>
          <w:tcPr>
            <w:tcW w:w="1094" w:type="pct"/>
            <w:shd w:val="clear" w:color="auto" w:fill="auto"/>
            <w:vAlign w:val="bottom"/>
            <w:hideMark/>
          </w:tcPr>
          <w:p w14:paraId="79532761" w14:textId="77777777" w:rsidR="000753D0" w:rsidRPr="008D54A5" w:rsidRDefault="000753D0" w:rsidP="000753D0">
            <w:pPr>
              <w:rPr>
                <w:color w:val="000000"/>
                <w:sz w:val="18"/>
                <w:szCs w:val="18"/>
              </w:rPr>
            </w:pPr>
            <w:r w:rsidRPr="008D54A5">
              <w:rPr>
                <w:color w:val="000000"/>
                <w:sz w:val="18"/>
                <w:szCs w:val="18"/>
              </w:rPr>
              <w:t>Total</w:t>
            </w:r>
          </w:p>
        </w:tc>
        <w:tc>
          <w:tcPr>
            <w:tcW w:w="449" w:type="pct"/>
            <w:tcBorders>
              <w:top w:val="nil"/>
              <w:left w:val="single" w:sz="4" w:space="0" w:color="auto"/>
              <w:bottom w:val="single" w:sz="4" w:space="0" w:color="auto"/>
              <w:right w:val="single" w:sz="4" w:space="0" w:color="auto"/>
            </w:tcBorders>
            <w:shd w:val="clear" w:color="auto" w:fill="auto"/>
            <w:vAlign w:val="bottom"/>
            <w:hideMark/>
          </w:tcPr>
          <w:p w14:paraId="061AB2F2" w14:textId="3F748BF5" w:rsidR="000753D0" w:rsidRPr="007F0EC9" w:rsidRDefault="000753D0" w:rsidP="000753D0">
            <w:pPr>
              <w:jc w:val="center"/>
              <w:rPr>
                <w:color w:val="000000"/>
                <w:sz w:val="18"/>
                <w:szCs w:val="18"/>
              </w:rPr>
            </w:pPr>
            <w:r w:rsidRPr="007F0EC9">
              <w:rPr>
                <w:color w:val="000000"/>
                <w:sz w:val="18"/>
                <w:szCs w:val="18"/>
              </w:rPr>
              <w:t>260</w:t>
            </w:r>
          </w:p>
        </w:tc>
        <w:tc>
          <w:tcPr>
            <w:tcW w:w="449" w:type="pct"/>
            <w:tcBorders>
              <w:top w:val="nil"/>
              <w:left w:val="nil"/>
              <w:bottom w:val="single" w:sz="4" w:space="0" w:color="auto"/>
              <w:right w:val="single" w:sz="4" w:space="0" w:color="auto"/>
            </w:tcBorders>
            <w:shd w:val="clear" w:color="auto" w:fill="auto"/>
            <w:vAlign w:val="bottom"/>
            <w:hideMark/>
          </w:tcPr>
          <w:p w14:paraId="494FA762" w14:textId="752A04FA" w:rsidR="000753D0" w:rsidRPr="007F0EC9" w:rsidRDefault="000753D0" w:rsidP="000753D0">
            <w:pPr>
              <w:jc w:val="center"/>
              <w:rPr>
                <w:color w:val="000000"/>
                <w:sz w:val="18"/>
                <w:szCs w:val="18"/>
              </w:rPr>
            </w:pPr>
            <w:r w:rsidRPr="007F0EC9">
              <w:rPr>
                <w:color w:val="000000"/>
                <w:sz w:val="18"/>
                <w:szCs w:val="18"/>
              </w:rPr>
              <w:t>207</w:t>
            </w:r>
          </w:p>
        </w:tc>
        <w:tc>
          <w:tcPr>
            <w:tcW w:w="449" w:type="pct"/>
            <w:tcBorders>
              <w:top w:val="nil"/>
              <w:left w:val="nil"/>
              <w:bottom w:val="single" w:sz="4" w:space="0" w:color="auto"/>
              <w:right w:val="single" w:sz="4" w:space="0" w:color="auto"/>
            </w:tcBorders>
            <w:shd w:val="clear" w:color="auto" w:fill="auto"/>
            <w:vAlign w:val="bottom"/>
            <w:hideMark/>
          </w:tcPr>
          <w:p w14:paraId="0FD540A8" w14:textId="680DD5E4" w:rsidR="000753D0" w:rsidRPr="007F0EC9" w:rsidRDefault="000753D0" w:rsidP="000753D0">
            <w:pPr>
              <w:jc w:val="center"/>
              <w:rPr>
                <w:color w:val="000000"/>
                <w:sz w:val="18"/>
                <w:szCs w:val="18"/>
              </w:rPr>
            </w:pPr>
            <w:r w:rsidRPr="007F0EC9">
              <w:rPr>
                <w:color w:val="000000"/>
                <w:sz w:val="18"/>
                <w:szCs w:val="18"/>
              </w:rPr>
              <w:t>605</w:t>
            </w:r>
          </w:p>
        </w:tc>
        <w:tc>
          <w:tcPr>
            <w:tcW w:w="449" w:type="pct"/>
            <w:tcBorders>
              <w:top w:val="nil"/>
              <w:left w:val="nil"/>
              <w:bottom w:val="single" w:sz="4" w:space="0" w:color="auto"/>
              <w:right w:val="single" w:sz="4" w:space="0" w:color="auto"/>
            </w:tcBorders>
            <w:shd w:val="clear" w:color="auto" w:fill="auto"/>
            <w:vAlign w:val="bottom"/>
            <w:hideMark/>
          </w:tcPr>
          <w:p w14:paraId="031E2FA6" w14:textId="75D37B65" w:rsidR="000753D0" w:rsidRPr="007F0EC9" w:rsidRDefault="000753D0" w:rsidP="000753D0">
            <w:pPr>
              <w:jc w:val="center"/>
              <w:rPr>
                <w:color w:val="000000"/>
                <w:sz w:val="18"/>
                <w:szCs w:val="18"/>
              </w:rPr>
            </w:pPr>
            <w:r w:rsidRPr="007F0EC9">
              <w:rPr>
                <w:color w:val="000000"/>
                <w:sz w:val="18"/>
                <w:szCs w:val="18"/>
              </w:rPr>
              <w:t>1,027</w:t>
            </w:r>
          </w:p>
        </w:tc>
        <w:tc>
          <w:tcPr>
            <w:tcW w:w="449" w:type="pct"/>
            <w:tcBorders>
              <w:top w:val="nil"/>
              <w:left w:val="nil"/>
              <w:bottom w:val="single" w:sz="4" w:space="0" w:color="auto"/>
              <w:right w:val="single" w:sz="4" w:space="0" w:color="auto"/>
            </w:tcBorders>
            <w:shd w:val="clear" w:color="auto" w:fill="auto"/>
            <w:vAlign w:val="bottom"/>
            <w:hideMark/>
          </w:tcPr>
          <w:p w14:paraId="381692C6" w14:textId="4D31BD4A" w:rsidR="000753D0" w:rsidRPr="007F0EC9" w:rsidRDefault="000753D0" w:rsidP="000753D0">
            <w:pPr>
              <w:jc w:val="center"/>
              <w:rPr>
                <w:color w:val="000000"/>
                <w:sz w:val="18"/>
                <w:szCs w:val="18"/>
              </w:rPr>
            </w:pPr>
            <w:r w:rsidRPr="007F0EC9">
              <w:rPr>
                <w:color w:val="000000"/>
                <w:sz w:val="18"/>
                <w:szCs w:val="18"/>
              </w:rPr>
              <w:t>10,153</w:t>
            </w:r>
          </w:p>
        </w:tc>
        <w:tc>
          <w:tcPr>
            <w:tcW w:w="449" w:type="pct"/>
            <w:tcBorders>
              <w:top w:val="nil"/>
              <w:left w:val="nil"/>
              <w:bottom w:val="single" w:sz="4" w:space="0" w:color="auto"/>
              <w:right w:val="single" w:sz="4" w:space="0" w:color="auto"/>
            </w:tcBorders>
            <w:shd w:val="clear" w:color="auto" w:fill="auto"/>
            <w:vAlign w:val="bottom"/>
            <w:hideMark/>
          </w:tcPr>
          <w:p w14:paraId="55099ADC" w14:textId="0837936E" w:rsidR="000753D0" w:rsidRPr="007F0EC9" w:rsidRDefault="000753D0" w:rsidP="000753D0">
            <w:pPr>
              <w:jc w:val="center"/>
              <w:rPr>
                <w:color w:val="000000"/>
                <w:sz w:val="18"/>
                <w:szCs w:val="18"/>
              </w:rPr>
            </w:pPr>
            <w:r w:rsidRPr="007F0EC9">
              <w:rPr>
                <w:color w:val="000000"/>
                <w:sz w:val="18"/>
                <w:szCs w:val="18"/>
              </w:rPr>
              <w:t>116</w:t>
            </w:r>
          </w:p>
        </w:tc>
        <w:tc>
          <w:tcPr>
            <w:tcW w:w="449" w:type="pct"/>
            <w:tcBorders>
              <w:top w:val="nil"/>
              <w:left w:val="nil"/>
              <w:bottom w:val="single" w:sz="4" w:space="0" w:color="auto"/>
              <w:right w:val="single" w:sz="4" w:space="0" w:color="auto"/>
            </w:tcBorders>
            <w:shd w:val="clear" w:color="auto" w:fill="auto"/>
            <w:vAlign w:val="bottom"/>
            <w:hideMark/>
          </w:tcPr>
          <w:p w14:paraId="6C86CE19" w14:textId="571FAABE" w:rsidR="000753D0" w:rsidRPr="007F0EC9" w:rsidRDefault="000753D0" w:rsidP="000753D0">
            <w:pPr>
              <w:jc w:val="center"/>
              <w:rPr>
                <w:color w:val="000000"/>
                <w:sz w:val="18"/>
                <w:szCs w:val="18"/>
              </w:rPr>
            </w:pPr>
            <w:r w:rsidRPr="007F0EC9">
              <w:rPr>
                <w:color w:val="000000"/>
                <w:sz w:val="18"/>
                <w:szCs w:val="18"/>
              </w:rPr>
              <w:t>2,314</w:t>
            </w:r>
          </w:p>
        </w:tc>
        <w:tc>
          <w:tcPr>
            <w:tcW w:w="449" w:type="pct"/>
            <w:tcBorders>
              <w:top w:val="nil"/>
              <w:left w:val="nil"/>
              <w:bottom w:val="single" w:sz="4" w:space="0" w:color="auto"/>
              <w:right w:val="single" w:sz="4" w:space="0" w:color="auto"/>
            </w:tcBorders>
            <w:shd w:val="clear" w:color="auto" w:fill="auto"/>
            <w:vAlign w:val="bottom"/>
            <w:hideMark/>
          </w:tcPr>
          <w:p w14:paraId="0A9D8FAB" w14:textId="74E6154F" w:rsidR="000753D0" w:rsidRPr="007F0EC9" w:rsidRDefault="000753D0" w:rsidP="000753D0">
            <w:pPr>
              <w:jc w:val="center"/>
              <w:rPr>
                <w:color w:val="000000"/>
                <w:sz w:val="18"/>
                <w:szCs w:val="18"/>
              </w:rPr>
            </w:pPr>
            <w:r w:rsidRPr="007F0EC9">
              <w:rPr>
                <w:color w:val="000000"/>
                <w:sz w:val="18"/>
                <w:szCs w:val="18"/>
              </w:rPr>
              <w:t>32,966</w:t>
            </w:r>
          </w:p>
        </w:tc>
        <w:tc>
          <w:tcPr>
            <w:tcW w:w="314" w:type="pct"/>
            <w:tcBorders>
              <w:top w:val="nil"/>
              <w:left w:val="nil"/>
              <w:bottom w:val="single" w:sz="4" w:space="0" w:color="auto"/>
              <w:right w:val="single" w:sz="4" w:space="0" w:color="auto"/>
            </w:tcBorders>
            <w:shd w:val="clear" w:color="auto" w:fill="auto"/>
            <w:noWrap/>
            <w:vAlign w:val="bottom"/>
            <w:hideMark/>
          </w:tcPr>
          <w:p w14:paraId="599D4CE4" w14:textId="39CC732F" w:rsidR="000753D0" w:rsidRPr="007F0EC9" w:rsidRDefault="000753D0" w:rsidP="000753D0">
            <w:pPr>
              <w:jc w:val="center"/>
              <w:rPr>
                <w:color w:val="000000"/>
                <w:sz w:val="18"/>
                <w:szCs w:val="18"/>
              </w:rPr>
            </w:pPr>
            <w:r w:rsidRPr="007F0EC9">
              <w:rPr>
                <w:color w:val="000000"/>
                <w:sz w:val="18"/>
                <w:szCs w:val="18"/>
              </w:rPr>
              <w:t>47,648</w:t>
            </w:r>
          </w:p>
        </w:tc>
      </w:tr>
    </w:tbl>
    <w:p w14:paraId="7A88315E" w14:textId="3C40B9FD" w:rsidR="002D4D78" w:rsidRPr="008D54A5" w:rsidRDefault="00F44F81" w:rsidP="002D4D78">
      <w:pPr>
        <w:pStyle w:val="Source-9-1"/>
      </w:pPr>
      <w:r w:rsidRPr="008D54A5">
        <w:t xml:space="preserve">ER = </w:t>
      </w:r>
      <w:r w:rsidR="00A210A5" w:rsidRPr="008D54A5">
        <w:t>emergency room</w:t>
      </w:r>
      <w:r w:rsidRPr="008D54A5">
        <w:t xml:space="preserve">; HC = </w:t>
      </w:r>
      <w:r w:rsidR="00BB6089" w:rsidRPr="008D54A5">
        <w:t>Household Component</w:t>
      </w:r>
      <w:r w:rsidRPr="008D54A5">
        <w:t xml:space="preserve">; HS = </w:t>
      </w:r>
      <w:r w:rsidR="00A210A5" w:rsidRPr="008D54A5">
        <w:t>hospital stay</w:t>
      </w:r>
      <w:r w:rsidRPr="008D54A5">
        <w:t xml:space="preserve">; MPC = </w:t>
      </w:r>
      <w:r w:rsidR="00BB6089" w:rsidRPr="008D54A5">
        <w:t>Medical Provider Component</w:t>
      </w:r>
      <w:r w:rsidRPr="008D54A5">
        <w:t xml:space="preserve">; MV = </w:t>
      </w:r>
      <w:r w:rsidR="00A210A5" w:rsidRPr="008D54A5">
        <w:t>medical visit</w:t>
      </w:r>
      <w:r w:rsidRPr="008D54A5">
        <w:t xml:space="preserve">; OP = </w:t>
      </w:r>
      <w:r w:rsidR="00A210A5" w:rsidRPr="008D54A5">
        <w:t>outpatient</w:t>
      </w:r>
      <w:r w:rsidR="002D4D78" w:rsidRPr="008D54A5">
        <w:t>.</w:t>
      </w:r>
    </w:p>
    <w:p w14:paraId="14E74685" w14:textId="0C754E7E" w:rsidR="00CD4699" w:rsidRPr="008D54A5" w:rsidRDefault="00995AAF" w:rsidP="008D4DAA">
      <w:pPr>
        <w:pStyle w:val="Source-9-1"/>
        <w:rPr>
          <w:sz w:val="24"/>
          <w:szCs w:val="24"/>
        </w:rPr>
      </w:pPr>
      <w:r w:rsidRPr="008D54A5">
        <w:t xml:space="preserve">Source: </w:t>
      </w:r>
      <w:r w:rsidR="000753D0" w:rsidRPr="008D54A5">
        <w:t xml:space="preserve">2022 </w:t>
      </w:r>
      <w:r w:rsidRPr="008D54A5">
        <w:t>Medical Expenditure Panel Survey – Medical Provider Component.</w:t>
      </w:r>
      <w:r w:rsidRPr="008D54A5">
        <w:br/>
        <w:t xml:space="preserve">Note: + = match </w:t>
      </w:r>
      <w:proofErr w:type="gramStart"/>
      <w:r w:rsidRPr="008D54A5">
        <w:t>allowed,</w:t>
      </w:r>
      <w:proofErr w:type="gramEnd"/>
      <w:r w:rsidRPr="008D54A5">
        <w:t xml:space="preserve"> X = match not allowed. </w:t>
      </w:r>
      <w:r w:rsidR="00CC0686" w:rsidRPr="008D54A5">
        <w:t>The number of events that matched is given in parentheses.</w:t>
      </w:r>
    </w:p>
    <w:p w14:paraId="17DA7175" w14:textId="77777777" w:rsidR="00245172" w:rsidRPr="008D54A5" w:rsidRDefault="00245172" w:rsidP="002D6031">
      <w:pPr>
        <w:pStyle w:val="BodyText"/>
        <w:spacing w:before="240"/>
      </w:pPr>
      <w:bookmarkStart w:id="496" w:name="_Hlk65062558"/>
    </w:p>
    <w:p w14:paraId="485B63AD" w14:textId="0B50E2C9" w:rsidR="00995AAF" w:rsidRPr="008D54A5" w:rsidRDefault="00995AAF" w:rsidP="00FD4A4F">
      <w:pPr>
        <w:pStyle w:val="ExhibitTitle"/>
      </w:pPr>
      <w:bookmarkStart w:id="497" w:name="_Toc128574202"/>
      <w:bookmarkStart w:id="498" w:name="_Toc188622357"/>
      <w:bookmarkEnd w:id="496"/>
      <w:r w:rsidRPr="00404E1F">
        <w:lastRenderedPageBreak/>
        <w:t>Exhibit </w:t>
      </w:r>
      <w:r w:rsidR="000F4D1A" w:rsidRPr="005D695D">
        <w:rPr>
          <w:noProof/>
        </w:rPr>
        <w:fldChar w:fldCharType="begin"/>
      </w:r>
      <w:r w:rsidR="000F4D1A" w:rsidRPr="008D54A5">
        <w:rPr>
          <w:noProof/>
        </w:rPr>
        <w:instrText xml:space="preserve"> STYLEREF 1 \s </w:instrText>
      </w:r>
      <w:r w:rsidR="000F4D1A" w:rsidRPr="005D695D">
        <w:rPr>
          <w:noProof/>
        </w:rPr>
        <w:fldChar w:fldCharType="separate"/>
      </w:r>
      <w:r w:rsidR="00EC2444" w:rsidRPr="008D54A5">
        <w:rPr>
          <w:noProof/>
        </w:rPr>
        <w:t>8</w:t>
      </w:r>
      <w:r w:rsidR="000F4D1A" w:rsidRPr="005D695D">
        <w:rPr>
          <w:noProof/>
        </w:rPr>
        <w:fldChar w:fldCharType="end"/>
      </w:r>
      <w:r w:rsidRPr="008D54A5">
        <w:t>.</w:t>
      </w:r>
      <w:r w:rsidR="000F4D1A" w:rsidRPr="005D695D">
        <w:rPr>
          <w:noProof/>
        </w:rPr>
        <w:fldChar w:fldCharType="begin"/>
      </w:r>
      <w:r w:rsidR="000F4D1A" w:rsidRPr="008D54A5">
        <w:rPr>
          <w:noProof/>
        </w:rPr>
        <w:instrText xml:space="preserve"> SEQ Exhibit \* ARABIC \s 1 </w:instrText>
      </w:r>
      <w:r w:rsidR="000F4D1A" w:rsidRPr="005D695D">
        <w:rPr>
          <w:noProof/>
        </w:rPr>
        <w:fldChar w:fldCharType="separate"/>
      </w:r>
      <w:r w:rsidR="00EC2444" w:rsidRPr="008D54A5">
        <w:rPr>
          <w:noProof/>
        </w:rPr>
        <w:t>8</w:t>
      </w:r>
      <w:r w:rsidR="000F4D1A" w:rsidRPr="005D695D">
        <w:rPr>
          <w:noProof/>
        </w:rPr>
        <w:fldChar w:fldCharType="end"/>
      </w:r>
      <w:r w:rsidRPr="008D54A5">
        <w:tab/>
        <w:t>MPC-HC Matches Allowed and Not Allowed at Pass 1.5</w:t>
      </w:r>
      <w:r w:rsidR="0031186A" w:rsidRPr="008D54A5">
        <w:t xml:space="preserve">, </w:t>
      </w:r>
      <w:r w:rsidR="002B2330" w:rsidRPr="008D54A5">
        <w:t>202</w:t>
      </w:r>
      <w:r w:rsidR="00FF13B4" w:rsidRPr="008D54A5">
        <w:t>2</w:t>
      </w:r>
      <w:bookmarkEnd w:id="497"/>
      <w:bookmarkEnd w:id="498"/>
      <w:r w:rsidRPr="008D54A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3"/>
        <w:gridCol w:w="1331"/>
        <w:gridCol w:w="1217"/>
        <w:gridCol w:w="1217"/>
        <w:gridCol w:w="1233"/>
        <w:gridCol w:w="1137"/>
        <w:gridCol w:w="1347"/>
        <w:gridCol w:w="1010"/>
        <w:gridCol w:w="1018"/>
        <w:gridCol w:w="777"/>
      </w:tblGrid>
      <w:tr w:rsidR="004B7B67" w:rsidRPr="008D54A5" w14:paraId="7C0A9DF4" w14:textId="77777777" w:rsidTr="004B7B67">
        <w:trPr>
          <w:trHeight w:val="300"/>
        </w:trPr>
        <w:tc>
          <w:tcPr>
            <w:tcW w:w="1028" w:type="pct"/>
            <w:vMerge w:val="restart"/>
            <w:shd w:val="clear" w:color="000000" w:fill="BFBFBF"/>
            <w:vAlign w:val="center"/>
            <w:hideMark/>
          </w:tcPr>
          <w:p w14:paraId="0E7DC6FE" w14:textId="77777777" w:rsidR="004B7B67" w:rsidRPr="008D54A5" w:rsidRDefault="004B7B67" w:rsidP="004B7B67">
            <w:pPr>
              <w:rPr>
                <w:b/>
                <w:bCs/>
                <w:color w:val="000000"/>
                <w:sz w:val="18"/>
                <w:szCs w:val="18"/>
              </w:rPr>
            </w:pPr>
            <w:r w:rsidRPr="008D54A5">
              <w:rPr>
                <w:b/>
                <w:bCs/>
                <w:color w:val="000000"/>
                <w:sz w:val="18"/>
                <w:szCs w:val="18"/>
              </w:rPr>
              <w:t>MPC Classification</w:t>
            </w:r>
          </w:p>
        </w:tc>
        <w:tc>
          <w:tcPr>
            <w:tcW w:w="3972" w:type="pct"/>
            <w:gridSpan w:val="9"/>
            <w:shd w:val="clear" w:color="000000" w:fill="BFBFBF"/>
            <w:vAlign w:val="center"/>
            <w:hideMark/>
          </w:tcPr>
          <w:p w14:paraId="0A47B580" w14:textId="77777777" w:rsidR="004B7B67" w:rsidRPr="008D54A5" w:rsidRDefault="004B7B67" w:rsidP="004B7B67">
            <w:pPr>
              <w:jc w:val="center"/>
              <w:rPr>
                <w:b/>
                <w:bCs/>
                <w:color w:val="000000"/>
                <w:sz w:val="18"/>
                <w:szCs w:val="18"/>
              </w:rPr>
            </w:pPr>
            <w:r w:rsidRPr="008D54A5">
              <w:rPr>
                <w:b/>
                <w:bCs/>
                <w:color w:val="000000"/>
                <w:sz w:val="18"/>
                <w:szCs w:val="18"/>
              </w:rPr>
              <w:t>HC Classification</w:t>
            </w:r>
          </w:p>
        </w:tc>
      </w:tr>
      <w:tr w:rsidR="004B7B67" w:rsidRPr="008D54A5" w14:paraId="3EE95D77" w14:textId="77777777" w:rsidTr="00CE3D1D">
        <w:trPr>
          <w:trHeight w:val="422"/>
        </w:trPr>
        <w:tc>
          <w:tcPr>
            <w:tcW w:w="1028" w:type="pct"/>
            <w:vMerge/>
            <w:vAlign w:val="center"/>
            <w:hideMark/>
          </w:tcPr>
          <w:p w14:paraId="3E5A8B28" w14:textId="77777777" w:rsidR="004B7B67" w:rsidRPr="008D54A5" w:rsidRDefault="004B7B67" w:rsidP="004B7B67">
            <w:pPr>
              <w:rPr>
                <w:b/>
                <w:bCs/>
                <w:color w:val="000000"/>
                <w:sz w:val="18"/>
                <w:szCs w:val="18"/>
              </w:rPr>
            </w:pPr>
          </w:p>
        </w:tc>
        <w:tc>
          <w:tcPr>
            <w:tcW w:w="514" w:type="pct"/>
            <w:shd w:val="clear" w:color="000000" w:fill="BFBFBF"/>
            <w:vAlign w:val="center"/>
            <w:hideMark/>
          </w:tcPr>
          <w:p w14:paraId="32995E91" w14:textId="77777777" w:rsidR="004B7B67" w:rsidRPr="008D54A5" w:rsidRDefault="004B7B67" w:rsidP="004B7B67">
            <w:pPr>
              <w:jc w:val="center"/>
              <w:rPr>
                <w:b/>
                <w:bCs/>
                <w:color w:val="000000"/>
                <w:sz w:val="18"/>
                <w:szCs w:val="18"/>
              </w:rPr>
            </w:pPr>
            <w:r w:rsidRPr="008D54A5">
              <w:rPr>
                <w:b/>
                <w:bCs/>
                <w:color w:val="000000"/>
                <w:sz w:val="18"/>
                <w:szCs w:val="18"/>
              </w:rPr>
              <w:t>HS, 0, 1 Night</w:t>
            </w:r>
          </w:p>
        </w:tc>
        <w:tc>
          <w:tcPr>
            <w:tcW w:w="470" w:type="pct"/>
            <w:shd w:val="clear" w:color="000000" w:fill="BFBFBF"/>
            <w:vAlign w:val="center"/>
            <w:hideMark/>
          </w:tcPr>
          <w:p w14:paraId="40CD9CC5" w14:textId="77777777" w:rsidR="004B7B67" w:rsidRPr="008D54A5" w:rsidRDefault="004B7B67" w:rsidP="004B7B67">
            <w:pPr>
              <w:jc w:val="center"/>
              <w:rPr>
                <w:b/>
                <w:bCs/>
                <w:color w:val="000000"/>
                <w:sz w:val="18"/>
                <w:szCs w:val="18"/>
              </w:rPr>
            </w:pPr>
            <w:r w:rsidRPr="008D54A5">
              <w:rPr>
                <w:b/>
                <w:bCs/>
                <w:color w:val="000000"/>
                <w:sz w:val="18"/>
                <w:szCs w:val="18"/>
              </w:rPr>
              <w:t>HS, 2 Nights</w:t>
            </w:r>
          </w:p>
        </w:tc>
        <w:tc>
          <w:tcPr>
            <w:tcW w:w="470" w:type="pct"/>
            <w:shd w:val="clear" w:color="000000" w:fill="BFBFBF"/>
            <w:vAlign w:val="center"/>
            <w:hideMark/>
          </w:tcPr>
          <w:p w14:paraId="2B03FEF8" w14:textId="77777777" w:rsidR="004B7B67" w:rsidRPr="008D54A5" w:rsidRDefault="004B7B67" w:rsidP="004B7B67">
            <w:pPr>
              <w:jc w:val="center"/>
              <w:rPr>
                <w:b/>
                <w:bCs/>
                <w:color w:val="000000"/>
                <w:sz w:val="18"/>
                <w:szCs w:val="18"/>
              </w:rPr>
            </w:pPr>
            <w:r w:rsidRPr="008D54A5">
              <w:rPr>
                <w:b/>
                <w:bCs/>
                <w:color w:val="000000"/>
                <w:sz w:val="18"/>
                <w:szCs w:val="18"/>
              </w:rPr>
              <w:t>HS, 3 Nights</w:t>
            </w:r>
          </w:p>
        </w:tc>
        <w:tc>
          <w:tcPr>
            <w:tcW w:w="476" w:type="pct"/>
            <w:shd w:val="clear" w:color="000000" w:fill="BFBFBF"/>
            <w:vAlign w:val="center"/>
            <w:hideMark/>
          </w:tcPr>
          <w:p w14:paraId="53593BEC" w14:textId="77777777" w:rsidR="004B7B67" w:rsidRPr="008D54A5" w:rsidRDefault="004B7B67" w:rsidP="004B7B67">
            <w:pPr>
              <w:jc w:val="center"/>
              <w:rPr>
                <w:b/>
                <w:bCs/>
                <w:color w:val="000000"/>
                <w:sz w:val="18"/>
                <w:szCs w:val="18"/>
              </w:rPr>
            </w:pPr>
            <w:r w:rsidRPr="008D54A5">
              <w:rPr>
                <w:b/>
                <w:bCs/>
                <w:color w:val="000000"/>
                <w:sz w:val="18"/>
                <w:szCs w:val="18"/>
              </w:rPr>
              <w:t>OP, With Surgery</w:t>
            </w:r>
          </w:p>
        </w:tc>
        <w:tc>
          <w:tcPr>
            <w:tcW w:w="439" w:type="pct"/>
            <w:shd w:val="clear" w:color="000000" w:fill="BFBFBF"/>
            <w:vAlign w:val="center"/>
            <w:hideMark/>
          </w:tcPr>
          <w:p w14:paraId="215C9FAF" w14:textId="77777777" w:rsidR="004B7B67" w:rsidRPr="008D54A5" w:rsidRDefault="004B7B67" w:rsidP="004B7B67">
            <w:pPr>
              <w:jc w:val="center"/>
              <w:rPr>
                <w:b/>
                <w:bCs/>
                <w:color w:val="000000"/>
                <w:sz w:val="18"/>
                <w:szCs w:val="18"/>
              </w:rPr>
            </w:pPr>
            <w:r w:rsidRPr="008D54A5">
              <w:rPr>
                <w:b/>
                <w:bCs/>
                <w:color w:val="000000"/>
                <w:sz w:val="18"/>
                <w:szCs w:val="18"/>
              </w:rPr>
              <w:t>OP, No Surgery</w:t>
            </w:r>
          </w:p>
        </w:tc>
        <w:tc>
          <w:tcPr>
            <w:tcW w:w="520" w:type="pct"/>
            <w:shd w:val="clear" w:color="000000" w:fill="BFBFBF"/>
            <w:vAlign w:val="center"/>
            <w:hideMark/>
          </w:tcPr>
          <w:p w14:paraId="7966B2F8" w14:textId="77777777" w:rsidR="004B7B67" w:rsidRPr="008D54A5" w:rsidRDefault="004B7B67" w:rsidP="004B7B67">
            <w:pPr>
              <w:jc w:val="center"/>
              <w:rPr>
                <w:b/>
                <w:bCs/>
                <w:color w:val="000000"/>
                <w:sz w:val="18"/>
                <w:szCs w:val="18"/>
              </w:rPr>
            </w:pPr>
            <w:r w:rsidRPr="008D54A5">
              <w:rPr>
                <w:b/>
                <w:bCs/>
                <w:color w:val="000000"/>
                <w:sz w:val="18"/>
                <w:szCs w:val="18"/>
              </w:rPr>
              <w:t>ER, With Surgery</w:t>
            </w:r>
          </w:p>
        </w:tc>
        <w:tc>
          <w:tcPr>
            <w:tcW w:w="390" w:type="pct"/>
            <w:shd w:val="clear" w:color="000000" w:fill="BFBFBF"/>
            <w:vAlign w:val="center"/>
            <w:hideMark/>
          </w:tcPr>
          <w:p w14:paraId="73ECCF59" w14:textId="77777777" w:rsidR="004B7B67" w:rsidRPr="008D54A5" w:rsidRDefault="004B7B67" w:rsidP="004B7B67">
            <w:pPr>
              <w:jc w:val="center"/>
              <w:rPr>
                <w:b/>
                <w:bCs/>
                <w:color w:val="000000"/>
                <w:sz w:val="18"/>
                <w:szCs w:val="18"/>
              </w:rPr>
            </w:pPr>
            <w:r w:rsidRPr="008D54A5">
              <w:rPr>
                <w:b/>
                <w:bCs/>
                <w:color w:val="000000"/>
                <w:sz w:val="18"/>
                <w:szCs w:val="18"/>
              </w:rPr>
              <w:t>ER, No Surgery</w:t>
            </w:r>
          </w:p>
        </w:tc>
        <w:tc>
          <w:tcPr>
            <w:tcW w:w="393" w:type="pct"/>
            <w:shd w:val="clear" w:color="000000" w:fill="BFBFBF"/>
            <w:vAlign w:val="center"/>
            <w:hideMark/>
          </w:tcPr>
          <w:p w14:paraId="5EDB81E4" w14:textId="77777777" w:rsidR="004B7B67" w:rsidRPr="008D54A5" w:rsidRDefault="004B7B67" w:rsidP="004B7B67">
            <w:pPr>
              <w:jc w:val="center"/>
              <w:rPr>
                <w:b/>
                <w:bCs/>
                <w:color w:val="000000"/>
                <w:sz w:val="18"/>
                <w:szCs w:val="18"/>
              </w:rPr>
            </w:pPr>
            <w:r w:rsidRPr="008D54A5">
              <w:rPr>
                <w:b/>
                <w:bCs/>
                <w:color w:val="000000"/>
                <w:sz w:val="18"/>
                <w:szCs w:val="18"/>
              </w:rPr>
              <w:t>MV</w:t>
            </w:r>
          </w:p>
        </w:tc>
        <w:tc>
          <w:tcPr>
            <w:tcW w:w="300" w:type="pct"/>
            <w:shd w:val="clear" w:color="000000" w:fill="BFBFBF"/>
            <w:vAlign w:val="center"/>
            <w:hideMark/>
          </w:tcPr>
          <w:p w14:paraId="2612EBB6" w14:textId="77777777" w:rsidR="004B7B67" w:rsidRPr="008D54A5" w:rsidRDefault="004B7B67" w:rsidP="004B7B67">
            <w:pPr>
              <w:jc w:val="center"/>
              <w:rPr>
                <w:b/>
                <w:bCs/>
                <w:color w:val="000000"/>
                <w:sz w:val="18"/>
                <w:szCs w:val="18"/>
              </w:rPr>
            </w:pPr>
            <w:r w:rsidRPr="008D54A5">
              <w:rPr>
                <w:b/>
                <w:bCs/>
                <w:color w:val="000000"/>
                <w:sz w:val="18"/>
                <w:szCs w:val="18"/>
              </w:rPr>
              <w:t>Total</w:t>
            </w:r>
          </w:p>
        </w:tc>
      </w:tr>
      <w:tr w:rsidR="000753D0" w:rsidRPr="008D54A5" w14:paraId="11304EF2" w14:textId="77777777" w:rsidTr="002767FE">
        <w:trPr>
          <w:trHeight w:val="170"/>
        </w:trPr>
        <w:tc>
          <w:tcPr>
            <w:tcW w:w="1028" w:type="pct"/>
            <w:shd w:val="clear" w:color="auto" w:fill="auto"/>
            <w:vAlign w:val="bottom"/>
            <w:hideMark/>
          </w:tcPr>
          <w:p w14:paraId="19B3687D" w14:textId="77777777" w:rsidR="000753D0" w:rsidRPr="008D54A5" w:rsidRDefault="000753D0" w:rsidP="000753D0">
            <w:pPr>
              <w:rPr>
                <w:color w:val="000000"/>
                <w:sz w:val="18"/>
                <w:szCs w:val="18"/>
              </w:rPr>
            </w:pPr>
            <w:r w:rsidRPr="008D54A5">
              <w:rPr>
                <w:color w:val="000000"/>
                <w:sz w:val="18"/>
                <w:szCs w:val="18"/>
              </w:rPr>
              <w:t>Hospital Stay, 0, 1 Night</w:t>
            </w:r>
          </w:p>
        </w:tc>
        <w:tc>
          <w:tcPr>
            <w:tcW w:w="5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2BC371D" w14:textId="768E8D79" w:rsidR="000753D0" w:rsidRPr="007F0EC9" w:rsidRDefault="000753D0" w:rsidP="000753D0">
            <w:pPr>
              <w:jc w:val="center"/>
              <w:rPr>
                <w:color w:val="000000"/>
                <w:sz w:val="18"/>
                <w:szCs w:val="18"/>
              </w:rPr>
            </w:pPr>
            <w:r w:rsidRPr="007F0EC9">
              <w:rPr>
                <w:color w:val="000000"/>
                <w:sz w:val="18"/>
                <w:szCs w:val="18"/>
              </w:rPr>
              <w:t>+ (0)</w:t>
            </w:r>
          </w:p>
        </w:tc>
        <w:tc>
          <w:tcPr>
            <w:tcW w:w="470" w:type="pct"/>
            <w:tcBorders>
              <w:top w:val="single" w:sz="4" w:space="0" w:color="auto"/>
              <w:left w:val="nil"/>
              <w:bottom w:val="single" w:sz="4" w:space="0" w:color="auto"/>
              <w:right w:val="single" w:sz="4" w:space="0" w:color="auto"/>
            </w:tcBorders>
            <w:shd w:val="clear" w:color="auto" w:fill="auto"/>
            <w:vAlign w:val="bottom"/>
            <w:hideMark/>
          </w:tcPr>
          <w:p w14:paraId="599B13BF" w14:textId="55D649A0" w:rsidR="000753D0" w:rsidRPr="007F0EC9" w:rsidRDefault="000753D0" w:rsidP="000753D0">
            <w:pPr>
              <w:jc w:val="center"/>
              <w:rPr>
                <w:color w:val="000000"/>
                <w:sz w:val="18"/>
                <w:szCs w:val="18"/>
              </w:rPr>
            </w:pPr>
            <w:r w:rsidRPr="007F0EC9">
              <w:rPr>
                <w:color w:val="000000"/>
                <w:sz w:val="18"/>
                <w:szCs w:val="18"/>
              </w:rPr>
              <w:t>+ (0)</w:t>
            </w:r>
          </w:p>
        </w:tc>
        <w:tc>
          <w:tcPr>
            <w:tcW w:w="470" w:type="pct"/>
            <w:tcBorders>
              <w:top w:val="single" w:sz="4" w:space="0" w:color="auto"/>
              <w:left w:val="nil"/>
              <w:bottom w:val="single" w:sz="4" w:space="0" w:color="auto"/>
              <w:right w:val="single" w:sz="4" w:space="0" w:color="auto"/>
            </w:tcBorders>
            <w:shd w:val="clear" w:color="auto" w:fill="auto"/>
            <w:vAlign w:val="bottom"/>
            <w:hideMark/>
          </w:tcPr>
          <w:p w14:paraId="2D5179C7" w14:textId="18D363E8" w:rsidR="000753D0" w:rsidRPr="007F0EC9" w:rsidRDefault="000753D0" w:rsidP="000753D0">
            <w:pPr>
              <w:jc w:val="center"/>
              <w:rPr>
                <w:color w:val="000000"/>
                <w:sz w:val="18"/>
                <w:szCs w:val="18"/>
              </w:rPr>
            </w:pPr>
            <w:r w:rsidRPr="007F0EC9">
              <w:rPr>
                <w:color w:val="000000"/>
                <w:sz w:val="18"/>
                <w:szCs w:val="18"/>
              </w:rPr>
              <w:t>+ (1)</w:t>
            </w:r>
          </w:p>
        </w:tc>
        <w:tc>
          <w:tcPr>
            <w:tcW w:w="476" w:type="pct"/>
            <w:tcBorders>
              <w:top w:val="single" w:sz="4" w:space="0" w:color="auto"/>
              <w:left w:val="nil"/>
              <w:bottom w:val="single" w:sz="4" w:space="0" w:color="auto"/>
              <w:right w:val="single" w:sz="4" w:space="0" w:color="auto"/>
            </w:tcBorders>
            <w:shd w:val="clear" w:color="auto" w:fill="auto"/>
            <w:vAlign w:val="bottom"/>
            <w:hideMark/>
          </w:tcPr>
          <w:p w14:paraId="29B996A5" w14:textId="00AC7A86"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single" w:sz="4" w:space="0" w:color="auto"/>
              <w:left w:val="nil"/>
              <w:bottom w:val="single" w:sz="4" w:space="0" w:color="auto"/>
              <w:right w:val="single" w:sz="4" w:space="0" w:color="auto"/>
            </w:tcBorders>
            <w:shd w:val="clear" w:color="auto" w:fill="auto"/>
            <w:vAlign w:val="bottom"/>
            <w:hideMark/>
          </w:tcPr>
          <w:p w14:paraId="4FD4F921" w14:textId="73E525D7"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single" w:sz="4" w:space="0" w:color="auto"/>
              <w:left w:val="nil"/>
              <w:bottom w:val="single" w:sz="4" w:space="0" w:color="auto"/>
              <w:right w:val="single" w:sz="4" w:space="0" w:color="auto"/>
            </w:tcBorders>
            <w:shd w:val="clear" w:color="auto" w:fill="auto"/>
            <w:vAlign w:val="bottom"/>
            <w:hideMark/>
          </w:tcPr>
          <w:p w14:paraId="386641E1" w14:textId="38E9AE08"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single" w:sz="4" w:space="0" w:color="auto"/>
              <w:left w:val="nil"/>
              <w:bottom w:val="single" w:sz="4" w:space="0" w:color="auto"/>
              <w:right w:val="single" w:sz="4" w:space="0" w:color="auto"/>
            </w:tcBorders>
            <w:shd w:val="clear" w:color="auto" w:fill="auto"/>
            <w:vAlign w:val="bottom"/>
            <w:hideMark/>
          </w:tcPr>
          <w:p w14:paraId="45FA14E0" w14:textId="77C630C2" w:rsidR="000753D0" w:rsidRPr="007F0EC9" w:rsidRDefault="000753D0" w:rsidP="000753D0">
            <w:pPr>
              <w:jc w:val="center"/>
              <w:rPr>
                <w:color w:val="000000"/>
                <w:sz w:val="18"/>
                <w:szCs w:val="18"/>
              </w:rPr>
            </w:pPr>
            <w:r w:rsidRPr="007F0EC9">
              <w:rPr>
                <w:color w:val="000000"/>
                <w:sz w:val="18"/>
                <w:szCs w:val="18"/>
              </w:rPr>
              <w:t>X</w:t>
            </w:r>
          </w:p>
        </w:tc>
        <w:tc>
          <w:tcPr>
            <w:tcW w:w="393" w:type="pct"/>
            <w:tcBorders>
              <w:top w:val="single" w:sz="4" w:space="0" w:color="auto"/>
              <w:left w:val="nil"/>
              <w:bottom w:val="single" w:sz="4" w:space="0" w:color="auto"/>
              <w:right w:val="single" w:sz="4" w:space="0" w:color="auto"/>
            </w:tcBorders>
            <w:shd w:val="clear" w:color="auto" w:fill="auto"/>
            <w:vAlign w:val="bottom"/>
            <w:hideMark/>
          </w:tcPr>
          <w:p w14:paraId="25FFC1CC" w14:textId="09498A1A"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single" w:sz="4" w:space="0" w:color="auto"/>
              <w:left w:val="nil"/>
              <w:bottom w:val="single" w:sz="4" w:space="0" w:color="auto"/>
              <w:right w:val="single" w:sz="4" w:space="0" w:color="auto"/>
            </w:tcBorders>
            <w:shd w:val="clear" w:color="auto" w:fill="auto"/>
            <w:noWrap/>
            <w:vAlign w:val="bottom"/>
            <w:hideMark/>
          </w:tcPr>
          <w:p w14:paraId="5FBA8294" w14:textId="6543B23A" w:rsidR="000753D0" w:rsidRPr="007F0EC9" w:rsidRDefault="000753D0" w:rsidP="000753D0">
            <w:pPr>
              <w:jc w:val="center"/>
              <w:rPr>
                <w:color w:val="000000"/>
                <w:sz w:val="18"/>
                <w:szCs w:val="18"/>
              </w:rPr>
            </w:pPr>
            <w:r w:rsidRPr="007F0EC9">
              <w:rPr>
                <w:color w:val="000000"/>
                <w:sz w:val="18"/>
                <w:szCs w:val="18"/>
              </w:rPr>
              <w:t>1</w:t>
            </w:r>
          </w:p>
        </w:tc>
      </w:tr>
      <w:tr w:rsidR="000753D0" w:rsidRPr="008D54A5" w14:paraId="2A0E7FD4" w14:textId="77777777" w:rsidTr="002767FE">
        <w:trPr>
          <w:trHeight w:val="134"/>
        </w:trPr>
        <w:tc>
          <w:tcPr>
            <w:tcW w:w="1028" w:type="pct"/>
            <w:shd w:val="clear" w:color="auto" w:fill="auto"/>
            <w:vAlign w:val="bottom"/>
            <w:hideMark/>
          </w:tcPr>
          <w:p w14:paraId="055151F7" w14:textId="77777777" w:rsidR="000753D0" w:rsidRPr="008D54A5" w:rsidRDefault="000753D0" w:rsidP="000753D0">
            <w:pPr>
              <w:rPr>
                <w:color w:val="000000"/>
                <w:sz w:val="18"/>
                <w:szCs w:val="18"/>
              </w:rPr>
            </w:pPr>
            <w:r w:rsidRPr="008D54A5">
              <w:rPr>
                <w:color w:val="000000"/>
                <w:sz w:val="18"/>
                <w:szCs w:val="18"/>
              </w:rPr>
              <w:t>Hospital Stay, 2 Nights</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1BC21F1D" w14:textId="71195068" w:rsidR="000753D0" w:rsidRPr="007F0EC9" w:rsidRDefault="000753D0" w:rsidP="000753D0">
            <w:pPr>
              <w:jc w:val="center"/>
              <w:rPr>
                <w:color w:val="000000"/>
                <w:sz w:val="18"/>
                <w:szCs w:val="18"/>
              </w:rPr>
            </w:pPr>
            <w:r w:rsidRPr="007F0EC9">
              <w:rPr>
                <w:color w:val="000000"/>
                <w:sz w:val="18"/>
                <w:szCs w:val="18"/>
              </w:rPr>
              <w:t>+ (0)</w:t>
            </w:r>
          </w:p>
        </w:tc>
        <w:tc>
          <w:tcPr>
            <w:tcW w:w="470" w:type="pct"/>
            <w:tcBorders>
              <w:top w:val="nil"/>
              <w:left w:val="nil"/>
              <w:bottom w:val="single" w:sz="4" w:space="0" w:color="auto"/>
              <w:right w:val="single" w:sz="4" w:space="0" w:color="auto"/>
            </w:tcBorders>
            <w:shd w:val="clear" w:color="auto" w:fill="auto"/>
            <w:vAlign w:val="bottom"/>
            <w:hideMark/>
          </w:tcPr>
          <w:p w14:paraId="01305FB9" w14:textId="732E90DA" w:rsidR="000753D0" w:rsidRPr="007F0EC9" w:rsidRDefault="000753D0" w:rsidP="000753D0">
            <w:pPr>
              <w:jc w:val="center"/>
              <w:rPr>
                <w:color w:val="000000"/>
                <w:sz w:val="18"/>
                <w:szCs w:val="18"/>
              </w:rPr>
            </w:pPr>
            <w:r w:rsidRPr="007F0EC9">
              <w:rPr>
                <w:color w:val="000000"/>
                <w:sz w:val="18"/>
                <w:szCs w:val="18"/>
              </w:rPr>
              <w:t>+ (3)</w:t>
            </w:r>
          </w:p>
        </w:tc>
        <w:tc>
          <w:tcPr>
            <w:tcW w:w="470" w:type="pct"/>
            <w:tcBorders>
              <w:top w:val="nil"/>
              <w:left w:val="nil"/>
              <w:bottom w:val="single" w:sz="4" w:space="0" w:color="auto"/>
              <w:right w:val="single" w:sz="4" w:space="0" w:color="auto"/>
            </w:tcBorders>
            <w:shd w:val="clear" w:color="auto" w:fill="auto"/>
            <w:vAlign w:val="bottom"/>
            <w:hideMark/>
          </w:tcPr>
          <w:p w14:paraId="37D4FAEC" w14:textId="5C77EAC3" w:rsidR="000753D0" w:rsidRPr="007F0EC9" w:rsidRDefault="000753D0" w:rsidP="000753D0">
            <w:pPr>
              <w:jc w:val="center"/>
              <w:rPr>
                <w:color w:val="000000"/>
                <w:sz w:val="18"/>
                <w:szCs w:val="18"/>
              </w:rPr>
            </w:pPr>
            <w:r w:rsidRPr="007F0EC9">
              <w:rPr>
                <w:color w:val="000000"/>
                <w:sz w:val="18"/>
                <w:szCs w:val="18"/>
              </w:rPr>
              <w:t>+ (1)</w:t>
            </w:r>
          </w:p>
        </w:tc>
        <w:tc>
          <w:tcPr>
            <w:tcW w:w="476" w:type="pct"/>
            <w:tcBorders>
              <w:top w:val="nil"/>
              <w:left w:val="nil"/>
              <w:bottom w:val="single" w:sz="4" w:space="0" w:color="auto"/>
              <w:right w:val="single" w:sz="4" w:space="0" w:color="auto"/>
            </w:tcBorders>
            <w:shd w:val="clear" w:color="auto" w:fill="auto"/>
            <w:vAlign w:val="bottom"/>
            <w:hideMark/>
          </w:tcPr>
          <w:p w14:paraId="00AB0ADA" w14:textId="7F762682"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3CCC0757" w14:textId="72B04A1A"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7A426CA5" w14:textId="7017B177"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nil"/>
              <w:left w:val="nil"/>
              <w:bottom w:val="single" w:sz="4" w:space="0" w:color="auto"/>
              <w:right w:val="single" w:sz="4" w:space="0" w:color="auto"/>
            </w:tcBorders>
            <w:shd w:val="clear" w:color="auto" w:fill="auto"/>
            <w:vAlign w:val="bottom"/>
            <w:hideMark/>
          </w:tcPr>
          <w:p w14:paraId="614EEBA7" w14:textId="58002355" w:rsidR="000753D0" w:rsidRPr="007F0EC9" w:rsidRDefault="000753D0" w:rsidP="000753D0">
            <w:pPr>
              <w:jc w:val="center"/>
              <w:rPr>
                <w:color w:val="000000"/>
                <w:sz w:val="18"/>
                <w:szCs w:val="18"/>
              </w:rPr>
            </w:pPr>
            <w:r w:rsidRPr="007F0EC9">
              <w:rPr>
                <w:color w:val="000000"/>
                <w:sz w:val="18"/>
                <w:szCs w:val="18"/>
              </w:rPr>
              <w:t>X</w:t>
            </w:r>
          </w:p>
        </w:tc>
        <w:tc>
          <w:tcPr>
            <w:tcW w:w="393" w:type="pct"/>
            <w:tcBorders>
              <w:top w:val="nil"/>
              <w:left w:val="nil"/>
              <w:bottom w:val="single" w:sz="4" w:space="0" w:color="auto"/>
              <w:right w:val="single" w:sz="4" w:space="0" w:color="auto"/>
            </w:tcBorders>
            <w:shd w:val="clear" w:color="auto" w:fill="auto"/>
            <w:vAlign w:val="bottom"/>
            <w:hideMark/>
          </w:tcPr>
          <w:p w14:paraId="2BB34D4C" w14:textId="18584C86"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18A9181B" w14:textId="0E7C5F97" w:rsidR="000753D0" w:rsidRPr="007F0EC9" w:rsidRDefault="000753D0" w:rsidP="000753D0">
            <w:pPr>
              <w:jc w:val="center"/>
              <w:rPr>
                <w:color w:val="000000"/>
                <w:sz w:val="18"/>
                <w:szCs w:val="18"/>
              </w:rPr>
            </w:pPr>
            <w:r w:rsidRPr="007F0EC9">
              <w:rPr>
                <w:color w:val="000000"/>
                <w:sz w:val="18"/>
                <w:szCs w:val="18"/>
              </w:rPr>
              <w:t>4</w:t>
            </w:r>
          </w:p>
        </w:tc>
      </w:tr>
      <w:tr w:rsidR="000753D0" w:rsidRPr="008D54A5" w14:paraId="26FD427A" w14:textId="77777777" w:rsidTr="002767FE">
        <w:trPr>
          <w:trHeight w:val="98"/>
        </w:trPr>
        <w:tc>
          <w:tcPr>
            <w:tcW w:w="1028" w:type="pct"/>
            <w:shd w:val="clear" w:color="auto" w:fill="auto"/>
            <w:vAlign w:val="bottom"/>
            <w:hideMark/>
          </w:tcPr>
          <w:p w14:paraId="094AAE74" w14:textId="77777777" w:rsidR="000753D0" w:rsidRPr="008D54A5" w:rsidRDefault="000753D0" w:rsidP="000753D0">
            <w:pPr>
              <w:rPr>
                <w:color w:val="000000"/>
                <w:sz w:val="18"/>
                <w:szCs w:val="18"/>
              </w:rPr>
            </w:pPr>
            <w:r w:rsidRPr="008D54A5">
              <w:rPr>
                <w:color w:val="000000"/>
                <w:sz w:val="18"/>
                <w:szCs w:val="18"/>
              </w:rPr>
              <w:t>Hospital Stay, 3 Nights</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111341BB" w14:textId="546BCC17" w:rsidR="000753D0" w:rsidRPr="007F0EC9" w:rsidRDefault="000753D0" w:rsidP="000753D0">
            <w:pPr>
              <w:jc w:val="center"/>
              <w:rPr>
                <w:color w:val="000000"/>
                <w:sz w:val="18"/>
                <w:szCs w:val="18"/>
              </w:rPr>
            </w:pPr>
            <w:r w:rsidRPr="007F0EC9">
              <w:rPr>
                <w:color w:val="000000"/>
                <w:sz w:val="18"/>
                <w:szCs w:val="18"/>
              </w:rPr>
              <w:t>+ (1)</w:t>
            </w:r>
          </w:p>
        </w:tc>
        <w:tc>
          <w:tcPr>
            <w:tcW w:w="470" w:type="pct"/>
            <w:tcBorders>
              <w:top w:val="nil"/>
              <w:left w:val="nil"/>
              <w:bottom w:val="single" w:sz="4" w:space="0" w:color="auto"/>
              <w:right w:val="single" w:sz="4" w:space="0" w:color="auto"/>
            </w:tcBorders>
            <w:shd w:val="clear" w:color="auto" w:fill="auto"/>
            <w:vAlign w:val="bottom"/>
            <w:hideMark/>
          </w:tcPr>
          <w:p w14:paraId="2ACD4F25" w14:textId="46817CF3" w:rsidR="000753D0" w:rsidRPr="007F0EC9" w:rsidRDefault="000753D0" w:rsidP="000753D0">
            <w:pPr>
              <w:jc w:val="center"/>
              <w:rPr>
                <w:color w:val="000000"/>
                <w:sz w:val="18"/>
                <w:szCs w:val="18"/>
              </w:rPr>
            </w:pPr>
            <w:r w:rsidRPr="007F0EC9">
              <w:rPr>
                <w:color w:val="000000"/>
                <w:sz w:val="18"/>
                <w:szCs w:val="18"/>
              </w:rPr>
              <w:t>+ (2)</w:t>
            </w:r>
          </w:p>
        </w:tc>
        <w:tc>
          <w:tcPr>
            <w:tcW w:w="470" w:type="pct"/>
            <w:tcBorders>
              <w:top w:val="nil"/>
              <w:left w:val="nil"/>
              <w:bottom w:val="single" w:sz="4" w:space="0" w:color="auto"/>
              <w:right w:val="single" w:sz="4" w:space="0" w:color="auto"/>
            </w:tcBorders>
            <w:shd w:val="clear" w:color="auto" w:fill="auto"/>
            <w:vAlign w:val="bottom"/>
            <w:hideMark/>
          </w:tcPr>
          <w:p w14:paraId="2161F85D" w14:textId="70A35403" w:rsidR="000753D0" w:rsidRPr="007F0EC9" w:rsidRDefault="000753D0" w:rsidP="000753D0">
            <w:pPr>
              <w:jc w:val="center"/>
              <w:rPr>
                <w:color w:val="000000"/>
                <w:sz w:val="18"/>
                <w:szCs w:val="18"/>
              </w:rPr>
            </w:pPr>
            <w:r w:rsidRPr="007F0EC9">
              <w:rPr>
                <w:color w:val="000000"/>
                <w:sz w:val="18"/>
                <w:szCs w:val="18"/>
              </w:rPr>
              <w:t>+ (14)</w:t>
            </w:r>
          </w:p>
        </w:tc>
        <w:tc>
          <w:tcPr>
            <w:tcW w:w="476" w:type="pct"/>
            <w:tcBorders>
              <w:top w:val="nil"/>
              <w:left w:val="nil"/>
              <w:bottom w:val="single" w:sz="4" w:space="0" w:color="auto"/>
              <w:right w:val="single" w:sz="4" w:space="0" w:color="auto"/>
            </w:tcBorders>
            <w:shd w:val="clear" w:color="auto" w:fill="auto"/>
            <w:vAlign w:val="bottom"/>
            <w:hideMark/>
          </w:tcPr>
          <w:p w14:paraId="4681CAEC" w14:textId="44DAD9D8"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7C528FFB" w14:textId="1AE41CE5"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066A7EA2" w14:textId="3C354679"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nil"/>
              <w:left w:val="nil"/>
              <w:bottom w:val="single" w:sz="4" w:space="0" w:color="auto"/>
              <w:right w:val="single" w:sz="4" w:space="0" w:color="auto"/>
            </w:tcBorders>
            <w:shd w:val="clear" w:color="auto" w:fill="auto"/>
            <w:vAlign w:val="bottom"/>
            <w:hideMark/>
          </w:tcPr>
          <w:p w14:paraId="3E88B670" w14:textId="62DD5C28" w:rsidR="000753D0" w:rsidRPr="007F0EC9" w:rsidRDefault="000753D0" w:rsidP="000753D0">
            <w:pPr>
              <w:jc w:val="center"/>
              <w:rPr>
                <w:color w:val="000000"/>
                <w:sz w:val="18"/>
                <w:szCs w:val="18"/>
              </w:rPr>
            </w:pPr>
            <w:r w:rsidRPr="007F0EC9">
              <w:rPr>
                <w:color w:val="000000"/>
                <w:sz w:val="18"/>
                <w:szCs w:val="18"/>
              </w:rPr>
              <w:t>X</w:t>
            </w:r>
          </w:p>
        </w:tc>
        <w:tc>
          <w:tcPr>
            <w:tcW w:w="393" w:type="pct"/>
            <w:tcBorders>
              <w:top w:val="nil"/>
              <w:left w:val="nil"/>
              <w:bottom w:val="single" w:sz="4" w:space="0" w:color="auto"/>
              <w:right w:val="single" w:sz="4" w:space="0" w:color="auto"/>
            </w:tcBorders>
            <w:shd w:val="clear" w:color="auto" w:fill="auto"/>
            <w:vAlign w:val="bottom"/>
            <w:hideMark/>
          </w:tcPr>
          <w:p w14:paraId="1DCBB943" w14:textId="61256051"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2B8EF943" w14:textId="71ECF1F1" w:rsidR="000753D0" w:rsidRPr="007F0EC9" w:rsidRDefault="000753D0" w:rsidP="000753D0">
            <w:pPr>
              <w:jc w:val="center"/>
              <w:rPr>
                <w:color w:val="000000"/>
                <w:sz w:val="18"/>
                <w:szCs w:val="18"/>
              </w:rPr>
            </w:pPr>
            <w:r w:rsidRPr="007F0EC9">
              <w:rPr>
                <w:color w:val="000000"/>
                <w:sz w:val="18"/>
                <w:szCs w:val="18"/>
              </w:rPr>
              <w:t>17</w:t>
            </w:r>
          </w:p>
        </w:tc>
      </w:tr>
      <w:tr w:rsidR="000753D0" w:rsidRPr="008D54A5" w14:paraId="05E421BE" w14:textId="77777777" w:rsidTr="002767FE">
        <w:trPr>
          <w:trHeight w:val="323"/>
        </w:trPr>
        <w:tc>
          <w:tcPr>
            <w:tcW w:w="1028" w:type="pct"/>
            <w:shd w:val="clear" w:color="auto" w:fill="auto"/>
            <w:vAlign w:val="bottom"/>
            <w:hideMark/>
          </w:tcPr>
          <w:p w14:paraId="5CEC1291" w14:textId="77777777" w:rsidR="000753D0" w:rsidRPr="008D54A5" w:rsidRDefault="000753D0" w:rsidP="000753D0">
            <w:pPr>
              <w:rPr>
                <w:color w:val="000000"/>
                <w:sz w:val="18"/>
                <w:szCs w:val="18"/>
              </w:rPr>
            </w:pPr>
            <w:r w:rsidRPr="008D54A5">
              <w:rPr>
                <w:color w:val="000000"/>
                <w:sz w:val="18"/>
                <w:szCs w:val="18"/>
              </w:rPr>
              <w:t>Outpatient, With Surgery, multi-night observation not indicated</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6791331E" w14:textId="2A0AA7AF"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4862FC0F" w14:textId="75CFA53C"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186CB673" w14:textId="3A02E5A2"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1DA01BF1" w14:textId="1C3054FD" w:rsidR="000753D0" w:rsidRPr="007F0EC9" w:rsidRDefault="000753D0" w:rsidP="000753D0">
            <w:pPr>
              <w:jc w:val="center"/>
              <w:rPr>
                <w:color w:val="000000"/>
                <w:sz w:val="18"/>
                <w:szCs w:val="18"/>
              </w:rPr>
            </w:pPr>
            <w:r w:rsidRPr="007F0EC9">
              <w:rPr>
                <w:color w:val="000000"/>
                <w:sz w:val="18"/>
                <w:szCs w:val="18"/>
              </w:rPr>
              <w:t>+ (25)</w:t>
            </w:r>
          </w:p>
        </w:tc>
        <w:tc>
          <w:tcPr>
            <w:tcW w:w="439" w:type="pct"/>
            <w:tcBorders>
              <w:top w:val="nil"/>
              <w:left w:val="nil"/>
              <w:bottom w:val="single" w:sz="4" w:space="0" w:color="auto"/>
              <w:right w:val="single" w:sz="4" w:space="0" w:color="auto"/>
            </w:tcBorders>
            <w:shd w:val="clear" w:color="auto" w:fill="auto"/>
            <w:vAlign w:val="bottom"/>
            <w:hideMark/>
          </w:tcPr>
          <w:p w14:paraId="225CAEF0" w14:textId="05393F49"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58B0047A" w14:textId="003D910A" w:rsidR="000753D0" w:rsidRPr="007F0EC9" w:rsidRDefault="000753D0" w:rsidP="000753D0">
            <w:pPr>
              <w:jc w:val="center"/>
              <w:rPr>
                <w:color w:val="000000"/>
                <w:sz w:val="18"/>
                <w:szCs w:val="18"/>
              </w:rPr>
            </w:pPr>
            <w:r w:rsidRPr="007F0EC9">
              <w:rPr>
                <w:color w:val="000000"/>
                <w:sz w:val="18"/>
                <w:szCs w:val="18"/>
              </w:rPr>
              <w:t>+ (3)</w:t>
            </w:r>
          </w:p>
        </w:tc>
        <w:tc>
          <w:tcPr>
            <w:tcW w:w="390" w:type="pct"/>
            <w:tcBorders>
              <w:top w:val="nil"/>
              <w:left w:val="nil"/>
              <w:bottom w:val="single" w:sz="4" w:space="0" w:color="auto"/>
              <w:right w:val="single" w:sz="4" w:space="0" w:color="auto"/>
            </w:tcBorders>
            <w:shd w:val="clear" w:color="auto" w:fill="auto"/>
            <w:vAlign w:val="bottom"/>
            <w:hideMark/>
          </w:tcPr>
          <w:p w14:paraId="73A8AD9C" w14:textId="54F1E4FA" w:rsidR="000753D0" w:rsidRPr="007F0EC9" w:rsidRDefault="000753D0" w:rsidP="000753D0">
            <w:pPr>
              <w:jc w:val="center"/>
              <w:rPr>
                <w:color w:val="000000"/>
                <w:sz w:val="18"/>
                <w:szCs w:val="18"/>
              </w:rPr>
            </w:pPr>
            <w:r w:rsidRPr="007F0EC9">
              <w:rPr>
                <w:color w:val="000000"/>
                <w:sz w:val="18"/>
                <w:szCs w:val="18"/>
              </w:rPr>
              <w:t>X</w:t>
            </w:r>
          </w:p>
        </w:tc>
        <w:tc>
          <w:tcPr>
            <w:tcW w:w="393" w:type="pct"/>
            <w:tcBorders>
              <w:top w:val="nil"/>
              <w:left w:val="nil"/>
              <w:bottom w:val="single" w:sz="4" w:space="0" w:color="auto"/>
              <w:right w:val="single" w:sz="4" w:space="0" w:color="auto"/>
            </w:tcBorders>
            <w:shd w:val="clear" w:color="auto" w:fill="auto"/>
            <w:vAlign w:val="bottom"/>
            <w:hideMark/>
          </w:tcPr>
          <w:p w14:paraId="29192C17" w14:textId="5EEA3B70"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45BD2FEB" w14:textId="5AF72023" w:rsidR="000753D0" w:rsidRPr="007F0EC9" w:rsidRDefault="000753D0" w:rsidP="000753D0">
            <w:pPr>
              <w:jc w:val="center"/>
              <w:rPr>
                <w:color w:val="000000"/>
                <w:sz w:val="18"/>
                <w:szCs w:val="18"/>
              </w:rPr>
            </w:pPr>
            <w:r w:rsidRPr="007F0EC9">
              <w:rPr>
                <w:color w:val="000000"/>
                <w:sz w:val="18"/>
                <w:szCs w:val="18"/>
              </w:rPr>
              <w:t>28</w:t>
            </w:r>
          </w:p>
        </w:tc>
      </w:tr>
      <w:tr w:rsidR="000753D0" w:rsidRPr="008D54A5" w14:paraId="3EDCF5B0" w14:textId="77777777" w:rsidTr="002767FE">
        <w:trPr>
          <w:trHeight w:val="269"/>
        </w:trPr>
        <w:tc>
          <w:tcPr>
            <w:tcW w:w="1028" w:type="pct"/>
            <w:shd w:val="clear" w:color="auto" w:fill="auto"/>
            <w:vAlign w:val="bottom"/>
            <w:hideMark/>
          </w:tcPr>
          <w:p w14:paraId="1BEF218F" w14:textId="77777777" w:rsidR="000753D0" w:rsidRPr="008D54A5" w:rsidRDefault="000753D0" w:rsidP="000753D0">
            <w:pPr>
              <w:rPr>
                <w:color w:val="000000"/>
                <w:sz w:val="18"/>
                <w:szCs w:val="18"/>
              </w:rPr>
            </w:pPr>
            <w:r w:rsidRPr="008D54A5">
              <w:rPr>
                <w:color w:val="000000"/>
                <w:sz w:val="18"/>
                <w:szCs w:val="18"/>
              </w:rPr>
              <w:t>Outpatient, No Surgery, multi-night observation not indicated</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3FE732E1" w14:textId="5598C07F"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2397C9F7" w14:textId="601DA38C"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112BD59C" w14:textId="6C1822C6"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59AE8315" w14:textId="74FAFBDD"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16E7AC6D" w14:textId="5B9D49E4" w:rsidR="000753D0" w:rsidRPr="007F0EC9" w:rsidRDefault="000753D0" w:rsidP="000753D0">
            <w:pPr>
              <w:jc w:val="center"/>
              <w:rPr>
                <w:color w:val="000000"/>
                <w:sz w:val="18"/>
                <w:szCs w:val="18"/>
              </w:rPr>
            </w:pPr>
            <w:r w:rsidRPr="007F0EC9">
              <w:rPr>
                <w:color w:val="000000"/>
                <w:sz w:val="18"/>
                <w:szCs w:val="18"/>
              </w:rPr>
              <w:t>+ (1</w:t>
            </w:r>
            <w:r w:rsidR="0075008A" w:rsidRPr="007F0EC9">
              <w:rPr>
                <w:color w:val="000000"/>
                <w:sz w:val="18"/>
                <w:szCs w:val="18"/>
              </w:rPr>
              <w:t>,</w:t>
            </w:r>
            <w:r w:rsidRPr="007F0EC9">
              <w:rPr>
                <w:color w:val="000000"/>
                <w:sz w:val="18"/>
                <w:szCs w:val="18"/>
              </w:rPr>
              <w:t>733)</w:t>
            </w:r>
          </w:p>
        </w:tc>
        <w:tc>
          <w:tcPr>
            <w:tcW w:w="520" w:type="pct"/>
            <w:tcBorders>
              <w:top w:val="nil"/>
              <w:left w:val="nil"/>
              <w:bottom w:val="single" w:sz="4" w:space="0" w:color="auto"/>
              <w:right w:val="single" w:sz="4" w:space="0" w:color="auto"/>
            </w:tcBorders>
            <w:shd w:val="clear" w:color="auto" w:fill="auto"/>
            <w:vAlign w:val="bottom"/>
            <w:hideMark/>
          </w:tcPr>
          <w:p w14:paraId="50CE855F" w14:textId="3C288C5D"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nil"/>
              <w:left w:val="nil"/>
              <w:bottom w:val="single" w:sz="4" w:space="0" w:color="auto"/>
              <w:right w:val="single" w:sz="4" w:space="0" w:color="auto"/>
            </w:tcBorders>
            <w:shd w:val="clear" w:color="auto" w:fill="auto"/>
            <w:vAlign w:val="bottom"/>
            <w:hideMark/>
          </w:tcPr>
          <w:p w14:paraId="1DDF7B0F" w14:textId="7A9DB222" w:rsidR="000753D0" w:rsidRPr="007F0EC9" w:rsidRDefault="000753D0" w:rsidP="000753D0">
            <w:pPr>
              <w:jc w:val="center"/>
              <w:rPr>
                <w:color w:val="000000"/>
                <w:sz w:val="18"/>
                <w:szCs w:val="18"/>
              </w:rPr>
            </w:pPr>
            <w:r w:rsidRPr="007F0EC9">
              <w:rPr>
                <w:color w:val="000000"/>
                <w:sz w:val="18"/>
                <w:szCs w:val="18"/>
              </w:rPr>
              <w:t>+ (54)</w:t>
            </w:r>
          </w:p>
        </w:tc>
        <w:tc>
          <w:tcPr>
            <w:tcW w:w="393" w:type="pct"/>
            <w:tcBorders>
              <w:top w:val="nil"/>
              <w:left w:val="nil"/>
              <w:bottom w:val="single" w:sz="4" w:space="0" w:color="auto"/>
              <w:right w:val="single" w:sz="4" w:space="0" w:color="auto"/>
            </w:tcBorders>
            <w:shd w:val="clear" w:color="auto" w:fill="auto"/>
            <w:vAlign w:val="bottom"/>
            <w:hideMark/>
          </w:tcPr>
          <w:p w14:paraId="2180B75B" w14:textId="0EC7C734" w:rsidR="000753D0" w:rsidRPr="007F0EC9" w:rsidRDefault="000753D0" w:rsidP="000753D0">
            <w:pPr>
              <w:jc w:val="center"/>
              <w:rPr>
                <w:color w:val="000000"/>
                <w:sz w:val="18"/>
                <w:szCs w:val="18"/>
              </w:rPr>
            </w:pPr>
            <w:r w:rsidRPr="007F0EC9">
              <w:rPr>
                <w:color w:val="000000"/>
                <w:sz w:val="18"/>
                <w:szCs w:val="18"/>
              </w:rPr>
              <w:t>+ (1</w:t>
            </w:r>
            <w:r w:rsidR="0075008A" w:rsidRPr="007F0EC9">
              <w:rPr>
                <w:color w:val="000000"/>
                <w:sz w:val="18"/>
                <w:szCs w:val="18"/>
              </w:rPr>
              <w:t>,</w:t>
            </w:r>
            <w:r w:rsidRPr="007F0EC9">
              <w:rPr>
                <w:color w:val="000000"/>
                <w:sz w:val="18"/>
                <w:szCs w:val="18"/>
              </w:rPr>
              <w:t>800)</w:t>
            </w:r>
          </w:p>
        </w:tc>
        <w:tc>
          <w:tcPr>
            <w:tcW w:w="300" w:type="pct"/>
            <w:tcBorders>
              <w:top w:val="nil"/>
              <w:left w:val="nil"/>
              <w:bottom w:val="single" w:sz="4" w:space="0" w:color="auto"/>
              <w:right w:val="single" w:sz="4" w:space="0" w:color="auto"/>
            </w:tcBorders>
            <w:shd w:val="clear" w:color="auto" w:fill="auto"/>
            <w:noWrap/>
            <w:vAlign w:val="bottom"/>
            <w:hideMark/>
          </w:tcPr>
          <w:p w14:paraId="6206EDC8" w14:textId="2131CB51" w:rsidR="000753D0" w:rsidRPr="007F0EC9" w:rsidRDefault="000753D0" w:rsidP="000753D0">
            <w:pPr>
              <w:jc w:val="center"/>
              <w:rPr>
                <w:color w:val="000000"/>
                <w:sz w:val="18"/>
                <w:szCs w:val="18"/>
              </w:rPr>
            </w:pPr>
            <w:r w:rsidRPr="007F0EC9">
              <w:rPr>
                <w:color w:val="000000"/>
                <w:sz w:val="18"/>
                <w:szCs w:val="18"/>
              </w:rPr>
              <w:t>3,587</w:t>
            </w:r>
          </w:p>
        </w:tc>
      </w:tr>
      <w:tr w:rsidR="000753D0" w:rsidRPr="008D54A5" w14:paraId="1DA99B6B" w14:textId="77777777" w:rsidTr="002767FE">
        <w:trPr>
          <w:trHeight w:val="197"/>
        </w:trPr>
        <w:tc>
          <w:tcPr>
            <w:tcW w:w="1028" w:type="pct"/>
            <w:shd w:val="clear" w:color="auto" w:fill="auto"/>
            <w:vAlign w:val="bottom"/>
            <w:hideMark/>
          </w:tcPr>
          <w:p w14:paraId="3DCA2738" w14:textId="77777777" w:rsidR="000753D0" w:rsidRPr="008D54A5" w:rsidRDefault="000753D0" w:rsidP="000753D0">
            <w:pPr>
              <w:rPr>
                <w:color w:val="000000"/>
                <w:sz w:val="18"/>
                <w:szCs w:val="18"/>
              </w:rPr>
            </w:pPr>
            <w:r w:rsidRPr="008D54A5">
              <w:rPr>
                <w:color w:val="000000"/>
                <w:sz w:val="18"/>
                <w:szCs w:val="18"/>
              </w:rPr>
              <w:t>Outpatient, With Surgery, multi-night observation indicated</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0F4F77B9" w14:textId="0E51A976"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76B0A8A7" w14:textId="6DDECED5"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72431490" w14:textId="17B1BFB6"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1278C8EF" w14:textId="19146630" w:rsidR="000753D0" w:rsidRPr="007F0EC9" w:rsidRDefault="000753D0" w:rsidP="000753D0">
            <w:pPr>
              <w:jc w:val="center"/>
              <w:rPr>
                <w:color w:val="000000"/>
                <w:sz w:val="18"/>
                <w:szCs w:val="18"/>
              </w:rPr>
            </w:pPr>
            <w:r w:rsidRPr="007F0EC9">
              <w:rPr>
                <w:color w:val="000000"/>
                <w:sz w:val="18"/>
                <w:szCs w:val="18"/>
              </w:rPr>
              <w:t>+ (13)</w:t>
            </w:r>
          </w:p>
        </w:tc>
        <w:tc>
          <w:tcPr>
            <w:tcW w:w="439" w:type="pct"/>
            <w:tcBorders>
              <w:top w:val="nil"/>
              <w:left w:val="nil"/>
              <w:bottom w:val="single" w:sz="4" w:space="0" w:color="auto"/>
              <w:right w:val="single" w:sz="4" w:space="0" w:color="auto"/>
            </w:tcBorders>
            <w:shd w:val="clear" w:color="auto" w:fill="auto"/>
            <w:vAlign w:val="bottom"/>
            <w:hideMark/>
          </w:tcPr>
          <w:p w14:paraId="3EC12C9A" w14:textId="3EA0F456"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13D8D721" w14:textId="3FCA6A39" w:rsidR="000753D0" w:rsidRPr="007F0EC9" w:rsidRDefault="000753D0" w:rsidP="000753D0">
            <w:pPr>
              <w:jc w:val="center"/>
              <w:rPr>
                <w:color w:val="000000"/>
                <w:sz w:val="18"/>
                <w:szCs w:val="18"/>
              </w:rPr>
            </w:pPr>
            <w:r w:rsidRPr="007F0EC9">
              <w:rPr>
                <w:color w:val="000000"/>
                <w:sz w:val="18"/>
                <w:szCs w:val="18"/>
              </w:rPr>
              <w:t>+ (1)</w:t>
            </w:r>
          </w:p>
        </w:tc>
        <w:tc>
          <w:tcPr>
            <w:tcW w:w="390" w:type="pct"/>
            <w:tcBorders>
              <w:top w:val="nil"/>
              <w:left w:val="nil"/>
              <w:bottom w:val="single" w:sz="4" w:space="0" w:color="auto"/>
              <w:right w:val="single" w:sz="4" w:space="0" w:color="auto"/>
            </w:tcBorders>
            <w:shd w:val="clear" w:color="auto" w:fill="auto"/>
            <w:vAlign w:val="bottom"/>
            <w:hideMark/>
          </w:tcPr>
          <w:p w14:paraId="00C1D5E6" w14:textId="5359E486" w:rsidR="000753D0" w:rsidRPr="007F0EC9" w:rsidRDefault="000753D0" w:rsidP="000753D0">
            <w:pPr>
              <w:jc w:val="center"/>
              <w:rPr>
                <w:color w:val="000000"/>
                <w:sz w:val="18"/>
                <w:szCs w:val="18"/>
              </w:rPr>
            </w:pPr>
            <w:r w:rsidRPr="007F0EC9">
              <w:rPr>
                <w:color w:val="000000"/>
                <w:sz w:val="18"/>
                <w:szCs w:val="18"/>
              </w:rPr>
              <w:t>X</w:t>
            </w:r>
          </w:p>
        </w:tc>
        <w:tc>
          <w:tcPr>
            <w:tcW w:w="393" w:type="pct"/>
            <w:tcBorders>
              <w:top w:val="nil"/>
              <w:left w:val="nil"/>
              <w:bottom w:val="single" w:sz="4" w:space="0" w:color="auto"/>
              <w:right w:val="single" w:sz="4" w:space="0" w:color="auto"/>
            </w:tcBorders>
            <w:shd w:val="clear" w:color="auto" w:fill="auto"/>
            <w:vAlign w:val="bottom"/>
            <w:hideMark/>
          </w:tcPr>
          <w:p w14:paraId="273781EB" w14:textId="3AA0BE06"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177FD20B" w14:textId="43A6C1BF" w:rsidR="000753D0" w:rsidRPr="007F0EC9" w:rsidRDefault="000753D0" w:rsidP="000753D0">
            <w:pPr>
              <w:jc w:val="center"/>
              <w:rPr>
                <w:color w:val="000000"/>
                <w:sz w:val="18"/>
                <w:szCs w:val="18"/>
              </w:rPr>
            </w:pPr>
            <w:r w:rsidRPr="007F0EC9">
              <w:rPr>
                <w:color w:val="000000"/>
                <w:sz w:val="18"/>
                <w:szCs w:val="18"/>
              </w:rPr>
              <w:t>14</w:t>
            </w:r>
          </w:p>
        </w:tc>
      </w:tr>
      <w:tr w:rsidR="000753D0" w:rsidRPr="008D54A5" w14:paraId="4C8C0F90" w14:textId="77777777" w:rsidTr="002767FE">
        <w:trPr>
          <w:trHeight w:val="233"/>
        </w:trPr>
        <w:tc>
          <w:tcPr>
            <w:tcW w:w="1028" w:type="pct"/>
            <w:shd w:val="clear" w:color="auto" w:fill="auto"/>
            <w:vAlign w:val="bottom"/>
            <w:hideMark/>
          </w:tcPr>
          <w:p w14:paraId="0EBC2889" w14:textId="77777777" w:rsidR="000753D0" w:rsidRPr="008D54A5" w:rsidRDefault="000753D0" w:rsidP="000753D0">
            <w:pPr>
              <w:rPr>
                <w:color w:val="000000"/>
                <w:sz w:val="18"/>
                <w:szCs w:val="18"/>
              </w:rPr>
            </w:pPr>
            <w:r w:rsidRPr="008D54A5">
              <w:rPr>
                <w:color w:val="000000"/>
                <w:sz w:val="18"/>
                <w:szCs w:val="18"/>
              </w:rPr>
              <w:t>Outpatient, No Surgery, multi-night observation indicated</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636BC4A1" w14:textId="6F63A6DB"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3863472B" w14:textId="5D052408"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53AE035A" w14:textId="29442624"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55C37F84" w14:textId="367807BF"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47FFD367" w14:textId="35CE0DF8" w:rsidR="000753D0" w:rsidRPr="007F0EC9" w:rsidRDefault="000753D0" w:rsidP="000753D0">
            <w:pPr>
              <w:jc w:val="center"/>
              <w:rPr>
                <w:color w:val="000000"/>
                <w:sz w:val="18"/>
                <w:szCs w:val="18"/>
              </w:rPr>
            </w:pPr>
            <w:r w:rsidRPr="007F0EC9">
              <w:rPr>
                <w:color w:val="000000"/>
                <w:sz w:val="18"/>
                <w:szCs w:val="18"/>
              </w:rPr>
              <w:t>+ (14)</w:t>
            </w:r>
          </w:p>
        </w:tc>
        <w:tc>
          <w:tcPr>
            <w:tcW w:w="520" w:type="pct"/>
            <w:tcBorders>
              <w:top w:val="nil"/>
              <w:left w:val="nil"/>
              <w:bottom w:val="single" w:sz="4" w:space="0" w:color="auto"/>
              <w:right w:val="single" w:sz="4" w:space="0" w:color="auto"/>
            </w:tcBorders>
            <w:shd w:val="clear" w:color="auto" w:fill="auto"/>
            <w:vAlign w:val="bottom"/>
            <w:hideMark/>
          </w:tcPr>
          <w:p w14:paraId="3C5DF833" w14:textId="3CFAA5EE"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nil"/>
              <w:left w:val="nil"/>
              <w:bottom w:val="single" w:sz="4" w:space="0" w:color="auto"/>
              <w:right w:val="single" w:sz="4" w:space="0" w:color="auto"/>
            </w:tcBorders>
            <w:shd w:val="clear" w:color="auto" w:fill="auto"/>
            <w:vAlign w:val="bottom"/>
            <w:hideMark/>
          </w:tcPr>
          <w:p w14:paraId="7C0797F0" w14:textId="76BC7632" w:rsidR="000753D0" w:rsidRPr="007F0EC9" w:rsidRDefault="000753D0" w:rsidP="000753D0">
            <w:pPr>
              <w:jc w:val="center"/>
              <w:rPr>
                <w:color w:val="000000"/>
                <w:sz w:val="18"/>
                <w:szCs w:val="18"/>
              </w:rPr>
            </w:pPr>
            <w:r w:rsidRPr="007F0EC9">
              <w:rPr>
                <w:color w:val="000000"/>
                <w:sz w:val="18"/>
                <w:szCs w:val="18"/>
              </w:rPr>
              <w:t>+ (1)</w:t>
            </w:r>
          </w:p>
        </w:tc>
        <w:tc>
          <w:tcPr>
            <w:tcW w:w="393" w:type="pct"/>
            <w:tcBorders>
              <w:top w:val="nil"/>
              <w:left w:val="nil"/>
              <w:bottom w:val="single" w:sz="4" w:space="0" w:color="auto"/>
              <w:right w:val="single" w:sz="4" w:space="0" w:color="auto"/>
            </w:tcBorders>
            <w:shd w:val="clear" w:color="auto" w:fill="auto"/>
            <w:vAlign w:val="bottom"/>
            <w:hideMark/>
          </w:tcPr>
          <w:p w14:paraId="4A5CC31B" w14:textId="370F5B18" w:rsidR="000753D0" w:rsidRPr="007F0EC9" w:rsidRDefault="000753D0" w:rsidP="000753D0">
            <w:pPr>
              <w:jc w:val="center"/>
              <w:rPr>
                <w:color w:val="000000"/>
                <w:sz w:val="18"/>
                <w:szCs w:val="18"/>
              </w:rPr>
            </w:pPr>
            <w:r w:rsidRPr="007F0EC9">
              <w:rPr>
                <w:color w:val="000000"/>
                <w:sz w:val="18"/>
                <w:szCs w:val="18"/>
              </w:rPr>
              <w:t>+ (46)</w:t>
            </w:r>
          </w:p>
        </w:tc>
        <w:tc>
          <w:tcPr>
            <w:tcW w:w="300" w:type="pct"/>
            <w:tcBorders>
              <w:top w:val="nil"/>
              <w:left w:val="nil"/>
              <w:bottom w:val="single" w:sz="4" w:space="0" w:color="auto"/>
              <w:right w:val="single" w:sz="4" w:space="0" w:color="auto"/>
            </w:tcBorders>
            <w:shd w:val="clear" w:color="auto" w:fill="auto"/>
            <w:noWrap/>
            <w:vAlign w:val="bottom"/>
            <w:hideMark/>
          </w:tcPr>
          <w:p w14:paraId="63B5B275" w14:textId="6326762B" w:rsidR="000753D0" w:rsidRPr="007F0EC9" w:rsidRDefault="000753D0" w:rsidP="000753D0">
            <w:pPr>
              <w:jc w:val="center"/>
              <w:rPr>
                <w:color w:val="000000"/>
                <w:sz w:val="18"/>
                <w:szCs w:val="18"/>
              </w:rPr>
            </w:pPr>
            <w:r w:rsidRPr="007F0EC9">
              <w:rPr>
                <w:color w:val="000000"/>
                <w:sz w:val="18"/>
                <w:szCs w:val="18"/>
              </w:rPr>
              <w:t>61</w:t>
            </w:r>
          </w:p>
        </w:tc>
      </w:tr>
      <w:tr w:rsidR="000753D0" w:rsidRPr="008D54A5" w14:paraId="72450CB6" w14:textId="77777777" w:rsidTr="002767FE">
        <w:trPr>
          <w:trHeight w:val="89"/>
        </w:trPr>
        <w:tc>
          <w:tcPr>
            <w:tcW w:w="1028" w:type="pct"/>
            <w:shd w:val="clear" w:color="auto" w:fill="auto"/>
            <w:vAlign w:val="bottom"/>
            <w:hideMark/>
          </w:tcPr>
          <w:p w14:paraId="343DF815" w14:textId="77777777" w:rsidR="000753D0" w:rsidRPr="008D54A5" w:rsidRDefault="000753D0" w:rsidP="000753D0">
            <w:pPr>
              <w:rPr>
                <w:color w:val="000000"/>
                <w:sz w:val="18"/>
                <w:szCs w:val="18"/>
              </w:rPr>
            </w:pPr>
            <w:r w:rsidRPr="008D54A5">
              <w:rPr>
                <w:color w:val="000000"/>
                <w:sz w:val="18"/>
                <w:szCs w:val="18"/>
              </w:rPr>
              <w:t xml:space="preserve">Emergency Room </w:t>
            </w:r>
            <w:proofErr w:type="gramStart"/>
            <w:r w:rsidRPr="008D54A5">
              <w:rPr>
                <w:color w:val="000000"/>
                <w:sz w:val="18"/>
                <w:szCs w:val="18"/>
              </w:rPr>
              <w:t>With</w:t>
            </w:r>
            <w:proofErr w:type="gramEnd"/>
            <w:r w:rsidRPr="008D54A5">
              <w:rPr>
                <w:color w:val="000000"/>
                <w:sz w:val="18"/>
                <w:szCs w:val="18"/>
              </w:rPr>
              <w:t xml:space="preserve"> Surgery linked to &lt;2 night Inpatient</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4862FF44" w14:textId="55903047"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18E7B20A" w14:textId="1798F9C6"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0BA5F769" w14:textId="62B2DC92"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79113F72" w14:textId="02C4BD5C" w:rsidR="000753D0" w:rsidRPr="007F0EC9" w:rsidRDefault="000753D0" w:rsidP="000753D0">
            <w:pPr>
              <w:jc w:val="center"/>
              <w:rPr>
                <w:color w:val="000000"/>
                <w:sz w:val="18"/>
                <w:szCs w:val="18"/>
              </w:rPr>
            </w:pPr>
            <w:r w:rsidRPr="007F0EC9">
              <w:rPr>
                <w:color w:val="000000"/>
                <w:sz w:val="18"/>
                <w:szCs w:val="18"/>
              </w:rPr>
              <w:t>+ (0)</w:t>
            </w:r>
          </w:p>
        </w:tc>
        <w:tc>
          <w:tcPr>
            <w:tcW w:w="439" w:type="pct"/>
            <w:tcBorders>
              <w:top w:val="nil"/>
              <w:left w:val="nil"/>
              <w:bottom w:val="single" w:sz="4" w:space="0" w:color="auto"/>
              <w:right w:val="single" w:sz="4" w:space="0" w:color="auto"/>
            </w:tcBorders>
            <w:shd w:val="clear" w:color="auto" w:fill="auto"/>
            <w:vAlign w:val="bottom"/>
            <w:hideMark/>
          </w:tcPr>
          <w:p w14:paraId="25BC037C" w14:textId="50A1309D"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38DE6452" w14:textId="52D2C7BC" w:rsidR="000753D0" w:rsidRPr="007F0EC9" w:rsidRDefault="000753D0" w:rsidP="000753D0">
            <w:pPr>
              <w:jc w:val="center"/>
              <w:rPr>
                <w:color w:val="000000"/>
                <w:sz w:val="18"/>
                <w:szCs w:val="18"/>
              </w:rPr>
            </w:pPr>
            <w:r w:rsidRPr="007F0EC9">
              <w:rPr>
                <w:color w:val="000000"/>
                <w:sz w:val="18"/>
                <w:szCs w:val="18"/>
              </w:rPr>
              <w:t>+ (0)</w:t>
            </w:r>
          </w:p>
        </w:tc>
        <w:tc>
          <w:tcPr>
            <w:tcW w:w="390" w:type="pct"/>
            <w:tcBorders>
              <w:top w:val="nil"/>
              <w:left w:val="nil"/>
              <w:bottom w:val="single" w:sz="4" w:space="0" w:color="auto"/>
              <w:right w:val="single" w:sz="4" w:space="0" w:color="auto"/>
            </w:tcBorders>
            <w:shd w:val="clear" w:color="auto" w:fill="auto"/>
            <w:vAlign w:val="bottom"/>
            <w:hideMark/>
          </w:tcPr>
          <w:p w14:paraId="46BB6113" w14:textId="7B4559D3" w:rsidR="000753D0" w:rsidRPr="007F0EC9" w:rsidRDefault="000753D0" w:rsidP="000753D0">
            <w:pPr>
              <w:jc w:val="center"/>
              <w:rPr>
                <w:color w:val="000000"/>
                <w:sz w:val="18"/>
                <w:szCs w:val="18"/>
              </w:rPr>
            </w:pPr>
            <w:r w:rsidRPr="007F0EC9">
              <w:rPr>
                <w:color w:val="000000"/>
                <w:sz w:val="18"/>
                <w:szCs w:val="18"/>
              </w:rPr>
              <w:t>X</w:t>
            </w:r>
          </w:p>
        </w:tc>
        <w:tc>
          <w:tcPr>
            <w:tcW w:w="393" w:type="pct"/>
            <w:tcBorders>
              <w:top w:val="nil"/>
              <w:left w:val="nil"/>
              <w:bottom w:val="single" w:sz="4" w:space="0" w:color="auto"/>
              <w:right w:val="single" w:sz="4" w:space="0" w:color="auto"/>
            </w:tcBorders>
            <w:shd w:val="clear" w:color="auto" w:fill="auto"/>
            <w:vAlign w:val="bottom"/>
            <w:hideMark/>
          </w:tcPr>
          <w:p w14:paraId="1D87F417" w14:textId="2E93EE63"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03ABD633" w14:textId="7C2D13D1" w:rsidR="000753D0" w:rsidRPr="007F0EC9" w:rsidRDefault="000753D0" w:rsidP="000753D0">
            <w:pPr>
              <w:jc w:val="center"/>
              <w:rPr>
                <w:color w:val="000000"/>
                <w:sz w:val="18"/>
                <w:szCs w:val="18"/>
              </w:rPr>
            </w:pPr>
            <w:r w:rsidRPr="007F0EC9">
              <w:rPr>
                <w:color w:val="000000"/>
                <w:sz w:val="18"/>
                <w:szCs w:val="18"/>
              </w:rPr>
              <w:t>0</w:t>
            </w:r>
          </w:p>
        </w:tc>
      </w:tr>
      <w:tr w:rsidR="000753D0" w:rsidRPr="008D54A5" w14:paraId="51D03A1B" w14:textId="77777777" w:rsidTr="002767FE">
        <w:trPr>
          <w:trHeight w:val="197"/>
        </w:trPr>
        <w:tc>
          <w:tcPr>
            <w:tcW w:w="1028" w:type="pct"/>
            <w:shd w:val="clear" w:color="auto" w:fill="auto"/>
            <w:vAlign w:val="bottom"/>
            <w:hideMark/>
          </w:tcPr>
          <w:p w14:paraId="5E058612" w14:textId="77777777" w:rsidR="000753D0" w:rsidRPr="008D54A5" w:rsidRDefault="000753D0" w:rsidP="000753D0">
            <w:pPr>
              <w:rPr>
                <w:color w:val="000000"/>
                <w:sz w:val="18"/>
                <w:szCs w:val="18"/>
              </w:rPr>
            </w:pPr>
            <w:r w:rsidRPr="008D54A5">
              <w:rPr>
                <w:color w:val="000000"/>
                <w:sz w:val="18"/>
                <w:szCs w:val="18"/>
              </w:rPr>
              <w:t>Emergency Room No Surgery linked to &lt;</w:t>
            </w:r>
            <w:proofErr w:type="gramStart"/>
            <w:r w:rsidRPr="008D54A5">
              <w:rPr>
                <w:color w:val="000000"/>
                <w:sz w:val="18"/>
                <w:szCs w:val="18"/>
              </w:rPr>
              <w:t>2 night</w:t>
            </w:r>
            <w:proofErr w:type="gramEnd"/>
            <w:r w:rsidRPr="008D54A5">
              <w:rPr>
                <w:color w:val="000000"/>
                <w:sz w:val="18"/>
                <w:szCs w:val="18"/>
              </w:rPr>
              <w:t xml:space="preserve"> Inpatient</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14F5465F" w14:textId="685E408B" w:rsidR="000753D0" w:rsidRPr="007F0EC9" w:rsidRDefault="000753D0" w:rsidP="000753D0">
            <w:pPr>
              <w:jc w:val="center"/>
              <w:rPr>
                <w:color w:val="000000"/>
                <w:sz w:val="18"/>
                <w:szCs w:val="18"/>
              </w:rPr>
            </w:pPr>
            <w:r w:rsidRPr="007F0EC9">
              <w:rPr>
                <w:color w:val="000000"/>
                <w:sz w:val="18"/>
                <w:szCs w:val="18"/>
              </w:rPr>
              <w:t>+ (0)</w:t>
            </w:r>
          </w:p>
        </w:tc>
        <w:tc>
          <w:tcPr>
            <w:tcW w:w="470" w:type="pct"/>
            <w:tcBorders>
              <w:top w:val="nil"/>
              <w:left w:val="nil"/>
              <w:bottom w:val="single" w:sz="4" w:space="0" w:color="auto"/>
              <w:right w:val="single" w:sz="4" w:space="0" w:color="auto"/>
            </w:tcBorders>
            <w:shd w:val="clear" w:color="auto" w:fill="auto"/>
            <w:vAlign w:val="bottom"/>
            <w:hideMark/>
          </w:tcPr>
          <w:p w14:paraId="20995838" w14:textId="02DF0C03"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35DA2E8B" w14:textId="41DC77B4"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0E3847F1" w14:textId="41E8F91A"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202C99EE" w14:textId="21A93A95" w:rsidR="000753D0" w:rsidRPr="007F0EC9" w:rsidRDefault="000753D0" w:rsidP="000753D0">
            <w:pPr>
              <w:jc w:val="center"/>
              <w:rPr>
                <w:color w:val="000000"/>
                <w:sz w:val="18"/>
                <w:szCs w:val="18"/>
              </w:rPr>
            </w:pPr>
            <w:r w:rsidRPr="007F0EC9">
              <w:rPr>
                <w:color w:val="000000"/>
                <w:sz w:val="18"/>
                <w:szCs w:val="18"/>
              </w:rPr>
              <w:t>+ (1)</w:t>
            </w:r>
          </w:p>
        </w:tc>
        <w:tc>
          <w:tcPr>
            <w:tcW w:w="520" w:type="pct"/>
            <w:tcBorders>
              <w:top w:val="nil"/>
              <w:left w:val="nil"/>
              <w:bottom w:val="single" w:sz="4" w:space="0" w:color="auto"/>
              <w:right w:val="single" w:sz="4" w:space="0" w:color="auto"/>
            </w:tcBorders>
            <w:shd w:val="clear" w:color="auto" w:fill="auto"/>
            <w:vAlign w:val="bottom"/>
            <w:hideMark/>
          </w:tcPr>
          <w:p w14:paraId="6A1A0DD5" w14:textId="74391B53"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nil"/>
              <w:left w:val="nil"/>
              <w:bottom w:val="single" w:sz="4" w:space="0" w:color="auto"/>
              <w:right w:val="single" w:sz="4" w:space="0" w:color="auto"/>
            </w:tcBorders>
            <w:shd w:val="clear" w:color="auto" w:fill="auto"/>
            <w:vAlign w:val="bottom"/>
            <w:hideMark/>
          </w:tcPr>
          <w:p w14:paraId="0491A46F" w14:textId="4DDA3E01" w:rsidR="000753D0" w:rsidRPr="007F0EC9" w:rsidRDefault="000753D0" w:rsidP="000753D0">
            <w:pPr>
              <w:jc w:val="center"/>
              <w:rPr>
                <w:color w:val="000000"/>
                <w:sz w:val="18"/>
                <w:szCs w:val="18"/>
              </w:rPr>
            </w:pPr>
            <w:r w:rsidRPr="007F0EC9">
              <w:rPr>
                <w:color w:val="000000"/>
                <w:sz w:val="18"/>
                <w:szCs w:val="18"/>
              </w:rPr>
              <w:t>+ (8)</w:t>
            </w:r>
          </w:p>
        </w:tc>
        <w:tc>
          <w:tcPr>
            <w:tcW w:w="393" w:type="pct"/>
            <w:tcBorders>
              <w:top w:val="nil"/>
              <w:left w:val="nil"/>
              <w:bottom w:val="single" w:sz="4" w:space="0" w:color="auto"/>
              <w:right w:val="single" w:sz="4" w:space="0" w:color="auto"/>
            </w:tcBorders>
            <w:shd w:val="clear" w:color="auto" w:fill="auto"/>
            <w:vAlign w:val="bottom"/>
            <w:hideMark/>
          </w:tcPr>
          <w:p w14:paraId="625DFA0F" w14:textId="48899A22"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4A4EF315" w14:textId="61EAE829" w:rsidR="000753D0" w:rsidRPr="007F0EC9" w:rsidRDefault="000753D0" w:rsidP="000753D0">
            <w:pPr>
              <w:jc w:val="center"/>
              <w:rPr>
                <w:color w:val="000000"/>
                <w:sz w:val="18"/>
                <w:szCs w:val="18"/>
              </w:rPr>
            </w:pPr>
            <w:r w:rsidRPr="007F0EC9">
              <w:rPr>
                <w:color w:val="000000"/>
                <w:sz w:val="18"/>
                <w:szCs w:val="18"/>
              </w:rPr>
              <w:t>9</w:t>
            </w:r>
          </w:p>
        </w:tc>
      </w:tr>
      <w:tr w:rsidR="000753D0" w:rsidRPr="008D54A5" w14:paraId="380CA137" w14:textId="77777777" w:rsidTr="002767FE">
        <w:trPr>
          <w:trHeight w:val="89"/>
        </w:trPr>
        <w:tc>
          <w:tcPr>
            <w:tcW w:w="1028" w:type="pct"/>
            <w:shd w:val="clear" w:color="auto" w:fill="auto"/>
            <w:vAlign w:val="bottom"/>
            <w:hideMark/>
          </w:tcPr>
          <w:p w14:paraId="3C51F09B" w14:textId="77777777" w:rsidR="000753D0" w:rsidRPr="008D54A5" w:rsidRDefault="000753D0" w:rsidP="000753D0">
            <w:pPr>
              <w:rPr>
                <w:color w:val="000000"/>
                <w:sz w:val="18"/>
                <w:szCs w:val="18"/>
              </w:rPr>
            </w:pPr>
            <w:r w:rsidRPr="008D54A5">
              <w:rPr>
                <w:color w:val="000000"/>
                <w:sz w:val="18"/>
                <w:szCs w:val="18"/>
              </w:rPr>
              <w:t xml:space="preserve">Emergency Room </w:t>
            </w:r>
            <w:proofErr w:type="gramStart"/>
            <w:r w:rsidRPr="008D54A5">
              <w:rPr>
                <w:color w:val="000000"/>
                <w:sz w:val="18"/>
                <w:szCs w:val="18"/>
              </w:rPr>
              <w:t>With</w:t>
            </w:r>
            <w:proofErr w:type="gramEnd"/>
            <w:r w:rsidRPr="008D54A5">
              <w:rPr>
                <w:color w:val="000000"/>
                <w:sz w:val="18"/>
                <w:szCs w:val="18"/>
              </w:rPr>
              <w:t xml:space="preserve"> Surgery linked to 2 night Inpatient</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2E883922" w14:textId="0BD9569F"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3B04AA7D" w14:textId="2BDCD08E"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3D0D4EC8" w14:textId="5139934E"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42943289" w14:textId="28D4E843" w:rsidR="000753D0" w:rsidRPr="007F0EC9" w:rsidRDefault="000753D0" w:rsidP="000753D0">
            <w:pPr>
              <w:jc w:val="center"/>
              <w:rPr>
                <w:color w:val="000000"/>
                <w:sz w:val="18"/>
                <w:szCs w:val="18"/>
              </w:rPr>
            </w:pPr>
            <w:r w:rsidRPr="007F0EC9">
              <w:rPr>
                <w:color w:val="000000"/>
                <w:sz w:val="18"/>
                <w:szCs w:val="18"/>
              </w:rPr>
              <w:t>+ (0)</w:t>
            </w:r>
          </w:p>
        </w:tc>
        <w:tc>
          <w:tcPr>
            <w:tcW w:w="439" w:type="pct"/>
            <w:tcBorders>
              <w:top w:val="nil"/>
              <w:left w:val="nil"/>
              <w:bottom w:val="single" w:sz="4" w:space="0" w:color="auto"/>
              <w:right w:val="single" w:sz="4" w:space="0" w:color="auto"/>
            </w:tcBorders>
            <w:shd w:val="clear" w:color="auto" w:fill="auto"/>
            <w:vAlign w:val="bottom"/>
            <w:hideMark/>
          </w:tcPr>
          <w:p w14:paraId="4A63907B" w14:textId="0ADF0C6A"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68AA88EF" w14:textId="29EBE938" w:rsidR="000753D0" w:rsidRPr="007F0EC9" w:rsidRDefault="000753D0" w:rsidP="000753D0">
            <w:pPr>
              <w:jc w:val="center"/>
              <w:rPr>
                <w:color w:val="000000"/>
                <w:sz w:val="18"/>
                <w:szCs w:val="18"/>
              </w:rPr>
            </w:pPr>
            <w:r w:rsidRPr="007F0EC9">
              <w:rPr>
                <w:color w:val="000000"/>
                <w:sz w:val="18"/>
                <w:szCs w:val="18"/>
              </w:rPr>
              <w:t>+ (0)</w:t>
            </w:r>
          </w:p>
        </w:tc>
        <w:tc>
          <w:tcPr>
            <w:tcW w:w="390" w:type="pct"/>
            <w:tcBorders>
              <w:top w:val="nil"/>
              <w:left w:val="nil"/>
              <w:bottom w:val="single" w:sz="4" w:space="0" w:color="auto"/>
              <w:right w:val="single" w:sz="4" w:space="0" w:color="auto"/>
            </w:tcBorders>
            <w:shd w:val="clear" w:color="auto" w:fill="auto"/>
            <w:vAlign w:val="bottom"/>
            <w:hideMark/>
          </w:tcPr>
          <w:p w14:paraId="71543940" w14:textId="5A5ED159" w:rsidR="000753D0" w:rsidRPr="007F0EC9" w:rsidRDefault="000753D0" w:rsidP="000753D0">
            <w:pPr>
              <w:jc w:val="center"/>
              <w:rPr>
                <w:color w:val="000000"/>
                <w:sz w:val="18"/>
                <w:szCs w:val="18"/>
              </w:rPr>
            </w:pPr>
            <w:r w:rsidRPr="007F0EC9">
              <w:rPr>
                <w:color w:val="000000"/>
                <w:sz w:val="18"/>
                <w:szCs w:val="18"/>
              </w:rPr>
              <w:t>X</w:t>
            </w:r>
          </w:p>
        </w:tc>
        <w:tc>
          <w:tcPr>
            <w:tcW w:w="393" w:type="pct"/>
            <w:tcBorders>
              <w:top w:val="nil"/>
              <w:left w:val="nil"/>
              <w:bottom w:val="single" w:sz="4" w:space="0" w:color="auto"/>
              <w:right w:val="single" w:sz="4" w:space="0" w:color="auto"/>
            </w:tcBorders>
            <w:shd w:val="clear" w:color="auto" w:fill="auto"/>
            <w:vAlign w:val="bottom"/>
            <w:hideMark/>
          </w:tcPr>
          <w:p w14:paraId="472532D4" w14:textId="02923288"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791BBC1D" w14:textId="3DA92DCC" w:rsidR="000753D0" w:rsidRPr="007F0EC9" w:rsidRDefault="000753D0" w:rsidP="000753D0">
            <w:pPr>
              <w:jc w:val="center"/>
              <w:rPr>
                <w:color w:val="000000"/>
                <w:sz w:val="18"/>
                <w:szCs w:val="18"/>
              </w:rPr>
            </w:pPr>
            <w:r w:rsidRPr="007F0EC9">
              <w:rPr>
                <w:color w:val="000000"/>
                <w:sz w:val="18"/>
                <w:szCs w:val="18"/>
              </w:rPr>
              <w:t>0</w:t>
            </w:r>
          </w:p>
        </w:tc>
      </w:tr>
      <w:tr w:rsidR="000753D0" w:rsidRPr="008D54A5" w14:paraId="545F6EA9" w14:textId="77777777" w:rsidTr="002767FE">
        <w:trPr>
          <w:trHeight w:val="251"/>
        </w:trPr>
        <w:tc>
          <w:tcPr>
            <w:tcW w:w="1028" w:type="pct"/>
            <w:shd w:val="clear" w:color="auto" w:fill="auto"/>
            <w:vAlign w:val="bottom"/>
            <w:hideMark/>
          </w:tcPr>
          <w:p w14:paraId="57919E69" w14:textId="77777777" w:rsidR="000753D0" w:rsidRPr="008D54A5" w:rsidRDefault="000753D0" w:rsidP="000753D0">
            <w:pPr>
              <w:rPr>
                <w:color w:val="000000"/>
                <w:sz w:val="18"/>
                <w:szCs w:val="18"/>
              </w:rPr>
            </w:pPr>
            <w:r w:rsidRPr="008D54A5">
              <w:rPr>
                <w:color w:val="000000"/>
                <w:sz w:val="18"/>
                <w:szCs w:val="18"/>
              </w:rPr>
              <w:t xml:space="preserve">Emergency Room No Surgery linked to </w:t>
            </w:r>
            <w:proofErr w:type="gramStart"/>
            <w:r w:rsidRPr="008D54A5">
              <w:rPr>
                <w:color w:val="000000"/>
                <w:sz w:val="18"/>
                <w:szCs w:val="18"/>
              </w:rPr>
              <w:t>2 night</w:t>
            </w:r>
            <w:proofErr w:type="gramEnd"/>
            <w:r w:rsidRPr="008D54A5">
              <w:rPr>
                <w:color w:val="000000"/>
                <w:sz w:val="18"/>
                <w:szCs w:val="18"/>
              </w:rPr>
              <w:t xml:space="preserve"> Inpatient</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0876FD69" w14:textId="1E4ED344" w:rsidR="000753D0" w:rsidRPr="007F0EC9" w:rsidRDefault="000753D0" w:rsidP="000753D0">
            <w:pPr>
              <w:jc w:val="center"/>
              <w:rPr>
                <w:color w:val="000000"/>
                <w:sz w:val="18"/>
                <w:szCs w:val="18"/>
              </w:rPr>
            </w:pPr>
            <w:r w:rsidRPr="007F0EC9">
              <w:rPr>
                <w:color w:val="000000"/>
                <w:sz w:val="18"/>
                <w:szCs w:val="18"/>
              </w:rPr>
              <w:t>+ (0)</w:t>
            </w:r>
          </w:p>
        </w:tc>
        <w:tc>
          <w:tcPr>
            <w:tcW w:w="470" w:type="pct"/>
            <w:tcBorders>
              <w:top w:val="nil"/>
              <w:left w:val="nil"/>
              <w:bottom w:val="single" w:sz="4" w:space="0" w:color="auto"/>
              <w:right w:val="single" w:sz="4" w:space="0" w:color="auto"/>
            </w:tcBorders>
            <w:shd w:val="clear" w:color="auto" w:fill="auto"/>
            <w:vAlign w:val="bottom"/>
            <w:hideMark/>
          </w:tcPr>
          <w:p w14:paraId="57E461C3" w14:textId="510B8E40"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6F874DA7" w14:textId="435D1015"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34BAFB60" w14:textId="643EBF82"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044A6786" w14:textId="5645BBD0"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35722465" w14:textId="4C42EF62"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nil"/>
              <w:left w:val="nil"/>
              <w:bottom w:val="single" w:sz="4" w:space="0" w:color="auto"/>
              <w:right w:val="single" w:sz="4" w:space="0" w:color="auto"/>
            </w:tcBorders>
            <w:shd w:val="clear" w:color="auto" w:fill="auto"/>
            <w:vAlign w:val="bottom"/>
            <w:hideMark/>
          </w:tcPr>
          <w:p w14:paraId="76EB10AD" w14:textId="3EE64DC1" w:rsidR="000753D0" w:rsidRPr="007F0EC9" w:rsidRDefault="000753D0" w:rsidP="000753D0">
            <w:pPr>
              <w:jc w:val="center"/>
              <w:rPr>
                <w:color w:val="000000"/>
                <w:sz w:val="18"/>
                <w:szCs w:val="18"/>
              </w:rPr>
            </w:pPr>
            <w:r w:rsidRPr="007F0EC9">
              <w:rPr>
                <w:color w:val="000000"/>
                <w:sz w:val="18"/>
                <w:szCs w:val="18"/>
              </w:rPr>
              <w:t>+ (6)</w:t>
            </w:r>
          </w:p>
        </w:tc>
        <w:tc>
          <w:tcPr>
            <w:tcW w:w="393" w:type="pct"/>
            <w:tcBorders>
              <w:top w:val="nil"/>
              <w:left w:val="nil"/>
              <w:bottom w:val="single" w:sz="4" w:space="0" w:color="auto"/>
              <w:right w:val="single" w:sz="4" w:space="0" w:color="auto"/>
            </w:tcBorders>
            <w:shd w:val="clear" w:color="auto" w:fill="auto"/>
            <w:vAlign w:val="bottom"/>
            <w:hideMark/>
          </w:tcPr>
          <w:p w14:paraId="32EBC2D2" w14:textId="2441C613"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199DC370" w14:textId="0A587C08" w:rsidR="000753D0" w:rsidRPr="007F0EC9" w:rsidRDefault="000753D0" w:rsidP="000753D0">
            <w:pPr>
              <w:jc w:val="center"/>
              <w:rPr>
                <w:color w:val="000000"/>
                <w:sz w:val="18"/>
                <w:szCs w:val="18"/>
              </w:rPr>
            </w:pPr>
            <w:r w:rsidRPr="007F0EC9">
              <w:rPr>
                <w:color w:val="000000"/>
                <w:sz w:val="18"/>
                <w:szCs w:val="18"/>
              </w:rPr>
              <w:t>6</w:t>
            </w:r>
          </w:p>
        </w:tc>
      </w:tr>
      <w:tr w:rsidR="000753D0" w:rsidRPr="008D54A5" w14:paraId="035EFA11" w14:textId="77777777" w:rsidTr="002767FE">
        <w:trPr>
          <w:trHeight w:val="350"/>
        </w:trPr>
        <w:tc>
          <w:tcPr>
            <w:tcW w:w="1028" w:type="pct"/>
            <w:shd w:val="clear" w:color="auto" w:fill="auto"/>
            <w:vAlign w:val="bottom"/>
            <w:hideMark/>
          </w:tcPr>
          <w:p w14:paraId="6C253477" w14:textId="77777777" w:rsidR="000753D0" w:rsidRPr="008D54A5" w:rsidRDefault="000753D0" w:rsidP="000753D0">
            <w:pPr>
              <w:rPr>
                <w:color w:val="000000"/>
                <w:sz w:val="18"/>
                <w:szCs w:val="18"/>
              </w:rPr>
            </w:pPr>
            <w:r w:rsidRPr="008D54A5">
              <w:rPr>
                <w:color w:val="000000"/>
                <w:sz w:val="18"/>
                <w:szCs w:val="18"/>
              </w:rPr>
              <w:t xml:space="preserve">Emergency Room </w:t>
            </w:r>
            <w:proofErr w:type="gramStart"/>
            <w:r w:rsidRPr="008D54A5">
              <w:rPr>
                <w:color w:val="000000"/>
                <w:sz w:val="18"/>
                <w:szCs w:val="18"/>
              </w:rPr>
              <w:t>With</w:t>
            </w:r>
            <w:proofErr w:type="gramEnd"/>
            <w:r w:rsidRPr="008D54A5">
              <w:rPr>
                <w:color w:val="000000"/>
                <w:sz w:val="18"/>
                <w:szCs w:val="18"/>
              </w:rPr>
              <w:t xml:space="preserve"> Surgery linked to 3+ night Inpatient</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6A5AA8B9" w14:textId="7F9AEA10"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3307A5D6" w14:textId="751259A0"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4771DA68" w14:textId="5C054C07"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75D4B58C" w14:textId="5242A0F4"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7C45C008" w14:textId="61258682"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1AE4DCA2" w14:textId="77A60935" w:rsidR="000753D0" w:rsidRPr="007F0EC9" w:rsidRDefault="000753D0" w:rsidP="000753D0">
            <w:pPr>
              <w:jc w:val="center"/>
              <w:rPr>
                <w:color w:val="000000"/>
                <w:sz w:val="18"/>
                <w:szCs w:val="18"/>
              </w:rPr>
            </w:pPr>
            <w:r w:rsidRPr="007F0EC9">
              <w:rPr>
                <w:color w:val="000000"/>
                <w:sz w:val="18"/>
                <w:szCs w:val="18"/>
              </w:rPr>
              <w:t>+ (0)</w:t>
            </w:r>
          </w:p>
        </w:tc>
        <w:tc>
          <w:tcPr>
            <w:tcW w:w="390" w:type="pct"/>
            <w:tcBorders>
              <w:top w:val="nil"/>
              <w:left w:val="nil"/>
              <w:bottom w:val="single" w:sz="4" w:space="0" w:color="auto"/>
              <w:right w:val="single" w:sz="4" w:space="0" w:color="auto"/>
            </w:tcBorders>
            <w:shd w:val="clear" w:color="auto" w:fill="auto"/>
            <w:vAlign w:val="bottom"/>
            <w:hideMark/>
          </w:tcPr>
          <w:p w14:paraId="58F0F1B7" w14:textId="37BC2A3E" w:rsidR="000753D0" w:rsidRPr="007F0EC9" w:rsidRDefault="000753D0" w:rsidP="000753D0">
            <w:pPr>
              <w:jc w:val="center"/>
              <w:rPr>
                <w:color w:val="000000"/>
                <w:sz w:val="18"/>
                <w:szCs w:val="18"/>
              </w:rPr>
            </w:pPr>
            <w:r w:rsidRPr="007F0EC9">
              <w:rPr>
                <w:color w:val="000000"/>
                <w:sz w:val="18"/>
                <w:szCs w:val="18"/>
              </w:rPr>
              <w:t>X</w:t>
            </w:r>
          </w:p>
        </w:tc>
        <w:tc>
          <w:tcPr>
            <w:tcW w:w="393" w:type="pct"/>
            <w:tcBorders>
              <w:top w:val="nil"/>
              <w:left w:val="nil"/>
              <w:bottom w:val="single" w:sz="4" w:space="0" w:color="auto"/>
              <w:right w:val="single" w:sz="4" w:space="0" w:color="auto"/>
            </w:tcBorders>
            <w:shd w:val="clear" w:color="auto" w:fill="auto"/>
            <w:vAlign w:val="bottom"/>
            <w:hideMark/>
          </w:tcPr>
          <w:p w14:paraId="2E75E288" w14:textId="48AD6D41"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7B804834" w14:textId="4045438F" w:rsidR="000753D0" w:rsidRPr="007F0EC9" w:rsidRDefault="000753D0" w:rsidP="000753D0">
            <w:pPr>
              <w:jc w:val="center"/>
              <w:rPr>
                <w:color w:val="000000"/>
                <w:sz w:val="18"/>
                <w:szCs w:val="18"/>
              </w:rPr>
            </w:pPr>
            <w:r w:rsidRPr="007F0EC9">
              <w:rPr>
                <w:color w:val="000000"/>
                <w:sz w:val="18"/>
                <w:szCs w:val="18"/>
              </w:rPr>
              <w:t>0</w:t>
            </w:r>
          </w:p>
        </w:tc>
      </w:tr>
      <w:tr w:rsidR="000753D0" w:rsidRPr="008D54A5" w14:paraId="680480D8" w14:textId="77777777" w:rsidTr="002767FE">
        <w:trPr>
          <w:trHeight w:val="116"/>
        </w:trPr>
        <w:tc>
          <w:tcPr>
            <w:tcW w:w="1028" w:type="pct"/>
            <w:shd w:val="clear" w:color="auto" w:fill="auto"/>
            <w:vAlign w:val="bottom"/>
            <w:hideMark/>
          </w:tcPr>
          <w:p w14:paraId="6DAC055C" w14:textId="77777777" w:rsidR="000753D0" w:rsidRPr="008D54A5" w:rsidRDefault="000753D0" w:rsidP="000753D0">
            <w:pPr>
              <w:rPr>
                <w:color w:val="000000"/>
                <w:sz w:val="18"/>
                <w:szCs w:val="18"/>
              </w:rPr>
            </w:pPr>
            <w:r w:rsidRPr="008D54A5">
              <w:rPr>
                <w:color w:val="000000"/>
                <w:sz w:val="18"/>
                <w:szCs w:val="18"/>
              </w:rPr>
              <w:t>Emergency Room No Surgery linked to 3+ night Inpatient</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7B569A8C" w14:textId="3C3DA2D6" w:rsidR="000753D0" w:rsidRPr="007F0EC9" w:rsidRDefault="000753D0" w:rsidP="000753D0">
            <w:pPr>
              <w:jc w:val="center"/>
              <w:rPr>
                <w:color w:val="000000"/>
                <w:sz w:val="18"/>
                <w:szCs w:val="18"/>
              </w:rPr>
            </w:pPr>
            <w:r w:rsidRPr="007F0EC9">
              <w:rPr>
                <w:color w:val="000000"/>
                <w:sz w:val="18"/>
                <w:szCs w:val="18"/>
              </w:rPr>
              <w:t>+ (0)</w:t>
            </w:r>
          </w:p>
        </w:tc>
        <w:tc>
          <w:tcPr>
            <w:tcW w:w="470" w:type="pct"/>
            <w:tcBorders>
              <w:top w:val="nil"/>
              <w:left w:val="nil"/>
              <w:bottom w:val="single" w:sz="4" w:space="0" w:color="auto"/>
              <w:right w:val="single" w:sz="4" w:space="0" w:color="auto"/>
            </w:tcBorders>
            <w:shd w:val="clear" w:color="auto" w:fill="auto"/>
            <w:vAlign w:val="bottom"/>
            <w:hideMark/>
          </w:tcPr>
          <w:p w14:paraId="4473DE13" w14:textId="239CB613"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2C1B6A6D" w14:textId="4E01B192"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32CEA42D" w14:textId="3206107F"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3C7D1E40" w14:textId="2DB3A58A"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26FE572A" w14:textId="5FE26AF5"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nil"/>
              <w:left w:val="nil"/>
              <w:bottom w:val="single" w:sz="4" w:space="0" w:color="auto"/>
              <w:right w:val="single" w:sz="4" w:space="0" w:color="auto"/>
            </w:tcBorders>
            <w:shd w:val="clear" w:color="auto" w:fill="auto"/>
            <w:vAlign w:val="bottom"/>
            <w:hideMark/>
          </w:tcPr>
          <w:p w14:paraId="0662BEE7" w14:textId="0C2E3251" w:rsidR="000753D0" w:rsidRPr="007F0EC9" w:rsidRDefault="000753D0" w:rsidP="000753D0">
            <w:pPr>
              <w:jc w:val="center"/>
              <w:rPr>
                <w:color w:val="000000"/>
                <w:sz w:val="18"/>
                <w:szCs w:val="18"/>
              </w:rPr>
            </w:pPr>
            <w:r w:rsidRPr="007F0EC9">
              <w:rPr>
                <w:color w:val="000000"/>
                <w:sz w:val="18"/>
                <w:szCs w:val="18"/>
              </w:rPr>
              <w:t>+ (10)</w:t>
            </w:r>
          </w:p>
        </w:tc>
        <w:tc>
          <w:tcPr>
            <w:tcW w:w="393" w:type="pct"/>
            <w:tcBorders>
              <w:top w:val="nil"/>
              <w:left w:val="nil"/>
              <w:bottom w:val="single" w:sz="4" w:space="0" w:color="auto"/>
              <w:right w:val="single" w:sz="4" w:space="0" w:color="auto"/>
            </w:tcBorders>
            <w:shd w:val="clear" w:color="auto" w:fill="auto"/>
            <w:vAlign w:val="bottom"/>
            <w:hideMark/>
          </w:tcPr>
          <w:p w14:paraId="154252D3" w14:textId="634D03D2"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2C703741" w14:textId="1C988A8C" w:rsidR="000753D0" w:rsidRPr="007F0EC9" w:rsidRDefault="000753D0" w:rsidP="000753D0">
            <w:pPr>
              <w:jc w:val="center"/>
              <w:rPr>
                <w:color w:val="000000"/>
                <w:sz w:val="18"/>
                <w:szCs w:val="18"/>
              </w:rPr>
            </w:pPr>
            <w:r w:rsidRPr="007F0EC9">
              <w:rPr>
                <w:color w:val="000000"/>
                <w:sz w:val="18"/>
                <w:szCs w:val="18"/>
              </w:rPr>
              <w:t>10</w:t>
            </w:r>
          </w:p>
        </w:tc>
      </w:tr>
      <w:tr w:rsidR="000753D0" w:rsidRPr="008D54A5" w14:paraId="631EF48E" w14:textId="77777777" w:rsidTr="002767FE">
        <w:trPr>
          <w:trHeight w:val="224"/>
        </w:trPr>
        <w:tc>
          <w:tcPr>
            <w:tcW w:w="1028" w:type="pct"/>
            <w:shd w:val="clear" w:color="auto" w:fill="auto"/>
            <w:vAlign w:val="bottom"/>
            <w:hideMark/>
          </w:tcPr>
          <w:p w14:paraId="0FCFBC35" w14:textId="77777777" w:rsidR="000753D0" w:rsidRPr="008D54A5" w:rsidRDefault="000753D0" w:rsidP="000753D0">
            <w:pPr>
              <w:rPr>
                <w:color w:val="000000"/>
                <w:sz w:val="18"/>
                <w:szCs w:val="18"/>
              </w:rPr>
            </w:pPr>
            <w:r w:rsidRPr="008D54A5">
              <w:rPr>
                <w:color w:val="000000"/>
                <w:sz w:val="18"/>
                <w:szCs w:val="18"/>
              </w:rPr>
              <w:t>Other Emergency Room, With Surgery</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2F73F9A6" w14:textId="2307EEFC"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0F3D1838" w14:textId="0267F006"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35D6D7B0" w14:textId="686FCBAD"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0E1D4F63" w14:textId="23E5A037" w:rsidR="000753D0" w:rsidRPr="007F0EC9" w:rsidRDefault="000753D0" w:rsidP="000753D0">
            <w:pPr>
              <w:jc w:val="center"/>
              <w:rPr>
                <w:color w:val="000000"/>
                <w:sz w:val="18"/>
                <w:szCs w:val="18"/>
              </w:rPr>
            </w:pPr>
            <w:r w:rsidRPr="007F0EC9">
              <w:rPr>
                <w:color w:val="000000"/>
                <w:sz w:val="18"/>
                <w:szCs w:val="18"/>
              </w:rPr>
              <w:t>+ (3)</w:t>
            </w:r>
          </w:p>
        </w:tc>
        <w:tc>
          <w:tcPr>
            <w:tcW w:w="439" w:type="pct"/>
            <w:tcBorders>
              <w:top w:val="nil"/>
              <w:left w:val="nil"/>
              <w:bottom w:val="single" w:sz="4" w:space="0" w:color="auto"/>
              <w:right w:val="single" w:sz="4" w:space="0" w:color="auto"/>
            </w:tcBorders>
            <w:shd w:val="clear" w:color="auto" w:fill="auto"/>
            <w:vAlign w:val="bottom"/>
            <w:hideMark/>
          </w:tcPr>
          <w:p w14:paraId="157B3147" w14:textId="3B402BD5" w:rsidR="000753D0" w:rsidRPr="007F0EC9" w:rsidRDefault="000753D0" w:rsidP="000753D0">
            <w:pPr>
              <w:jc w:val="center"/>
              <w:rPr>
                <w:color w:val="000000"/>
                <w:sz w:val="18"/>
                <w:szCs w:val="18"/>
              </w:rPr>
            </w:pPr>
            <w:r w:rsidRPr="007F0EC9">
              <w:rPr>
                <w:color w:val="000000"/>
                <w:sz w:val="18"/>
                <w:szCs w:val="18"/>
              </w:rPr>
              <w:t>X</w:t>
            </w:r>
          </w:p>
        </w:tc>
        <w:tc>
          <w:tcPr>
            <w:tcW w:w="520" w:type="pct"/>
            <w:tcBorders>
              <w:top w:val="nil"/>
              <w:left w:val="nil"/>
              <w:bottom w:val="single" w:sz="4" w:space="0" w:color="auto"/>
              <w:right w:val="single" w:sz="4" w:space="0" w:color="auto"/>
            </w:tcBorders>
            <w:shd w:val="clear" w:color="auto" w:fill="auto"/>
            <w:vAlign w:val="bottom"/>
            <w:hideMark/>
          </w:tcPr>
          <w:p w14:paraId="321E3FFE" w14:textId="27DE59A8" w:rsidR="000753D0" w:rsidRPr="007F0EC9" w:rsidRDefault="000753D0" w:rsidP="000753D0">
            <w:pPr>
              <w:jc w:val="center"/>
              <w:rPr>
                <w:color w:val="000000"/>
                <w:sz w:val="18"/>
                <w:szCs w:val="18"/>
              </w:rPr>
            </w:pPr>
            <w:r w:rsidRPr="007F0EC9">
              <w:rPr>
                <w:color w:val="000000"/>
                <w:sz w:val="18"/>
                <w:szCs w:val="18"/>
              </w:rPr>
              <w:t>+ (1)</w:t>
            </w:r>
          </w:p>
        </w:tc>
        <w:tc>
          <w:tcPr>
            <w:tcW w:w="390" w:type="pct"/>
            <w:tcBorders>
              <w:top w:val="nil"/>
              <w:left w:val="nil"/>
              <w:bottom w:val="single" w:sz="4" w:space="0" w:color="auto"/>
              <w:right w:val="single" w:sz="4" w:space="0" w:color="auto"/>
            </w:tcBorders>
            <w:shd w:val="clear" w:color="auto" w:fill="auto"/>
            <w:vAlign w:val="bottom"/>
            <w:hideMark/>
          </w:tcPr>
          <w:p w14:paraId="4D89CCE3" w14:textId="18223C41" w:rsidR="000753D0" w:rsidRPr="007F0EC9" w:rsidRDefault="000753D0" w:rsidP="000753D0">
            <w:pPr>
              <w:jc w:val="center"/>
              <w:rPr>
                <w:color w:val="000000"/>
                <w:sz w:val="18"/>
                <w:szCs w:val="18"/>
              </w:rPr>
            </w:pPr>
            <w:r w:rsidRPr="007F0EC9">
              <w:rPr>
                <w:color w:val="000000"/>
                <w:sz w:val="18"/>
                <w:szCs w:val="18"/>
              </w:rPr>
              <w:t>X</w:t>
            </w:r>
          </w:p>
        </w:tc>
        <w:tc>
          <w:tcPr>
            <w:tcW w:w="393" w:type="pct"/>
            <w:tcBorders>
              <w:top w:val="nil"/>
              <w:left w:val="nil"/>
              <w:bottom w:val="single" w:sz="4" w:space="0" w:color="auto"/>
              <w:right w:val="single" w:sz="4" w:space="0" w:color="auto"/>
            </w:tcBorders>
            <w:shd w:val="clear" w:color="auto" w:fill="auto"/>
            <w:vAlign w:val="bottom"/>
            <w:hideMark/>
          </w:tcPr>
          <w:p w14:paraId="3A860398" w14:textId="746E4242" w:rsidR="000753D0" w:rsidRPr="007F0EC9" w:rsidRDefault="000753D0" w:rsidP="000753D0">
            <w:pPr>
              <w:jc w:val="center"/>
              <w:rPr>
                <w:color w:val="000000"/>
                <w:sz w:val="18"/>
                <w:szCs w:val="18"/>
              </w:rPr>
            </w:pPr>
            <w:r w:rsidRPr="007F0EC9">
              <w:rPr>
                <w:color w:val="000000"/>
                <w:sz w:val="18"/>
                <w:szCs w:val="18"/>
              </w:rPr>
              <w:t>X</w:t>
            </w:r>
          </w:p>
        </w:tc>
        <w:tc>
          <w:tcPr>
            <w:tcW w:w="300" w:type="pct"/>
            <w:tcBorders>
              <w:top w:val="nil"/>
              <w:left w:val="nil"/>
              <w:bottom w:val="single" w:sz="4" w:space="0" w:color="auto"/>
              <w:right w:val="single" w:sz="4" w:space="0" w:color="auto"/>
            </w:tcBorders>
            <w:shd w:val="clear" w:color="auto" w:fill="auto"/>
            <w:noWrap/>
            <w:vAlign w:val="bottom"/>
            <w:hideMark/>
          </w:tcPr>
          <w:p w14:paraId="4244C3F9" w14:textId="44F0C41B" w:rsidR="000753D0" w:rsidRPr="007F0EC9" w:rsidRDefault="000753D0" w:rsidP="000753D0">
            <w:pPr>
              <w:jc w:val="center"/>
              <w:rPr>
                <w:color w:val="000000"/>
                <w:sz w:val="18"/>
                <w:szCs w:val="18"/>
              </w:rPr>
            </w:pPr>
            <w:r w:rsidRPr="007F0EC9">
              <w:rPr>
                <w:color w:val="000000"/>
                <w:sz w:val="18"/>
                <w:szCs w:val="18"/>
              </w:rPr>
              <w:t>4</w:t>
            </w:r>
          </w:p>
        </w:tc>
      </w:tr>
      <w:tr w:rsidR="000753D0" w:rsidRPr="008D54A5" w14:paraId="0B50FB57" w14:textId="77777777" w:rsidTr="002767FE">
        <w:trPr>
          <w:trHeight w:val="170"/>
        </w:trPr>
        <w:tc>
          <w:tcPr>
            <w:tcW w:w="1028" w:type="pct"/>
            <w:shd w:val="clear" w:color="auto" w:fill="auto"/>
            <w:vAlign w:val="bottom"/>
            <w:hideMark/>
          </w:tcPr>
          <w:p w14:paraId="3598E844" w14:textId="77777777" w:rsidR="000753D0" w:rsidRPr="008D54A5" w:rsidRDefault="000753D0" w:rsidP="000753D0">
            <w:pPr>
              <w:rPr>
                <w:color w:val="000000"/>
                <w:sz w:val="18"/>
                <w:szCs w:val="18"/>
              </w:rPr>
            </w:pPr>
            <w:r w:rsidRPr="008D54A5">
              <w:rPr>
                <w:color w:val="000000"/>
                <w:sz w:val="18"/>
                <w:szCs w:val="18"/>
              </w:rPr>
              <w:t>Other Emergency Room, No Surgery</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46135C22" w14:textId="63A00976" w:rsidR="000753D0" w:rsidRPr="007F0EC9" w:rsidRDefault="000753D0" w:rsidP="000753D0">
            <w:pPr>
              <w:jc w:val="center"/>
              <w:rPr>
                <w:color w:val="000000"/>
                <w:sz w:val="18"/>
                <w:szCs w:val="18"/>
              </w:rPr>
            </w:pPr>
            <w:r w:rsidRPr="007F0EC9">
              <w:rPr>
                <w:color w:val="000000"/>
                <w:sz w:val="18"/>
                <w:szCs w:val="18"/>
              </w:rPr>
              <w:t>+ (0)</w:t>
            </w:r>
          </w:p>
        </w:tc>
        <w:tc>
          <w:tcPr>
            <w:tcW w:w="470" w:type="pct"/>
            <w:tcBorders>
              <w:top w:val="nil"/>
              <w:left w:val="nil"/>
              <w:bottom w:val="single" w:sz="4" w:space="0" w:color="auto"/>
              <w:right w:val="single" w:sz="4" w:space="0" w:color="auto"/>
            </w:tcBorders>
            <w:shd w:val="clear" w:color="auto" w:fill="auto"/>
            <w:vAlign w:val="bottom"/>
            <w:hideMark/>
          </w:tcPr>
          <w:p w14:paraId="6FC25F9D" w14:textId="0D97E2EA"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0EDAED05" w14:textId="16E8E5D4"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7FC38A57" w14:textId="7FC5C00B"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0B9F2E49" w14:textId="60655184" w:rsidR="000753D0" w:rsidRPr="007F0EC9" w:rsidRDefault="000753D0" w:rsidP="000753D0">
            <w:pPr>
              <w:jc w:val="center"/>
              <w:rPr>
                <w:color w:val="000000"/>
                <w:sz w:val="18"/>
                <w:szCs w:val="18"/>
              </w:rPr>
            </w:pPr>
            <w:r w:rsidRPr="007F0EC9">
              <w:rPr>
                <w:color w:val="000000"/>
                <w:sz w:val="18"/>
                <w:szCs w:val="18"/>
              </w:rPr>
              <w:t>+ (133)</w:t>
            </w:r>
          </w:p>
        </w:tc>
        <w:tc>
          <w:tcPr>
            <w:tcW w:w="520" w:type="pct"/>
            <w:tcBorders>
              <w:top w:val="nil"/>
              <w:left w:val="nil"/>
              <w:bottom w:val="single" w:sz="4" w:space="0" w:color="auto"/>
              <w:right w:val="single" w:sz="4" w:space="0" w:color="auto"/>
            </w:tcBorders>
            <w:shd w:val="clear" w:color="auto" w:fill="auto"/>
            <w:vAlign w:val="bottom"/>
            <w:hideMark/>
          </w:tcPr>
          <w:p w14:paraId="74BF519A" w14:textId="29F527F8"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nil"/>
              <w:left w:val="nil"/>
              <w:bottom w:val="single" w:sz="4" w:space="0" w:color="auto"/>
              <w:right w:val="single" w:sz="4" w:space="0" w:color="auto"/>
            </w:tcBorders>
            <w:shd w:val="clear" w:color="auto" w:fill="auto"/>
            <w:vAlign w:val="bottom"/>
            <w:hideMark/>
          </w:tcPr>
          <w:p w14:paraId="6AAA6BCA" w14:textId="3D0B27F7" w:rsidR="000753D0" w:rsidRPr="007F0EC9" w:rsidRDefault="000753D0" w:rsidP="000753D0">
            <w:pPr>
              <w:jc w:val="center"/>
              <w:rPr>
                <w:color w:val="000000"/>
                <w:sz w:val="18"/>
                <w:szCs w:val="18"/>
              </w:rPr>
            </w:pPr>
            <w:r w:rsidRPr="007F0EC9">
              <w:rPr>
                <w:color w:val="000000"/>
                <w:sz w:val="18"/>
                <w:szCs w:val="18"/>
              </w:rPr>
              <w:t>+ (67)</w:t>
            </w:r>
          </w:p>
        </w:tc>
        <w:tc>
          <w:tcPr>
            <w:tcW w:w="393" w:type="pct"/>
            <w:tcBorders>
              <w:top w:val="nil"/>
              <w:left w:val="nil"/>
              <w:bottom w:val="single" w:sz="4" w:space="0" w:color="auto"/>
              <w:right w:val="single" w:sz="4" w:space="0" w:color="auto"/>
            </w:tcBorders>
            <w:shd w:val="clear" w:color="auto" w:fill="auto"/>
            <w:vAlign w:val="bottom"/>
            <w:hideMark/>
          </w:tcPr>
          <w:p w14:paraId="26F6257C" w14:textId="70090485" w:rsidR="000753D0" w:rsidRPr="007F0EC9" w:rsidRDefault="000753D0" w:rsidP="000753D0">
            <w:pPr>
              <w:jc w:val="center"/>
              <w:rPr>
                <w:color w:val="000000"/>
                <w:sz w:val="18"/>
                <w:szCs w:val="18"/>
              </w:rPr>
            </w:pPr>
            <w:r w:rsidRPr="007F0EC9">
              <w:rPr>
                <w:color w:val="000000"/>
                <w:sz w:val="18"/>
                <w:szCs w:val="18"/>
              </w:rPr>
              <w:t>+ (144)</w:t>
            </w:r>
          </w:p>
        </w:tc>
        <w:tc>
          <w:tcPr>
            <w:tcW w:w="300" w:type="pct"/>
            <w:tcBorders>
              <w:top w:val="nil"/>
              <w:left w:val="nil"/>
              <w:bottom w:val="single" w:sz="4" w:space="0" w:color="auto"/>
              <w:right w:val="single" w:sz="4" w:space="0" w:color="auto"/>
            </w:tcBorders>
            <w:shd w:val="clear" w:color="auto" w:fill="auto"/>
            <w:noWrap/>
            <w:vAlign w:val="bottom"/>
            <w:hideMark/>
          </w:tcPr>
          <w:p w14:paraId="4C08DE9D" w14:textId="24FF61B2" w:rsidR="000753D0" w:rsidRPr="007F0EC9" w:rsidRDefault="000753D0" w:rsidP="000753D0">
            <w:pPr>
              <w:jc w:val="center"/>
              <w:rPr>
                <w:color w:val="000000"/>
                <w:sz w:val="18"/>
                <w:szCs w:val="18"/>
              </w:rPr>
            </w:pPr>
            <w:r w:rsidRPr="007F0EC9">
              <w:rPr>
                <w:color w:val="000000"/>
                <w:sz w:val="18"/>
                <w:szCs w:val="18"/>
              </w:rPr>
              <w:t>344</w:t>
            </w:r>
          </w:p>
        </w:tc>
      </w:tr>
      <w:tr w:rsidR="000753D0" w:rsidRPr="008D54A5" w14:paraId="2E0270C2" w14:textId="77777777" w:rsidTr="002767FE">
        <w:trPr>
          <w:trHeight w:val="188"/>
        </w:trPr>
        <w:tc>
          <w:tcPr>
            <w:tcW w:w="1028" w:type="pct"/>
            <w:shd w:val="clear" w:color="auto" w:fill="auto"/>
            <w:vAlign w:val="bottom"/>
            <w:hideMark/>
          </w:tcPr>
          <w:p w14:paraId="3CC6E4F7" w14:textId="77777777" w:rsidR="000753D0" w:rsidRPr="008D54A5" w:rsidRDefault="000753D0" w:rsidP="000753D0">
            <w:pPr>
              <w:rPr>
                <w:color w:val="000000"/>
                <w:sz w:val="18"/>
                <w:szCs w:val="18"/>
              </w:rPr>
            </w:pPr>
            <w:r w:rsidRPr="008D54A5">
              <w:rPr>
                <w:color w:val="000000"/>
                <w:sz w:val="18"/>
                <w:szCs w:val="18"/>
              </w:rPr>
              <w:t>Medical Visit</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354A9F96" w14:textId="7453BB68"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0AD91EC1" w14:textId="4B498B81" w:rsidR="000753D0" w:rsidRPr="007F0EC9" w:rsidRDefault="000753D0" w:rsidP="000753D0">
            <w:pPr>
              <w:jc w:val="center"/>
              <w:rPr>
                <w:color w:val="000000"/>
                <w:sz w:val="18"/>
                <w:szCs w:val="18"/>
              </w:rPr>
            </w:pPr>
            <w:r w:rsidRPr="007F0EC9">
              <w:rPr>
                <w:color w:val="000000"/>
                <w:sz w:val="18"/>
                <w:szCs w:val="18"/>
              </w:rPr>
              <w:t>X</w:t>
            </w:r>
          </w:p>
        </w:tc>
        <w:tc>
          <w:tcPr>
            <w:tcW w:w="470" w:type="pct"/>
            <w:tcBorders>
              <w:top w:val="nil"/>
              <w:left w:val="nil"/>
              <w:bottom w:val="single" w:sz="4" w:space="0" w:color="auto"/>
              <w:right w:val="single" w:sz="4" w:space="0" w:color="auto"/>
            </w:tcBorders>
            <w:shd w:val="clear" w:color="auto" w:fill="auto"/>
            <w:vAlign w:val="bottom"/>
            <w:hideMark/>
          </w:tcPr>
          <w:p w14:paraId="467D7CBF" w14:textId="5F799E1E" w:rsidR="000753D0" w:rsidRPr="007F0EC9" w:rsidRDefault="000753D0" w:rsidP="000753D0">
            <w:pPr>
              <w:jc w:val="center"/>
              <w:rPr>
                <w:color w:val="000000"/>
                <w:sz w:val="18"/>
                <w:szCs w:val="18"/>
              </w:rPr>
            </w:pPr>
            <w:r w:rsidRPr="007F0EC9">
              <w:rPr>
                <w:color w:val="000000"/>
                <w:sz w:val="18"/>
                <w:szCs w:val="18"/>
              </w:rPr>
              <w:t>X</w:t>
            </w:r>
          </w:p>
        </w:tc>
        <w:tc>
          <w:tcPr>
            <w:tcW w:w="476" w:type="pct"/>
            <w:tcBorders>
              <w:top w:val="nil"/>
              <w:left w:val="nil"/>
              <w:bottom w:val="single" w:sz="4" w:space="0" w:color="auto"/>
              <w:right w:val="single" w:sz="4" w:space="0" w:color="auto"/>
            </w:tcBorders>
            <w:shd w:val="clear" w:color="auto" w:fill="auto"/>
            <w:vAlign w:val="bottom"/>
            <w:hideMark/>
          </w:tcPr>
          <w:p w14:paraId="572792C9" w14:textId="57B3BEF6" w:rsidR="000753D0" w:rsidRPr="007F0EC9" w:rsidRDefault="000753D0" w:rsidP="000753D0">
            <w:pPr>
              <w:jc w:val="center"/>
              <w:rPr>
                <w:color w:val="000000"/>
                <w:sz w:val="18"/>
                <w:szCs w:val="18"/>
              </w:rPr>
            </w:pPr>
            <w:r w:rsidRPr="007F0EC9">
              <w:rPr>
                <w:color w:val="000000"/>
                <w:sz w:val="18"/>
                <w:szCs w:val="18"/>
              </w:rPr>
              <w:t>X</w:t>
            </w:r>
          </w:p>
        </w:tc>
        <w:tc>
          <w:tcPr>
            <w:tcW w:w="439" w:type="pct"/>
            <w:tcBorders>
              <w:top w:val="nil"/>
              <w:left w:val="nil"/>
              <w:bottom w:val="single" w:sz="4" w:space="0" w:color="auto"/>
              <w:right w:val="single" w:sz="4" w:space="0" w:color="auto"/>
            </w:tcBorders>
            <w:shd w:val="clear" w:color="auto" w:fill="auto"/>
            <w:vAlign w:val="bottom"/>
            <w:hideMark/>
          </w:tcPr>
          <w:p w14:paraId="24371C56" w14:textId="25B1C9F2" w:rsidR="000753D0" w:rsidRPr="007F0EC9" w:rsidRDefault="000753D0" w:rsidP="000753D0">
            <w:pPr>
              <w:jc w:val="center"/>
              <w:rPr>
                <w:color w:val="000000"/>
                <w:sz w:val="18"/>
                <w:szCs w:val="18"/>
              </w:rPr>
            </w:pPr>
            <w:r w:rsidRPr="007F0EC9">
              <w:rPr>
                <w:color w:val="000000"/>
                <w:sz w:val="18"/>
                <w:szCs w:val="18"/>
              </w:rPr>
              <w:t>+ (217)</w:t>
            </w:r>
          </w:p>
        </w:tc>
        <w:tc>
          <w:tcPr>
            <w:tcW w:w="520" w:type="pct"/>
            <w:tcBorders>
              <w:top w:val="nil"/>
              <w:left w:val="nil"/>
              <w:bottom w:val="single" w:sz="4" w:space="0" w:color="auto"/>
              <w:right w:val="single" w:sz="4" w:space="0" w:color="auto"/>
            </w:tcBorders>
            <w:shd w:val="clear" w:color="auto" w:fill="auto"/>
            <w:vAlign w:val="bottom"/>
            <w:hideMark/>
          </w:tcPr>
          <w:p w14:paraId="7146D79F" w14:textId="309D15F1" w:rsidR="000753D0" w:rsidRPr="007F0EC9" w:rsidRDefault="000753D0" w:rsidP="000753D0">
            <w:pPr>
              <w:jc w:val="center"/>
              <w:rPr>
                <w:color w:val="000000"/>
                <w:sz w:val="18"/>
                <w:szCs w:val="18"/>
              </w:rPr>
            </w:pPr>
            <w:r w:rsidRPr="007F0EC9">
              <w:rPr>
                <w:color w:val="000000"/>
                <w:sz w:val="18"/>
                <w:szCs w:val="18"/>
              </w:rPr>
              <w:t>X</w:t>
            </w:r>
          </w:p>
        </w:tc>
        <w:tc>
          <w:tcPr>
            <w:tcW w:w="390" w:type="pct"/>
            <w:tcBorders>
              <w:top w:val="nil"/>
              <w:left w:val="nil"/>
              <w:bottom w:val="single" w:sz="4" w:space="0" w:color="auto"/>
              <w:right w:val="single" w:sz="4" w:space="0" w:color="auto"/>
            </w:tcBorders>
            <w:shd w:val="clear" w:color="auto" w:fill="auto"/>
            <w:vAlign w:val="bottom"/>
            <w:hideMark/>
          </w:tcPr>
          <w:p w14:paraId="45CADA6F" w14:textId="155F8DE7" w:rsidR="000753D0" w:rsidRPr="007F0EC9" w:rsidRDefault="000753D0" w:rsidP="000753D0">
            <w:pPr>
              <w:jc w:val="center"/>
              <w:rPr>
                <w:color w:val="000000"/>
                <w:sz w:val="18"/>
                <w:szCs w:val="18"/>
              </w:rPr>
            </w:pPr>
            <w:r w:rsidRPr="007F0EC9">
              <w:rPr>
                <w:color w:val="000000"/>
                <w:sz w:val="18"/>
                <w:szCs w:val="18"/>
              </w:rPr>
              <w:t>+ (34)</w:t>
            </w:r>
          </w:p>
        </w:tc>
        <w:tc>
          <w:tcPr>
            <w:tcW w:w="393" w:type="pct"/>
            <w:tcBorders>
              <w:top w:val="nil"/>
              <w:left w:val="nil"/>
              <w:bottom w:val="single" w:sz="4" w:space="0" w:color="auto"/>
              <w:right w:val="single" w:sz="4" w:space="0" w:color="auto"/>
            </w:tcBorders>
            <w:shd w:val="clear" w:color="auto" w:fill="auto"/>
            <w:vAlign w:val="bottom"/>
            <w:hideMark/>
          </w:tcPr>
          <w:p w14:paraId="122AAEEA" w14:textId="0DD3981C" w:rsidR="000753D0" w:rsidRPr="007F0EC9" w:rsidRDefault="000753D0" w:rsidP="000753D0">
            <w:pPr>
              <w:jc w:val="center"/>
              <w:rPr>
                <w:color w:val="000000"/>
                <w:sz w:val="18"/>
                <w:szCs w:val="18"/>
              </w:rPr>
            </w:pPr>
            <w:r w:rsidRPr="007F0EC9">
              <w:rPr>
                <w:color w:val="000000"/>
                <w:sz w:val="18"/>
                <w:szCs w:val="18"/>
              </w:rPr>
              <w:t>+ (3</w:t>
            </w:r>
            <w:r w:rsidR="0075008A" w:rsidRPr="007F0EC9">
              <w:rPr>
                <w:color w:val="000000"/>
                <w:sz w:val="18"/>
                <w:szCs w:val="18"/>
              </w:rPr>
              <w:t>,</w:t>
            </w:r>
            <w:r w:rsidRPr="007F0EC9">
              <w:rPr>
                <w:color w:val="000000"/>
                <w:sz w:val="18"/>
                <w:szCs w:val="18"/>
              </w:rPr>
              <w:t>992)</w:t>
            </w:r>
          </w:p>
        </w:tc>
        <w:tc>
          <w:tcPr>
            <w:tcW w:w="300" w:type="pct"/>
            <w:tcBorders>
              <w:top w:val="nil"/>
              <w:left w:val="nil"/>
              <w:bottom w:val="single" w:sz="4" w:space="0" w:color="auto"/>
              <w:right w:val="single" w:sz="4" w:space="0" w:color="auto"/>
            </w:tcBorders>
            <w:shd w:val="clear" w:color="auto" w:fill="auto"/>
            <w:noWrap/>
            <w:vAlign w:val="bottom"/>
            <w:hideMark/>
          </w:tcPr>
          <w:p w14:paraId="0A8511A4" w14:textId="097F1EB3" w:rsidR="000753D0" w:rsidRPr="007F0EC9" w:rsidRDefault="000753D0" w:rsidP="000753D0">
            <w:pPr>
              <w:jc w:val="center"/>
              <w:rPr>
                <w:color w:val="000000"/>
                <w:sz w:val="18"/>
                <w:szCs w:val="18"/>
              </w:rPr>
            </w:pPr>
            <w:r w:rsidRPr="007F0EC9">
              <w:rPr>
                <w:color w:val="000000"/>
                <w:sz w:val="18"/>
                <w:szCs w:val="18"/>
              </w:rPr>
              <w:t>4,243</w:t>
            </w:r>
          </w:p>
        </w:tc>
      </w:tr>
      <w:tr w:rsidR="000753D0" w:rsidRPr="008D54A5" w14:paraId="7CD8C969" w14:textId="77777777" w:rsidTr="002767FE">
        <w:trPr>
          <w:trHeight w:val="152"/>
        </w:trPr>
        <w:tc>
          <w:tcPr>
            <w:tcW w:w="1028" w:type="pct"/>
            <w:shd w:val="clear" w:color="auto" w:fill="auto"/>
            <w:vAlign w:val="bottom"/>
            <w:hideMark/>
          </w:tcPr>
          <w:p w14:paraId="2EAC9473" w14:textId="77777777" w:rsidR="000753D0" w:rsidRPr="008D54A5" w:rsidRDefault="000753D0" w:rsidP="000753D0">
            <w:pPr>
              <w:rPr>
                <w:color w:val="000000"/>
                <w:sz w:val="18"/>
                <w:szCs w:val="18"/>
              </w:rPr>
            </w:pPr>
            <w:r w:rsidRPr="008D54A5">
              <w:rPr>
                <w:color w:val="000000"/>
                <w:sz w:val="18"/>
                <w:szCs w:val="18"/>
              </w:rPr>
              <w:t>Total</w:t>
            </w:r>
          </w:p>
        </w:tc>
        <w:tc>
          <w:tcPr>
            <w:tcW w:w="514" w:type="pct"/>
            <w:tcBorders>
              <w:top w:val="nil"/>
              <w:left w:val="single" w:sz="4" w:space="0" w:color="auto"/>
              <w:bottom w:val="single" w:sz="4" w:space="0" w:color="auto"/>
              <w:right w:val="single" w:sz="4" w:space="0" w:color="auto"/>
            </w:tcBorders>
            <w:shd w:val="clear" w:color="auto" w:fill="auto"/>
            <w:vAlign w:val="bottom"/>
            <w:hideMark/>
          </w:tcPr>
          <w:p w14:paraId="2DC7CEAE" w14:textId="6CC9792A" w:rsidR="000753D0" w:rsidRPr="007F0EC9" w:rsidRDefault="000753D0" w:rsidP="000753D0">
            <w:pPr>
              <w:jc w:val="center"/>
              <w:rPr>
                <w:color w:val="000000"/>
                <w:sz w:val="18"/>
                <w:szCs w:val="18"/>
              </w:rPr>
            </w:pPr>
            <w:r w:rsidRPr="007F0EC9">
              <w:rPr>
                <w:color w:val="000000"/>
                <w:sz w:val="18"/>
                <w:szCs w:val="18"/>
              </w:rPr>
              <w:t>1</w:t>
            </w:r>
          </w:p>
        </w:tc>
        <w:tc>
          <w:tcPr>
            <w:tcW w:w="470" w:type="pct"/>
            <w:tcBorders>
              <w:top w:val="nil"/>
              <w:left w:val="nil"/>
              <w:bottom w:val="single" w:sz="4" w:space="0" w:color="auto"/>
              <w:right w:val="single" w:sz="4" w:space="0" w:color="auto"/>
            </w:tcBorders>
            <w:shd w:val="clear" w:color="auto" w:fill="auto"/>
            <w:vAlign w:val="bottom"/>
            <w:hideMark/>
          </w:tcPr>
          <w:p w14:paraId="6550A6F3" w14:textId="083A2CAF" w:rsidR="000753D0" w:rsidRPr="007F0EC9" w:rsidRDefault="000753D0" w:rsidP="000753D0">
            <w:pPr>
              <w:jc w:val="center"/>
              <w:rPr>
                <w:color w:val="000000"/>
                <w:sz w:val="18"/>
                <w:szCs w:val="18"/>
              </w:rPr>
            </w:pPr>
            <w:r w:rsidRPr="007F0EC9">
              <w:rPr>
                <w:color w:val="000000"/>
                <w:sz w:val="18"/>
                <w:szCs w:val="18"/>
              </w:rPr>
              <w:t>5</w:t>
            </w:r>
          </w:p>
        </w:tc>
        <w:tc>
          <w:tcPr>
            <w:tcW w:w="470" w:type="pct"/>
            <w:tcBorders>
              <w:top w:val="nil"/>
              <w:left w:val="nil"/>
              <w:bottom w:val="single" w:sz="4" w:space="0" w:color="auto"/>
              <w:right w:val="single" w:sz="4" w:space="0" w:color="auto"/>
            </w:tcBorders>
            <w:shd w:val="clear" w:color="auto" w:fill="auto"/>
            <w:vAlign w:val="bottom"/>
            <w:hideMark/>
          </w:tcPr>
          <w:p w14:paraId="6221ABE4" w14:textId="3AD0E2C2" w:rsidR="000753D0" w:rsidRPr="007F0EC9" w:rsidRDefault="000753D0" w:rsidP="000753D0">
            <w:pPr>
              <w:jc w:val="center"/>
              <w:rPr>
                <w:color w:val="000000"/>
                <w:sz w:val="18"/>
                <w:szCs w:val="18"/>
              </w:rPr>
            </w:pPr>
            <w:r w:rsidRPr="007F0EC9">
              <w:rPr>
                <w:color w:val="000000"/>
                <w:sz w:val="18"/>
                <w:szCs w:val="18"/>
              </w:rPr>
              <w:t>16</w:t>
            </w:r>
          </w:p>
        </w:tc>
        <w:tc>
          <w:tcPr>
            <w:tcW w:w="476" w:type="pct"/>
            <w:tcBorders>
              <w:top w:val="nil"/>
              <w:left w:val="nil"/>
              <w:bottom w:val="single" w:sz="4" w:space="0" w:color="auto"/>
              <w:right w:val="single" w:sz="4" w:space="0" w:color="auto"/>
            </w:tcBorders>
            <w:shd w:val="clear" w:color="auto" w:fill="auto"/>
            <w:vAlign w:val="bottom"/>
            <w:hideMark/>
          </w:tcPr>
          <w:p w14:paraId="40CC2E15" w14:textId="7A97F441" w:rsidR="000753D0" w:rsidRPr="007F0EC9" w:rsidRDefault="000753D0" w:rsidP="000753D0">
            <w:pPr>
              <w:jc w:val="center"/>
              <w:rPr>
                <w:color w:val="000000"/>
                <w:sz w:val="18"/>
                <w:szCs w:val="18"/>
              </w:rPr>
            </w:pPr>
            <w:r w:rsidRPr="007F0EC9">
              <w:rPr>
                <w:color w:val="000000"/>
                <w:sz w:val="18"/>
                <w:szCs w:val="18"/>
              </w:rPr>
              <w:t>41</w:t>
            </w:r>
          </w:p>
        </w:tc>
        <w:tc>
          <w:tcPr>
            <w:tcW w:w="439" w:type="pct"/>
            <w:tcBorders>
              <w:top w:val="nil"/>
              <w:left w:val="nil"/>
              <w:bottom w:val="single" w:sz="4" w:space="0" w:color="auto"/>
              <w:right w:val="single" w:sz="4" w:space="0" w:color="auto"/>
            </w:tcBorders>
            <w:shd w:val="clear" w:color="auto" w:fill="auto"/>
            <w:vAlign w:val="bottom"/>
            <w:hideMark/>
          </w:tcPr>
          <w:p w14:paraId="7410B6D0" w14:textId="32826244" w:rsidR="000753D0" w:rsidRPr="007F0EC9" w:rsidRDefault="000753D0" w:rsidP="000753D0">
            <w:pPr>
              <w:jc w:val="center"/>
              <w:rPr>
                <w:color w:val="000000"/>
                <w:sz w:val="18"/>
                <w:szCs w:val="18"/>
              </w:rPr>
            </w:pPr>
            <w:r w:rsidRPr="007F0EC9">
              <w:rPr>
                <w:color w:val="000000"/>
                <w:sz w:val="18"/>
                <w:szCs w:val="18"/>
              </w:rPr>
              <w:t>2,098</w:t>
            </w:r>
          </w:p>
        </w:tc>
        <w:tc>
          <w:tcPr>
            <w:tcW w:w="520" w:type="pct"/>
            <w:tcBorders>
              <w:top w:val="nil"/>
              <w:left w:val="nil"/>
              <w:bottom w:val="single" w:sz="4" w:space="0" w:color="auto"/>
              <w:right w:val="single" w:sz="4" w:space="0" w:color="auto"/>
            </w:tcBorders>
            <w:shd w:val="clear" w:color="auto" w:fill="auto"/>
            <w:vAlign w:val="bottom"/>
            <w:hideMark/>
          </w:tcPr>
          <w:p w14:paraId="40424BF0" w14:textId="4F009FE5" w:rsidR="000753D0" w:rsidRPr="007F0EC9" w:rsidRDefault="000753D0" w:rsidP="000753D0">
            <w:pPr>
              <w:jc w:val="center"/>
              <w:rPr>
                <w:color w:val="000000"/>
                <w:sz w:val="18"/>
                <w:szCs w:val="18"/>
              </w:rPr>
            </w:pPr>
            <w:r w:rsidRPr="007F0EC9">
              <w:rPr>
                <w:color w:val="000000"/>
                <w:sz w:val="18"/>
                <w:szCs w:val="18"/>
              </w:rPr>
              <w:t>5</w:t>
            </w:r>
          </w:p>
        </w:tc>
        <w:tc>
          <w:tcPr>
            <w:tcW w:w="390" w:type="pct"/>
            <w:tcBorders>
              <w:top w:val="nil"/>
              <w:left w:val="nil"/>
              <w:bottom w:val="single" w:sz="4" w:space="0" w:color="auto"/>
              <w:right w:val="single" w:sz="4" w:space="0" w:color="auto"/>
            </w:tcBorders>
            <w:shd w:val="clear" w:color="auto" w:fill="auto"/>
            <w:vAlign w:val="bottom"/>
            <w:hideMark/>
          </w:tcPr>
          <w:p w14:paraId="4A681220" w14:textId="6603022F" w:rsidR="000753D0" w:rsidRPr="007F0EC9" w:rsidRDefault="000753D0" w:rsidP="000753D0">
            <w:pPr>
              <w:jc w:val="center"/>
              <w:rPr>
                <w:color w:val="000000"/>
                <w:sz w:val="18"/>
                <w:szCs w:val="18"/>
              </w:rPr>
            </w:pPr>
            <w:r w:rsidRPr="007F0EC9">
              <w:rPr>
                <w:color w:val="000000"/>
                <w:sz w:val="18"/>
                <w:szCs w:val="18"/>
              </w:rPr>
              <w:t>180</w:t>
            </w:r>
          </w:p>
        </w:tc>
        <w:tc>
          <w:tcPr>
            <w:tcW w:w="393" w:type="pct"/>
            <w:tcBorders>
              <w:top w:val="nil"/>
              <w:left w:val="nil"/>
              <w:bottom w:val="single" w:sz="4" w:space="0" w:color="auto"/>
              <w:right w:val="single" w:sz="4" w:space="0" w:color="auto"/>
            </w:tcBorders>
            <w:shd w:val="clear" w:color="auto" w:fill="auto"/>
            <w:vAlign w:val="bottom"/>
            <w:hideMark/>
          </w:tcPr>
          <w:p w14:paraId="158C2A99" w14:textId="1C77B7CB" w:rsidR="000753D0" w:rsidRPr="007F0EC9" w:rsidRDefault="000753D0" w:rsidP="000753D0">
            <w:pPr>
              <w:jc w:val="center"/>
              <w:rPr>
                <w:color w:val="000000"/>
                <w:sz w:val="18"/>
                <w:szCs w:val="18"/>
              </w:rPr>
            </w:pPr>
            <w:r w:rsidRPr="007F0EC9">
              <w:rPr>
                <w:color w:val="000000"/>
                <w:sz w:val="18"/>
                <w:szCs w:val="18"/>
              </w:rPr>
              <w:t>5,982</w:t>
            </w:r>
          </w:p>
        </w:tc>
        <w:tc>
          <w:tcPr>
            <w:tcW w:w="300" w:type="pct"/>
            <w:tcBorders>
              <w:top w:val="nil"/>
              <w:left w:val="nil"/>
              <w:bottom w:val="single" w:sz="4" w:space="0" w:color="auto"/>
              <w:right w:val="single" w:sz="4" w:space="0" w:color="auto"/>
            </w:tcBorders>
            <w:shd w:val="clear" w:color="auto" w:fill="auto"/>
            <w:noWrap/>
            <w:vAlign w:val="bottom"/>
            <w:hideMark/>
          </w:tcPr>
          <w:p w14:paraId="3D4AE24F" w14:textId="37D29DBF" w:rsidR="000753D0" w:rsidRPr="007F0EC9" w:rsidRDefault="000753D0" w:rsidP="000753D0">
            <w:pPr>
              <w:jc w:val="center"/>
              <w:rPr>
                <w:color w:val="000000"/>
                <w:sz w:val="18"/>
                <w:szCs w:val="18"/>
              </w:rPr>
            </w:pPr>
            <w:r w:rsidRPr="007F0EC9">
              <w:rPr>
                <w:color w:val="000000"/>
                <w:sz w:val="18"/>
                <w:szCs w:val="18"/>
              </w:rPr>
              <w:t>8,328</w:t>
            </w:r>
          </w:p>
        </w:tc>
      </w:tr>
    </w:tbl>
    <w:p w14:paraId="0D31CEE0" w14:textId="6FAAF96A" w:rsidR="00F44F81" w:rsidRPr="008D54A5" w:rsidRDefault="00F44F81" w:rsidP="00F44F81">
      <w:pPr>
        <w:pStyle w:val="Source-9-1"/>
      </w:pPr>
      <w:r w:rsidRPr="008D54A5">
        <w:t xml:space="preserve">ER = </w:t>
      </w:r>
      <w:r w:rsidR="00A210A5" w:rsidRPr="008D54A5">
        <w:t>emergency room</w:t>
      </w:r>
      <w:r w:rsidRPr="008D54A5">
        <w:t xml:space="preserve">; HC = </w:t>
      </w:r>
      <w:r w:rsidR="00BB6089" w:rsidRPr="008D54A5">
        <w:t>Household Component</w:t>
      </w:r>
      <w:r w:rsidRPr="008D54A5">
        <w:t xml:space="preserve">; HS = </w:t>
      </w:r>
      <w:r w:rsidR="00A210A5" w:rsidRPr="008D54A5">
        <w:t>hospital stay</w:t>
      </w:r>
      <w:r w:rsidRPr="008D54A5">
        <w:t xml:space="preserve">; MPC = </w:t>
      </w:r>
      <w:r w:rsidR="00BB6089" w:rsidRPr="008D54A5">
        <w:t>Medical Provider Component</w:t>
      </w:r>
      <w:r w:rsidRPr="008D54A5">
        <w:t xml:space="preserve">; MV = </w:t>
      </w:r>
      <w:r w:rsidR="00A210A5" w:rsidRPr="008D54A5">
        <w:t>medical visit</w:t>
      </w:r>
      <w:r w:rsidRPr="008D54A5">
        <w:t xml:space="preserve">; OP = </w:t>
      </w:r>
      <w:r w:rsidR="00A210A5" w:rsidRPr="008D54A5">
        <w:t>outpatient</w:t>
      </w:r>
      <w:r w:rsidRPr="008D54A5">
        <w:t>.</w:t>
      </w:r>
    </w:p>
    <w:p w14:paraId="0C705800" w14:textId="59C4803E" w:rsidR="007127B0" w:rsidRPr="008D54A5" w:rsidRDefault="00995AAF" w:rsidP="007127B0">
      <w:pPr>
        <w:pStyle w:val="Source-9-1"/>
      </w:pPr>
      <w:r w:rsidRPr="008D54A5">
        <w:t xml:space="preserve">Source: </w:t>
      </w:r>
      <w:r w:rsidR="000753D0" w:rsidRPr="008D54A5">
        <w:t xml:space="preserve">2022 </w:t>
      </w:r>
      <w:r w:rsidRPr="008D54A5">
        <w:t>Medical Expenditure Panel Survey – Medical Provider Component.</w:t>
      </w:r>
    </w:p>
    <w:p w14:paraId="4267A416" w14:textId="517C06C0" w:rsidR="00995AAF" w:rsidRPr="008D54A5" w:rsidRDefault="00995AAF" w:rsidP="007127B0">
      <w:pPr>
        <w:pStyle w:val="Source-9-2"/>
      </w:pPr>
      <w:r w:rsidRPr="008D54A5">
        <w:t xml:space="preserve">Note: + = match </w:t>
      </w:r>
      <w:proofErr w:type="gramStart"/>
      <w:r w:rsidRPr="008D54A5">
        <w:t>allowed,</w:t>
      </w:r>
      <w:proofErr w:type="gramEnd"/>
      <w:r w:rsidRPr="008D54A5">
        <w:t xml:space="preserve"> X = match not allowed. In addition, inpatient events were required to have a difference in length of stay less than 3 days </w:t>
      </w:r>
      <w:r w:rsidR="00AA4999" w:rsidRPr="008D54A5">
        <w:t>to</w:t>
      </w:r>
      <w:r w:rsidRPr="008D54A5">
        <w:t xml:space="preserve"> match.</w:t>
      </w:r>
      <w:r w:rsidR="00751399" w:rsidRPr="008D54A5">
        <w:t xml:space="preserve"> The number of events that matched is given in parentheses.</w:t>
      </w:r>
    </w:p>
    <w:p w14:paraId="7E81BCE9" w14:textId="77777777" w:rsidR="004B7B67" w:rsidRPr="008D54A5" w:rsidRDefault="004B7B67" w:rsidP="00D3341A">
      <w:pPr>
        <w:pStyle w:val="BodyText"/>
        <w:sectPr w:rsidR="004B7B67" w:rsidRPr="008D54A5" w:rsidSect="004B7B67">
          <w:headerReference w:type="default" r:id="rId52"/>
          <w:footerReference w:type="default" r:id="rId53"/>
          <w:pgSz w:w="15840" w:h="12240" w:orient="landscape"/>
          <w:pgMar w:top="1440" w:right="1440" w:bottom="1440" w:left="1440" w:header="720" w:footer="720" w:gutter="0"/>
          <w:cols w:space="720"/>
          <w:docGrid w:linePitch="360"/>
        </w:sectPr>
      </w:pPr>
    </w:p>
    <w:p w14:paraId="616FA2B7" w14:textId="77777777" w:rsidR="00E62A12" w:rsidRPr="008D54A5" w:rsidRDefault="00E62A12" w:rsidP="008512DA">
      <w:pPr>
        <w:pStyle w:val="BodyText1212"/>
      </w:pPr>
      <w:r w:rsidRPr="008D54A5">
        <w:rPr>
          <w:b/>
          <w:u w:val="single"/>
        </w:rPr>
        <w:lastRenderedPageBreak/>
        <w:t>Comment 5: FORCE1 Variable</w:t>
      </w:r>
    </w:p>
    <w:p w14:paraId="467E5202" w14:textId="2F4E610B" w:rsidR="00E62A12" w:rsidRPr="008D54A5" w:rsidRDefault="00E62A12" w:rsidP="00E62A12">
      <w:pPr>
        <w:pStyle w:val="BodyText"/>
      </w:pPr>
      <w:r w:rsidRPr="008D54A5">
        <w:t>The DONT# variables discussed above are used in the matching software so that the software will not pair up the unallowable events. To accomplish the opposite</w:t>
      </w:r>
      <w:r w:rsidRPr="008D54A5">
        <w:rPr>
          <w:rFonts w:cs="Times New Roman"/>
        </w:rPr>
        <w:t>—</w:t>
      </w:r>
      <w:r w:rsidRPr="008D54A5">
        <w:t>in other words to force a connection between a particular HC and MPC event</w:t>
      </w:r>
      <w:r w:rsidRPr="008D54A5">
        <w:rPr>
          <w:rFonts w:cs="Times New Roman"/>
        </w:rPr>
        <w:t>—</w:t>
      </w:r>
      <w:r w:rsidRPr="008D54A5">
        <w:t>the FORCE1 variable can be used. When an HC event and an MPC event have the same value for FORCE1 within a block group, the matching algorithm assigns the pair an extremely large match field weight, specifically an agreement weight of 10,000.</w:t>
      </w:r>
      <w:r w:rsidR="003961B9" w:rsidRPr="008D54A5">
        <w:t xml:space="preserve"> </w:t>
      </w:r>
      <w:r w:rsidRPr="008D54A5">
        <w:t>The FORCE1 variable is rarely used and only after a hand</w:t>
      </w:r>
      <w:r w:rsidR="00B55C46" w:rsidRPr="008D54A5">
        <w:t xml:space="preserve"> </w:t>
      </w:r>
      <w:r w:rsidRPr="008D54A5">
        <w:t xml:space="preserve">review of selected matched pairs reveals some unappealing matches are being made within block groups. </w:t>
      </w:r>
    </w:p>
    <w:p w14:paraId="15DD3F4F" w14:textId="3540FB1C" w:rsidR="004B611B" w:rsidRPr="008D54A5" w:rsidRDefault="001F3E0F">
      <w:pPr>
        <w:rPr>
          <w:i/>
        </w:rPr>
      </w:pPr>
      <w:r w:rsidRPr="008D54A5">
        <w:br w:type="page"/>
      </w:r>
    </w:p>
    <w:p w14:paraId="2FA4201B" w14:textId="6278B093" w:rsidR="00443422" w:rsidRPr="008D54A5" w:rsidRDefault="002B1B7B" w:rsidP="00975A4F">
      <w:pPr>
        <w:pStyle w:val="Heading1"/>
      </w:pPr>
      <w:bookmarkStart w:id="499" w:name="_Toc127287303"/>
      <w:bookmarkStart w:id="500" w:name="_Toc160529629"/>
      <w:bookmarkStart w:id="501" w:name="_Ref171482334"/>
      <w:bookmarkStart w:id="502" w:name="_Toc107116890"/>
      <w:bookmarkStart w:id="503" w:name="_Toc107116931"/>
      <w:bookmarkStart w:id="504" w:name="_Toc189128113"/>
      <w:r w:rsidRPr="008D54A5">
        <w:lastRenderedPageBreak/>
        <w:t>202</w:t>
      </w:r>
      <w:r w:rsidR="00AA45EE">
        <w:t>2</w:t>
      </w:r>
      <w:r w:rsidRPr="008D54A5">
        <w:t xml:space="preserve"> </w:t>
      </w:r>
      <w:r w:rsidR="00F66AD2" w:rsidRPr="008D54A5">
        <w:t>Medical File Matching Process</w:t>
      </w:r>
      <w:r w:rsidR="00443422" w:rsidRPr="008D54A5">
        <w:t>—</w:t>
      </w:r>
      <w:r w:rsidR="00F66AD2" w:rsidRPr="008D54A5">
        <w:t>Quality Control Checks</w:t>
      </w:r>
      <w:bookmarkEnd w:id="499"/>
      <w:bookmarkEnd w:id="500"/>
      <w:bookmarkEnd w:id="504"/>
    </w:p>
    <w:p w14:paraId="46706CB2" w14:textId="2C470812" w:rsidR="004031A5" w:rsidRPr="008D54A5" w:rsidRDefault="00F66AD2" w:rsidP="00772DA4">
      <w:pPr>
        <w:pStyle w:val="BodyText"/>
        <w:keepNext/>
        <w:spacing w:after="120"/>
      </w:pPr>
      <w:r w:rsidRPr="008D54A5">
        <w:t xml:space="preserve">Given the importance of the matching algorithm to the </w:t>
      </w:r>
      <w:r w:rsidR="0063741F" w:rsidRPr="008D54A5">
        <w:t>Medical Expenditure Panel Survey (</w:t>
      </w:r>
      <w:r w:rsidR="000549FA" w:rsidRPr="008D54A5">
        <w:t>MEPS</w:t>
      </w:r>
      <w:r w:rsidR="0063741F" w:rsidRPr="008D54A5">
        <w:t>)</w:t>
      </w:r>
      <w:r w:rsidRPr="008D54A5">
        <w:t>, RTI conduct</w:t>
      </w:r>
      <w:r w:rsidR="00751399" w:rsidRPr="008D54A5">
        <w:t>ed</w:t>
      </w:r>
      <w:r w:rsidRPr="008D54A5">
        <w:t xml:space="preserve"> a series of extensive </w:t>
      </w:r>
      <w:r w:rsidR="0063741F" w:rsidRPr="008D54A5">
        <w:t>quality control (</w:t>
      </w:r>
      <w:r w:rsidR="00F40678" w:rsidRPr="008D54A5">
        <w:t>QC</w:t>
      </w:r>
      <w:r w:rsidR="0063741F" w:rsidRPr="008D54A5">
        <w:t>)</w:t>
      </w:r>
      <w:r w:rsidRPr="008D54A5">
        <w:t xml:space="preserve"> checks to verify that the algorithm </w:t>
      </w:r>
      <w:r w:rsidR="0017777A" w:rsidRPr="008D54A5">
        <w:t xml:space="preserve">is </w:t>
      </w:r>
      <w:r w:rsidRPr="008D54A5">
        <w:t xml:space="preserve">working as expected and that the results </w:t>
      </w:r>
      <w:r w:rsidR="00336493" w:rsidRPr="008D54A5">
        <w:t>a</w:t>
      </w:r>
      <w:r w:rsidRPr="008D54A5">
        <w:t xml:space="preserve">re accurate. </w:t>
      </w:r>
      <w:r w:rsidR="000F099A" w:rsidRPr="008D54A5">
        <w:t>The</w:t>
      </w:r>
      <w:r w:rsidRPr="008D54A5">
        <w:t xml:space="preserve"> </w:t>
      </w:r>
      <w:r w:rsidR="00F40678" w:rsidRPr="008D54A5">
        <w:t>QC</w:t>
      </w:r>
      <w:r w:rsidRPr="008D54A5">
        <w:t xml:space="preserve"> processes include the following</w:t>
      </w:r>
      <w:r w:rsidR="003455CB" w:rsidRPr="008D54A5">
        <w:t xml:space="preserve"> steps</w:t>
      </w:r>
      <w:r w:rsidRPr="008D54A5">
        <w:t>:</w:t>
      </w:r>
    </w:p>
    <w:p w14:paraId="44573452" w14:textId="16B520D0" w:rsidR="00360A54" w:rsidRPr="008D54A5" w:rsidRDefault="00EA2F84" w:rsidP="00CA44B3">
      <w:pPr>
        <w:pStyle w:val="bullets"/>
      </w:pPr>
      <w:r w:rsidRPr="008D54A5">
        <w:t>RTI</w:t>
      </w:r>
      <w:r w:rsidR="00D154B4" w:rsidRPr="008D54A5">
        <w:t xml:space="preserve"> </w:t>
      </w:r>
      <w:r w:rsidR="00F66AD2" w:rsidRPr="008D54A5">
        <w:t>verif</w:t>
      </w:r>
      <w:r w:rsidRPr="008D54A5">
        <w:t>ies</w:t>
      </w:r>
      <w:r w:rsidR="00F66AD2" w:rsidRPr="008D54A5">
        <w:t xml:space="preserve"> within each block group that there </w:t>
      </w:r>
      <w:r w:rsidR="00336493" w:rsidRPr="008D54A5">
        <w:t>a</w:t>
      </w:r>
      <w:r w:rsidR="00F66AD2" w:rsidRPr="008D54A5">
        <w:t xml:space="preserve">re no instances where events exist on both the </w:t>
      </w:r>
      <w:r w:rsidR="0063741F" w:rsidRPr="008D54A5">
        <w:t>Household Component (</w:t>
      </w:r>
      <w:r w:rsidR="00F66AD2" w:rsidRPr="008D54A5">
        <w:t>HC</w:t>
      </w:r>
      <w:r w:rsidR="0063741F" w:rsidRPr="008D54A5">
        <w:t>)</w:t>
      </w:r>
      <w:r w:rsidR="00F66AD2" w:rsidRPr="008D54A5">
        <w:t xml:space="preserve"> and </w:t>
      </w:r>
      <w:r w:rsidR="0063741F" w:rsidRPr="008D54A5">
        <w:t>Medical Provider Component (</w:t>
      </w:r>
      <w:r w:rsidR="00F66AD2" w:rsidRPr="008D54A5">
        <w:t>MPC</w:t>
      </w:r>
      <w:r w:rsidR="0063741F" w:rsidRPr="008D54A5">
        <w:t>)</w:t>
      </w:r>
      <w:r w:rsidR="00F66AD2" w:rsidRPr="008D54A5">
        <w:t xml:space="preserve"> files that </w:t>
      </w:r>
      <w:r w:rsidR="00336493" w:rsidRPr="008D54A5">
        <w:t>a</w:t>
      </w:r>
      <w:r w:rsidR="00F66AD2" w:rsidRPr="008D54A5">
        <w:t xml:space="preserve">re not linked, unless these matches </w:t>
      </w:r>
      <w:r w:rsidR="00336493" w:rsidRPr="008D54A5">
        <w:t>a</w:t>
      </w:r>
      <w:r w:rsidR="00F66AD2" w:rsidRPr="008D54A5">
        <w:t xml:space="preserve">re not allowed (see </w:t>
      </w:r>
      <w:r w:rsidR="00356CD1" w:rsidRPr="00404E1F">
        <w:rPr>
          <w:b/>
        </w:rPr>
        <w:t>Exhibit </w:t>
      </w:r>
      <w:r w:rsidR="00F66AD2" w:rsidRPr="008D54A5">
        <w:rPr>
          <w:b/>
        </w:rPr>
        <w:t>8.</w:t>
      </w:r>
      <w:r w:rsidR="00856FFE" w:rsidRPr="008D54A5">
        <w:rPr>
          <w:b/>
        </w:rPr>
        <w:t>7</w:t>
      </w:r>
      <w:r w:rsidR="00F66AD2" w:rsidRPr="008D54A5">
        <w:rPr>
          <w:b/>
        </w:rPr>
        <w:t>)</w:t>
      </w:r>
      <w:r w:rsidR="00F66AD2" w:rsidRPr="008D54A5">
        <w:t xml:space="preserve">. As noted previously, one of the enhancements </w:t>
      </w:r>
      <w:r w:rsidR="00E82386" w:rsidRPr="008D54A5">
        <w:t>that RTI</w:t>
      </w:r>
      <w:r w:rsidR="00F66AD2" w:rsidRPr="008D54A5">
        <w:t xml:space="preserve"> made to the process beginning with the 2009 MPC was to link </w:t>
      </w:r>
      <w:r w:rsidR="00C7482B" w:rsidRPr="008D54A5">
        <w:t xml:space="preserve">as many </w:t>
      </w:r>
      <w:r w:rsidR="00F66AD2" w:rsidRPr="008D54A5">
        <w:t>events</w:t>
      </w:r>
      <w:r w:rsidR="00C7482B" w:rsidRPr="008D54A5">
        <w:t xml:space="preserve"> as could be linked</w:t>
      </w:r>
      <w:r w:rsidR="00F66AD2" w:rsidRPr="008D54A5">
        <w:t xml:space="preserve"> within a block group </w:t>
      </w:r>
      <w:r w:rsidR="00C7482B" w:rsidRPr="008D54A5">
        <w:t>regardless of the size of the match weight.</w:t>
      </w:r>
      <w:r w:rsidR="00C7482B" w:rsidRPr="008D54A5" w:rsidDel="00C7482B">
        <w:t xml:space="preserve"> </w:t>
      </w:r>
      <w:r w:rsidRPr="008D54A5">
        <w:t xml:space="preserve">RTI </w:t>
      </w:r>
      <w:r w:rsidR="00336493" w:rsidRPr="008D54A5">
        <w:t>also</w:t>
      </w:r>
      <w:r w:rsidR="00F66AD2" w:rsidRPr="008D54A5">
        <w:t xml:space="preserve"> </w:t>
      </w:r>
      <w:r w:rsidRPr="008D54A5">
        <w:t xml:space="preserve">verifies that </w:t>
      </w:r>
      <w:r w:rsidR="00F66AD2" w:rsidRPr="008D54A5">
        <w:t xml:space="preserve">no unallowable matches </w:t>
      </w:r>
      <w:r w:rsidR="00336493" w:rsidRPr="008D54A5">
        <w:t>a</w:t>
      </w:r>
      <w:r w:rsidR="00F66AD2" w:rsidRPr="008D54A5">
        <w:t xml:space="preserve">re being made as noted in </w:t>
      </w:r>
      <w:r w:rsidR="00356CD1" w:rsidRPr="00404E1F">
        <w:rPr>
          <w:b/>
        </w:rPr>
        <w:t>Exhibit </w:t>
      </w:r>
      <w:r w:rsidR="00F66AD2" w:rsidRPr="008D54A5">
        <w:rPr>
          <w:b/>
        </w:rPr>
        <w:t>8.</w:t>
      </w:r>
      <w:r w:rsidR="00856FFE" w:rsidRPr="008D54A5">
        <w:rPr>
          <w:b/>
        </w:rPr>
        <w:t>7</w:t>
      </w:r>
      <w:r w:rsidR="00F66AD2" w:rsidRPr="008D54A5">
        <w:t>.</w:t>
      </w:r>
    </w:p>
    <w:p w14:paraId="607F0F58" w14:textId="24EDC440" w:rsidR="00DB6C2B" w:rsidRPr="008D54A5" w:rsidRDefault="00EA2F84" w:rsidP="00CA44B3">
      <w:pPr>
        <w:pStyle w:val="bullets"/>
      </w:pPr>
      <w:r w:rsidRPr="008D54A5">
        <w:t>RTI</w:t>
      </w:r>
      <w:r w:rsidR="00F66AD2" w:rsidRPr="008D54A5">
        <w:t xml:space="preserve"> compare</w:t>
      </w:r>
      <w:r w:rsidRPr="008D54A5">
        <w:t>s</w:t>
      </w:r>
      <w:r w:rsidR="00F66AD2" w:rsidRPr="008D54A5">
        <w:t xml:space="preserve"> distributions </w:t>
      </w:r>
      <w:r w:rsidR="00AE3E61" w:rsidRPr="008D54A5">
        <w:t>of the variables used in matching for</w:t>
      </w:r>
      <w:r w:rsidR="00F66AD2" w:rsidRPr="008D54A5">
        <w:t xml:space="preserve"> the matched results between the </w:t>
      </w:r>
      <w:r w:rsidR="00012481" w:rsidRPr="008D54A5">
        <w:t xml:space="preserve">most recent </w:t>
      </w:r>
      <w:r w:rsidR="001A13A3" w:rsidRPr="008D54A5">
        <w:t>3-year</w:t>
      </w:r>
      <w:r w:rsidR="00012481" w:rsidRPr="008D54A5">
        <w:t xml:space="preserve"> </w:t>
      </w:r>
      <w:r w:rsidR="000A03B0" w:rsidRPr="008D54A5">
        <w:t>period</w:t>
      </w:r>
      <w:r w:rsidR="00F66AD2" w:rsidRPr="008D54A5">
        <w:t xml:space="preserve">. </w:t>
      </w:r>
    </w:p>
    <w:p w14:paraId="057C8FD8" w14:textId="3F78C418" w:rsidR="001067D4" w:rsidRPr="008D54A5" w:rsidRDefault="00EA2F84" w:rsidP="00CA44B3">
      <w:pPr>
        <w:pStyle w:val="bullets"/>
      </w:pPr>
      <w:r w:rsidRPr="008D54A5">
        <w:t>RTI</w:t>
      </w:r>
      <w:r w:rsidR="00F66AD2" w:rsidRPr="008D54A5">
        <w:t xml:space="preserve"> identif</w:t>
      </w:r>
      <w:r w:rsidRPr="008D54A5">
        <w:t>ies</w:t>
      </w:r>
      <w:r w:rsidR="00F66AD2" w:rsidRPr="008D54A5">
        <w:t xml:space="preserve"> </w:t>
      </w:r>
      <w:r w:rsidR="009361C5" w:rsidRPr="008D54A5">
        <w:t xml:space="preserve">unmatched MPC or unmatched </w:t>
      </w:r>
      <w:r w:rsidR="00F66AD2" w:rsidRPr="008D54A5">
        <w:t xml:space="preserve">HC </w:t>
      </w:r>
      <w:r w:rsidR="005D562C" w:rsidRPr="008D54A5">
        <w:t>H</w:t>
      </w:r>
      <w:r w:rsidR="00350AE3" w:rsidRPr="008D54A5">
        <w:t>ospital</w:t>
      </w:r>
      <w:r w:rsidR="00F66AD2" w:rsidRPr="008D54A5">
        <w:t xml:space="preserve"> events</w:t>
      </w:r>
      <w:r w:rsidR="009361C5" w:rsidRPr="008D54A5">
        <w:t>.</w:t>
      </w:r>
      <w:r w:rsidR="00F66AD2" w:rsidRPr="008D54A5">
        <w:t xml:space="preserve"> </w:t>
      </w:r>
      <w:r w:rsidRPr="008D54A5">
        <w:t>A</w:t>
      </w:r>
      <w:r w:rsidR="00F66AD2" w:rsidRPr="008D54A5">
        <w:t xml:space="preserve">ll events </w:t>
      </w:r>
      <w:r w:rsidR="009361C5" w:rsidRPr="008D54A5">
        <w:t xml:space="preserve">that are allowed to match with a hospital event </w:t>
      </w:r>
      <w:r w:rsidR="00F66AD2" w:rsidRPr="008D54A5">
        <w:t xml:space="preserve">for each person </w:t>
      </w:r>
      <w:r w:rsidR="009361C5" w:rsidRPr="008D54A5">
        <w:t xml:space="preserve">who has an unmatched hospital event </w:t>
      </w:r>
      <w:r w:rsidRPr="008D54A5">
        <w:t>are examined</w:t>
      </w:r>
      <w:r w:rsidR="00F66AD2" w:rsidRPr="008D54A5">
        <w:t xml:space="preserve">. </w:t>
      </w:r>
      <w:r w:rsidR="009361C5" w:rsidRPr="008D54A5">
        <w:t>This review</w:t>
      </w:r>
      <w:r w:rsidR="00F66AD2" w:rsidRPr="008D54A5">
        <w:t xml:space="preserve"> </w:t>
      </w:r>
      <w:r w:rsidR="00336493" w:rsidRPr="008D54A5">
        <w:t xml:space="preserve">may </w:t>
      </w:r>
      <w:r w:rsidR="009361C5" w:rsidRPr="008D54A5">
        <w:t xml:space="preserve">identify </w:t>
      </w:r>
      <w:r w:rsidR="00F66AD2" w:rsidRPr="008D54A5">
        <w:t xml:space="preserve">providers in two different collapsed contact groups </w:t>
      </w:r>
      <w:r w:rsidR="00A859B7" w:rsidRPr="008D54A5">
        <w:t xml:space="preserve">for the </w:t>
      </w:r>
      <w:r w:rsidR="000C2CD8" w:rsidRPr="008D54A5">
        <w:t>same patien</w:t>
      </w:r>
      <w:r w:rsidR="00F66AD2" w:rsidRPr="008D54A5">
        <w:t xml:space="preserve">t that appear to be the same and </w:t>
      </w:r>
      <w:r w:rsidR="00336493" w:rsidRPr="008D54A5">
        <w:t xml:space="preserve">are </w:t>
      </w:r>
      <w:r w:rsidR="00F66AD2" w:rsidRPr="008D54A5">
        <w:t>not</w:t>
      </w:r>
      <w:r w:rsidR="00336493" w:rsidRPr="008D54A5">
        <w:t xml:space="preserve"> being</w:t>
      </w:r>
      <w:r w:rsidR="00F66AD2" w:rsidRPr="008D54A5">
        <w:t xml:space="preserve"> caught during </w:t>
      </w:r>
      <w:r w:rsidR="000F099A" w:rsidRPr="008D54A5">
        <w:t>the</w:t>
      </w:r>
      <w:r w:rsidR="00F66AD2" w:rsidRPr="008D54A5">
        <w:t xml:space="preserve"> process of creating the collapsed contact group </w:t>
      </w:r>
      <w:r w:rsidR="0063741F" w:rsidRPr="008D54A5">
        <w:t>identifier (</w:t>
      </w:r>
      <w:r w:rsidR="00F66AD2" w:rsidRPr="008D54A5">
        <w:t>ID</w:t>
      </w:r>
      <w:r w:rsidR="0063741F" w:rsidRPr="008D54A5">
        <w:t>)</w:t>
      </w:r>
      <w:r w:rsidR="00F66AD2" w:rsidRPr="008D54A5">
        <w:t xml:space="preserve"> number. In these </w:t>
      </w:r>
      <w:r w:rsidR="007774E2" w:rsidRPr="008D54A5">
        <w:t>cases,</w:t>
      </w:r>
      <w:r w:rsidR="00F66AD2" w:rsidRPr="008D54A5">
        <w:t xml:space="preserve"> the two collapsed contact groups under review </w:t>
      </w:r>
      <w:r w:rsidR="00C554A3" w:rsidRPr="008D54A5">
        <w:t>are</w:t>
      </w:r>
      <w:r w:rsidR="00F66AD2" w:rsidRPr="008D54A5">
        <w:t xml:space="preserve"> combined by hand.</w:t>
      </w:r>
    </w:p>
    <w:p w14:paraId="16A70206" w14:textId="10F898E5" w:rsidR="007D2597" w:rsidRPr="008D54A5" w:rsidRDefault="009361C5" w:rsidP="007127B0">
      <w:pPr>
        <w:pStyle w:val="bulletslast"/>
      </w:pPr>
      <w:r w:rsidRPr="008D54A5">
        <w:t xml:space="preserve">RTI also </w:t>
      </w:r>
      <w:r w:rsidR="00F66AD2" w:rsidRPr="008D54A5">
        <w:t>examine</w:t>
      </w:r>
      <w:r w:rsidRPr="008D54A5">
        <w:t>s</w:t>
      </w:r>
      <w:r w:rsidR="00F66AD2" w:rsidRPr="008D54A5">
        <w:t xml:space="preserve"> cases </w:t>
      </w:r>
      <w:r w:rsidR="00565FA5" w:rsidRPr="008D54A5">
        <w:t>in which</w:t>
      </w:r>
      <w:r w:rsidR="00F66AD2" w:rsidRPr="008D54A5">
        <w:t xml:space="preserve"> unmatched HC and MPC events </w:t>
      </w:r>
      <w:r w:rsidR="00565FA5" w:rsidRPr="008D54A5">
        <w:t xml:space="preserve">occur </w:t>
      </w:r>
      <w:r w:rsidR="00F66AD2" w:rsidRPr="008D54A5">
        <w:t xml:space="preserve">for a person on the same date. If </w:t>
      </w:r>
      <w:r w:rsidR="006428AA" w:rsidRPr="008D54A5">
        <w:t xml:space="preserve">there are </w:t>
      </w:r>
      <w:r w:rsidR="00F66AD2" w:rsidRPr="008D54A5">
        <w:t xml:space="preserve">providers in two different collapsed contact groups that appear to be the same and </w:t>
      </w:r>
      <w:r w:rsidR="00336493" w:rsidRPr="008D54A5">
        <w:t>a</w:t>
      </w:r>
      <w:r w:rsidR="00F66AD2" w:rsidRPr="008D54A5">
        <w:t xml:space="preserve">re not </w:t>
      </w:r>
      <w:r w:rsidR="00336493" w:rsidRPr="008D54A5">
        <w:t xml:space="preserve">being </w:t>
      </w:r>
      <w:r w:rsidR="00F66AD2" w:rsidRPr="008D54A5">
        <w:t xml:space="preserve">caught during </w:t>
      </w:r>
      <w:r w:rsidR="000F099A" w:rsidRPr="008D54A5">
        <w:t>the</w:t>
      </w:r>
      <w:r w:rsidR="00F66AD2" w:rsidRPr="008D54A5">
        <w:t xml:space="preserve"> process of creating the collapsed contact group ID number, the two collapsed contact groups under review </w:t>
      </w:r>
      <w:r w:rsidR="00565FA5" w:rsidRPr="008D54A5">
        <w:t>are</w:t>
      </w:r>
      <w:r w:rsidR="00F66AD2" w:rsidRPr="008D54A5">
        <w:t xml:space="preserve"> combined.</w:t>
      </w:r>
    </w:p>
    <w:p w14:paraId="0B71F726" w14:textId="2A16EA3D" w:rsidR="00443422" w:rsidRPr="008D54A5" w:rsidRDefault="0020193F" w:rsidP="0051324A">
      <w:pPr>
        <w:pStyle w:val="BodyText"/>
      </w:pPr>
      <w:r w:rsidRPr="008D54A5">
        <w:t xml:space="preserve">Another possible review is of </w:t>
      </w:r>
      <w:r w:rsidR="00F66AD2" w:rsidRPr="008D54A5">
        <w:t>somewhat undesirable match</w:t>
      </w:r>
      <w:r w:rsidR="003F54A1" w:rsidRPr="008D54A5">
        <w:t>es</w:t>
      </w:r>
      <w:r w:rsidR="002E58BA" w:rsidRPr="008D54A5">
        <w:t>.</w:t>
      </w:r>
      <w:r w:rsidR="00F66AD2" w:rsidRPr="008D54A5">
        <w:t xml:space="preserve"> </w:t>
      </w:r>
      <w:r w:rsidR="00BA46F1" w:rsidRPr="008D54A5">
        <w:t>Specifically</w:t>
      </w:r>
      <w:r w:rsidR="00F66AD2" w:rsidRPr="008D54A5">
        <w:t xml:space="preserve">, </w:t>
      </w:r>
      <w:r w:rsidR="009361C5" w:rsidRPr="008D54A5">
        <w:t xml:space="preserve">reviews </w:t>
      </w:r>
      <w:r w:rsidR="003F54A1" w:rsidRPr="008D54A5">
        <w:t>can be</w:t>
      </w:r>
      <w:r w:rsidR="009361C5" w:rsidRPr="008D54A5">
        <w:t xml:space="preserve"> conducted of</w:t>
      </w:r>
      <w:r w:rsidR="00F66AD2" w:rsidRPr="008D54A5">
        <w:t xml:space="preserve"> inpatient stays and ER events whose event begin date</w:t>
      </w:r>
      <w:r w:rsidR="00C7482B" w:rsidRPr="008D54A5">
        <w:t xml:space="preserve"> </w:t>
      </w:r>
      <w:r w:rsidR="00F66AD2" w:rsidRPr="008D54A5">
        <w:t>differ</w:t>
      </w:r>
      <w:r w:rsidR="002E58BA" w:rsidRPr="008D54A5">
        <w:t>s</w:t>
      </w:r>
      <w:r w:rsidR="00F66AD2" w:rsidRPr="008D54A5">
        <w:t xml:space="preserve"> significantly from the begin date of the event with which it </w:t>
      </w:r>
      <w:r w:rsidR="002E58BA" w:rsidRPr="008D54A5">
        <w:t>i</w:t>
      </w:r>
      <w:r w:rsidR="00F66AD2" w:rsidRPr="008D54A5">
        <w:t xml:space="preserve">s matched. </w:t>
      </w:r>
      <w:r w:rsidR="009361C5" w:rsidRPr="008D54A5">
        <w:t xml:space="preserve">Similarly, </w:t>
      </w:r>
      <w:r w:rsidRPr="008D54A5">
        <w:t xml:space="preserve">another possible review is an examination of </w:t>
      </w:r>
      <w:r w:rsidR="00E65A08" w:rsidRPr="008D54A5">
        <w:t>paired inpatient stays with a very large difference in HSPLUS1and pairs with certain differences in EVENT</w:t>
      </w:r>
      <w:r w:rsidR="00864BDB" w:rsidRPr="008D54A5">
        <w:t xml:space="preserve">. </w:t>
      </w:r>
      <w:r w:rsidR="003F54A1" w:rsidRPr="008D54A5">
        <w:t xml:space="preserve">If a pair is flagged for review via the QC process, all HC and MPC events for the patient are placed into a spreadsheet so </w:t>
      </w:r>
      <w:r w:rsidR="00FA4217" w:rsidRPr="008D54A5">
        <w:t xml:space="preserve">it </w:t>
      </w:r>
      <w:r w:rsidR="003F54A1" w:rsidRPr="008D54A5">
        <w:t xml:space="preserve">can </w:t>
      </w:r>
      <w:r w:rsidR="00FA4217" w:rsidRPr="008D54A5">
        <w:t xml:space="preserve">be determined </w:t>
      </w:r>
      <w:r w:rsidR="003F54A1" w:rsidRPr="008D54A5">
        <w:t>if other matching scenarios make more sense for the patient (other than the one being made by the matching program).</w:t>
      </w:r>
      <w:r w:rsidR="006A4A31" w:rsidRPr="008D54A5">
        <w:t xml:space="preserve"> </w:t>
      </w:r>
      <w:r w:rsidRPr="008D54A5">
        <w:t xml:space="preserve">None of the pairs that were matched were changed because of this review in 2019, although the review did suggest some changes to the collapsed contact grouping variable (GID2). </w:t>
      </w:r>
      <w:r w:rsidR="00A84304" w:rsidRPr="008D54A5">
        <w:t>T</w:t>
      </w:r>
      <w:r w:rsidR="00E65A08" w:rsidRPr="008D54A5">
        <w:t>his review</w:t>
      </w:r>
      <w:r w:rsidR="002E58BA" w:rsidRPr="008D54A5">
        <w:t xml:space="preserve"> usually</w:t>
      </w:r>
      <w:r w:rsidR="00E65A08" w:rsidRPr="008D54A5">
        <w:t xml:space="preserve"> result</w:t>
      </w:r>
      <w:r w:rsidR="002E58BA" w:rsidRPr="008D54A5">
        <w:t>s</w:t>
      </w:r>
      <w:r w:rsidR="00E65A08" w:rsidRPr="008D54A5">
        <w:t xml:space="preserve"> in </w:t>
      </w:r>
      <w:r w:rsidR="003F54A1" w:rsidRPr="008D54A5">
        <w:t>very</w:t>
      </w:r>
      <w:r w:rsidR="00E65A08" w:rsidRPr="008D54A5">
        <w:t xml:space="preserve"> few instances where collapsed contact groups need to be combined</w:t>
      </w:r>
      <w:r w:rsidR="00A84304" w:rsidRPr="008D54A5">
        <w:t xml:space="preserve"> and </w:t>
      </w:r>
      <w:r w:rsidRPr="008D54A5">
        <w:t>was not conducted in 202</w:t>
      </w:r>
      <w:r w:rsidR="00A84304" w:rsidRPr="008D54A5">
        <w:t>1</w:t>
      </w:r>
      <w:r w:rsidR="00864BDB" w:rsidRPr="008D54A5">
        <w:t xml:space="preserve">. </w:t>
      </w:r>
      <w:r w:rsidR="00E65A08" w:rsidRPr="008D54A5">
        <w:t xml:space="preserve">In general, </w:t>
      </w:r>
      <w:r w:rsidR="006428AA" w:rsidRPr="008D54A5">
        <w:t xml:space="preserve">the </w:t>
      </w:r>
      <w:r w:rsidR="00E65A08" w:rsidRPr="008D54A5">
        <w:t xml:space="preserve">approach </w:t>
      </w:r>
      <w:r w:rsidR="002E58BA" w:rsidRPr="008D54A5">
        <w:t>i</w:t>
      </w:r>
      <w:r w:rsidR="00E65A08" w:rsidRPr="008D54A5">
        <w:t>s not to break any matches or force other matches un</w:t>
      </w:r>
      <w:r w:rsidR="00F66AD2" w:rsidRPr="008D54A5">
        <w:t>less th</w:t>
      </w:r>
      <w:r w:rsidR="00C554A3" w:rsidRPr="008D54A5">
        <w:t>e</w:t>
      </w:r>
      <w:r w:rsidR="00F66AD2" w:rsidRPr="008D54A5">
        <w:t xml:space="preserve"> </w:t>
      </w:r>
      <w:r w:rsidR="00C554A3" w:rsidRPr="008D54A5">
        <w:t xml:space="preserve">evidence </w:t>
      </w:r>
      <w:r w:rsidR="00F66AD2" w:rsidRPr="008D54A5">
        <w:t>clear</w:t>
      </w:r>
      <w:r w:rsidR="00C554A3" w:rsidRPr="008D54A5">
        <w:t>ly indicates</w:t>
      </w:r>
      <w:r w:rsidR="00F66AD2" w:rsidRPr="008D54A5">
        <w:t xml:space="preserve"> that pairs should </w:t>
      </w:r>
      <w:r w:rsidR="0051324A" w:rsidRPr="008D54A5">
        <w:t xml:space="preserve">not </w:t>
      </w:r>
      <w:r w:rsidR="00F66AD2" w:rsidRPr="008D54A5">
        <w:t>have been ma</w:t>
      </w:r>
      <w:r w:rsidR="0051324A" w:rsidRPr="008D54A5">
        <w:t>tched or should be matched.</w:t>
      </w:r>
    </w:p>
    <w:p w14:paraId="0D475432" w14:textId="73A58236" w:rsidR="009C3F41" w:rsidRPr="008D54A5" w:rsidRDefault="009C3F41" w:rsidP="00345F85">
      <w:pPr>
        <w:pStyle w:val="BodyText"/>
        <w:keepLines/>
      </w:pPr>
    </w:p>
    <w:p w14:paraId="7D8D09DF" w14:textId="3376919D" w:rsidR="00B14F7F" w:rsidRPr="008D54A5" w:rsidRDefault="005A60B7" w:rsidP="00B4238F">
      <w:pPr>
        <w:pStyle w:val="BodyText"/>
        <w:keepLines/>
      </w:pPr>
      <w:r w:rsidRPr="008D54A5">
        <w:lastRenderedPageBreak/>
        <w:t xml:space="preserve">In addition, </w:t>
      </w:r>
      <w:r w:rsidR="009361C5" w:rsidRPr="008D54A5">
        <w:t xml:space="preserve">during the development of </w:t>
      </w:r>
      <w:r w:rsidRPr="008D54A5">
        <w:t xml:space="preserve">the </w:t>
      </w:r>
      <w:r w:rsidRPr="008D54A5">
        <w:rPr>
          <w:rFonts w:cs="Times New Roman"/>
        </w:rPr>
        <w:t>algorithm</w:t>
      </w:r>
      <w:r w:rsidR="009361C5" w:rsidRPr="008D54A5">
        <w:rPr>
          <w:rFonts w:cs="Times New Roman"/>
        </w:rPr>
        <w:t>, RTI verified that it</w:t>
      </w:r>
      <w:r w:rsidRPr="008D54A5">
        <w:rPr>
          <w:rFonts w:cs="Times New Roman"/>
        </w:rPr>
        <w:t xml:space="preserve"> </w:t>
      </w:r>
      <w:r w:rsidR="00A855CB" w:rsidRPr="008D54A5">
        <w:rPr>
          <w:rFonts w:cs="Times New Roman"/>
        </w:rPr>
        <w:t>perform</w:t>
      </w:r>
      <w:r w:rsidR="0063741F" w:rsidRPr="008D54A5">
        <w:rPr>
          <w:rFonts w:cs="Times New Roman"/>
        </w:rPr>
        <w:t>ed</w:t>
      </w:r>
      <w:r w:rsidRPr="008D54A5">
        <w:rPr>
          <w:rFonts w:cs="Times New Roman"/>
        </w:rPr>
        <w:t xml:space="preserve"> as intended. </w:t>
      </w:r>
      <w:r w:rsidR="009361C5" w:rsidRPr="008D54A5">
        <w:rPr>
          <w:rFonts w:cs="Times New Roman"/>
        </w:rPr>
        <w:t>A</w:t>
      </w:r>
      <w:r w:rsidRPr="008D54A5">
        <w:t xml:space="preserve"> sample of </w:t>
      </w:r>
      <w:r w:rsidR="002C39C8" w:rsidRPr="008D54A5">
        <w:t>MPC-HC</w:t>
      </w:r>
      <w:r w:rsidRPr="008D54A5">
        <w:t xml:space="preserve"> pairs</w:t>
      </w:r>
      <w:r w:rsidR="009361C5" w:rsidRPr="008D54A5">
        <w:t xml:space="preserve"> was </w:t>
      </w:r>
      <w:r w:rsidR="00D41D8D" w:rsidRPr="008D54A5">
        <w:t>examined, and</w:t>
      </w:r>
      <w:r w:rsidRPr="008D54A5">
        <w:t xml:space="preserve"> the computation of the match weight</w:t>
      </w:r>
      <w:r w:rsidR="005A2741" w:rsidRPr="008D54A5">
        <w:t xml:space="preserve"> </w:t>
      </w:r>
      <w:r w:rsidR="009361C5" w:rsidRPr="008D54A5">
        <w:t xml:space="preserve">was verified </w:t>
      </w:r>
      <w:r w:rsidRPr="008D54A5">
        <w:t>by saving all matching variables (fields) to a spreadsheet and setting up formulas that replicated the field comparison score of each variable</w:t>
      </w:r>
      <w:r w:rsidR="00823E71" w:rsidRPr="008D54A5">
        <w:t xml:space="preserve">. </w:t>
      </w:r>
      <w:r w:rsidR="009361C5" w:rsidRPr="008D54A5">
        <w:t>T</w:t>
      </w:r>
      <w:r w:rsidRPr="008D54A5">
        <w:t xml:space="preserve">he computation of the </w:t>
      </w:r>
      <w:r w:rsidRPr="008D54A5">
        <w:rPr>
          <w:i/>
        </w:rPr>
        <w:t>m</w:t>
      </w:r>
      <w:r w:rsidRPr="008D54A5">
        <w:t xml:space="preserve"> and </w:t>
      </w:r>
      <w:r w:rsidRPr="008D54A5">
        <w:rPr>
          <w:i/>
        </w:rPr>
        <w:t>u</w:t>
      </w:r>
      <w:r w:rsidR="00F165BF" w:rsidRPr="008D54A5">
        <w:t xml:space="preserve"> </w:t>
      </w:r>
      <w:r w:rsidRPr="008D54A5">
        <w:t>probabilities used in the comparison score for all fields</w:t>
      </w:r>
      <w:r w:rsidR="009361C5" w:rsidRPr="008D54A5">
        <w:t xml:space="preserve"> was then verified</w:t>
      </w:r>
      <w:r w:rsidRPr="008D54A5">
        <w:t>.</w:t>
      </w:r>
      <w:r w:rsidR="00B14F7F" w:rsidRPr="008D54A5">
        <w:br w:type="page"/>
      </w:r>
    </w:p>
    <w:p w14:paraId="46106BFB" w14:textId="77777777" w:rsidR="00345BEA" w:rsidRPr="008D54A5" w:rsidRDefault="00345BEA">
      <w:pPr>
        <w:rPr>
          <w:rFonts w:eastAsia="Calibri"/>
          <w:sz w:val="18"/>
          <w:szCs w:val="18"/>
        </w:rPr>
        <w:sectPr w:rsidR="00345BEA" w:rsidRPr="008D54A5" w:rsidSect="00345BEA">
          <w:headerReference w:type="default" r:id="rId54"/>
          <w:footerReference w:type="default" r:id="rId55"/>
          <w:pgSz w:w="12240" w:h="15840"/>
          <w:pgMar w:top="1440" w:right="1440" w:bottom="720" w:left="1440" w:header="720" w:footer="720" w:gutter="0"/>
          <w:cols w:space="720"/>
          <w:docGrid w:linePitch="360"/>
        </w:sectPr>
      </w:pPr>
      <w:bookmarkStart w:id="505" w:name="_Toc321750232"/>
    </w:p>
    <w:p w14:paraId="28A5D4FA" w14:textId="6C49AD2B" w:rsidR="005B3FDF" w:rsidRPr="008D54A5" w:rsidRDefault="003C087D" w:rsidP="00975A4F">
      <w:pPr>
        <w:pStyle w:val="Heading1"/>
      </w:pPr>
      <w:bookmarkStart w:id="506" w:name="_Toc127287305"/>
      <w:bookmarkStart w:id="507" w:name="_Toc160529631"/>
      <w:bookmarkStart w:id="508" w:name="_Toc189128114"/>
      <w:bookmarkEnd w:id="505"/>
      <w:r w:rsidRPr="008D54A5">
        <w:lastRenderedPageBreak/>
        <w:t xml:space="preserve">2022 </w:t>
      </w:r>
      <w:r w:rsidR="00F66AD2" w:rsidRPr="008D54A5">
        <w:t>MPC Home Health and Home</w:t>
      </w:r>
      <w:r w:rsidR="007258E9" w:rsidRPr="008D54A5">
        <w:t xml:space="preserve"> Non-</w:t>
      </w:r>
      <w:r w:rsidR="00F66AD2" w:rsidRPr="008D54A5">
        <w:t>Health Data</w:t>
      </w:r>
      <w:bookmarkEnd w:id="506"/>
      <w:bookmarkEnd w:id="507"/>
      <w:bookmarkEnd w:id="508"/>
    </w:p>
    <w:p w14:paraId="7CE84705" w14:textId="4CC0771F" w:rsidR="00603E69" w:rsidRPr="008D54A5" w:rsidRDefault="00F66AD2" w:rsidP="00E75D33">
      <w:pPr>
        <w:pStyle w:val="BodyText"/>
      </w:pPr>
      <w:r w:rsidRPr="008D54A5">
        <w:t>Th</w:t>
      </w:r>
      <w:r w:rsidR="00A453F9" w:rsidRPr="008D54A5">
        <w:t>is</w:t>
      </w:r>
      <w:r w:rsidRPr="008D54A5">
        <w:t xml:space="preserve"> section discusses the editing and matching associated with the </w:t>
      </w:r>
      <w:r w:rsidR="00BD1686" w:rsidRPr="008D54A5">
        <w:t>Home Health (</w:t>
      </w:r>
      <w:r w:rsidRPr="008D54A5">
        <w:t>HH</w:t>
      </w:r>
      <w:r w:rsidR="00BD1686" w:rsidRPr="008D54A5">
        <w:t>)</w:t>
      </w:r>
      <w:r w:rsidRPr="008D54A5">
        <w:t xml:space="preserve"> and </w:t>
      </w:r>
      <w:r w:rsidR="007258E9" w:rsidRPr="008D54A5">
        <w:t xml:space="preserve">Home </w:t>
      </w:r>
      <w:r w:rsidR="00BD1686" w:rsidRPr="008D54A5">
        <w:t>Non- Health (</w:t>
      </w:r>
      <w:r w:rsidRPr="008D54A5">
        <w:t>NHH</w:t>
      </w:r>
      <w:r w:rsidR="00BD1686" w:rsidRPr="008D54A5">
        <w:t>)</w:t>
      </w:r>
      <w:r w:rsidRPr="008D54A5">
        <w:t xml:space="preserve"> data.</w:t>
      </w:r>
      <w:r w:rsidR="00A41CC6" w:rsidRPr="008D54A5">
        <w:t xml:space="preserve"> </w:t>
      </w:r>
      <w:r w:rsidR="00A453F9" w:rsidRPr="008D54A5">
        <w:t>Several</w:t>
      </w:r>
      <w:r w:rsidR="00A41CC6" w:rsidRPr="008D54A5">
        <w:t xml:space="preserve"> acronyms</w:t>
      </w:r>
      <w:r w:rsidR="00446DA7" w:rsidRPr="008D54A5">
        <w:t xml:space="preserve"> are</w:t>
      </w:r>
      <w:r w:rsidR="00A41CC6" w:rsidRPr="008D54A5">
        <w:t xml:space="preserve"> used to describe these data files. The HH files are also referred</w:t>
      </w:r>
      <w:r w:rsidR="00C6270F" w:rsidRPr="008D54A5">
        <w:t xml:space="preserve"> to</w:t>
      </w:r>
      <w:r w:rsidR="00A41CC6" w:rsidRPr="008D54A5">
        <w:t xml:space="preserve"> as the Home Care Health (HCH) files; the NHH files are also referred to as the Home Care Non-Health (HCN) files.</w:t>
      </w:r>
    </w:p>
    <w:p w14:paraId="75F9809A" w14:textId="25B292DB" w:rsidR="005B3FDF" w:rsidRPr="008D54A5" w:rsidRDefault="00F66AD2" w:rsidP="00DD4425">
      <w:pPr>
        <w:pStyle w:val="Heading2"/>
      </w:pPr>
      <w:bookmarkStart w:id="509" w:name="_Toc127287306"/>
      <w:bookmarkStart w:id="510" w:name="_Toc160529632"/>
      <w:bookmarkStart w:id="511" w:name="_Toc189128115"/>
      <w:r w:rsidRPr="008D54A5">
        <w:t xml:space="preserve">Preparing the </w:t>
      </w:r>
      <w:r w:rsidR="00C45C59" w:rsidRPr="008D54A5">
        <w:t>HH</w:t>
      </w:r>
      <w:r w:rsidRPr="008D54A5">
        <w:t xml:space="preserve"> and </w:t>
      </w:r>
      <w:r w:rsidR="00C45C59" w:rsidRPr="008D54A5">
        <w:t>NHH</w:t>
      </w:r>
      <w:r w:rsidRPr="008D54A5">
        <w:t xml:space="preserve"> Data for Editing</w:t>
      </w:r>
      <w:bookmarkEnd w:id="509"/>
      <w:bookmarkEnd w:id="510"/>
      <w:bookmarkEnd w:id="511"/>
    </w:p>
    <w:p w14:paraId="7FC78276" w14:textId="2B9FA0A3" w:rsidR="00603E69" w:rsidRPr="008D54A5" w:rsidRDefault="00F66AD2" w:rsidP="00E75D33">
      <w:pPr>
        <w:pStyle w:val="BodyText"/>
      </w:pPr>
      <w:r w:rsidRPr="008D54A5">
        <w:t xml:space="preserve">Prior to editing of the HH and NHH data, the two data files </w:t>
      </w:r>
      <w:r w:rsidR="00C6270F" w:rsidRPr="008D54A5">
        <w:t xml:space="preserve">are </w:t>
      </w:r>
      <w:r w:rsidRPr="008D54A5">
        <w:t xml:space="preserve">combined into one file. As depicted earlier, after editing </w:t>
      </w:r>
      <w:r w:rsidR="00C6270F" w:rsidRPr="008D54A5">
        <w:t xml:space="preserve">is </w:t>
      </w:r>
      <w:r w:rsidRPr="008D54A5">
        <w:t xml:space="preserve">complete and prior to matching, the combined, edited file </w:t>
      </w:r>
      <w:r w:rsidR="00C6270F" w:rsidRPr="008D54A5">
        <w:t xml:space="preserve">is </w:t>
      </w:r>
      <w:r w:rsidRPr="008D54A5">
        <w:t>broken apart into the edited versions of the HH and NHH data files.</w:t>
      </w:r>
    </w:p>
    <w:p w14:paraId="23E4E613" w14:textId="1BB58287" w:rsidR="00443422" w:rsidRPr="008D54A5" w:rsidRDefault="00F66AD2" w:rsidP="00DD4425">
      <w:pPr>
        <w:pStyle w:val="Heading2"/>
      </w:pPr>
      <w:bookmarkStart w:id="512" w:name="_Toc319492946"/>
      <w:bookmarkStart w:id="513" w:name="_Toc127287307"/>
      <w:bookmarkStart w:id="514" w:name="_Toc160529633"/>
      <w:bookmarkStart w:id="515" w:name="_Toc189128116"/>
      <w:r w:rsidRPr="008D54A5">
        <w:t xml:space="preserve">Editing </w:t>
      </w:r>
      <w:r w:rsidR="00C45C59" w:rsidRPr="008D54A5">
        <w:t>HH</w:t>
      </w:r>
      <w:r w:rsidRPr="008D54A5">
        <w:t xml:space="preserve"> and </w:t>
      </w:r>
      <w:r w:rsidR="00C45C59" w:rsidRPr="008D54A5">
        <w:t>NHH</w:t>
      </w:r>
      <w:r w:rsidRPr="008D54A5">
        <w:t xml:space="preserve"> Data</w:t>
      </w:r>
      <w:bookmarkEnd w:id="512"/>
      <w:bookmarkEnd w:id="513"/>
      <w:bookmarkEnd w:id="514"/>
      <w:bookmarkEnd w:id="515"/>
    </w:p>
    <w:p w14:paraId="1F5B2E76" w14:textId="42EFDC08" w:rsidR="00603E69" w:rsidRPr="008D54A5" w:rsidRDefault="00F66AD2" w:rsidP="00E75D33">
      <w:pPr>
        <w:pStyle w:val="BodyText"/>
      </w:pPr>
      <w:r w:rsidRPr="008D54A5">
        <w:t xml:space="preserve">The steps in the editing and checking of the </w:t>
      </w:r>
      <w:r w:rsidR="00077AA1" w:rsidRPr="008D54A5">
        <w:t>HH</w:t>
      </w:r>
      <w:r w:rsidRPr="008D54A5">
        <w:t xml:space="preserve"> and </w:t>
      </w:r>
      <w:r w:rsidR="00077AA1" w:rsidRPr="008D54A5">
        <w:t>NHH</w:t>
      </w:r>
      <w:r w:rsidRPr="008D54A5">
        <w:t xml:space="preserve"> data mirror </w:t>
      </w:r>
      <w:r w:rsidR="00A453F9" w:rsidRPr="008D54A5">
        <w:t>those</w:t>
      </w:r>
      <w:r w:rsidRPr="008D54A5">
        <w:t xml:space="preserve"> for the Medical File data. The process of inserting missing codes to reflect skip patterns and other types of </w:t>
      </w:r>
      <w:proofErr w:type="gramStart"/>
      <w:r w:rsidRPr="008D54A5">
        <w:t>nonresponse</w:t>
      </w:r>
      <w:proofErr w:type="gramEnd"/>
      <w:r w:rsidRPr="008D54A5">
        <w:t xml:space="preserve">, recoding variables in preparation for matching, and creating new variables </w:t>
      </w:r>
      <w:r w:rsidR="00C6270F" w:rsidRPr="008D54A5">
        <w:t xml:space="preserve">is </w:t>
      </w:r>
      <w:r w:rsidRPr="008D54A5">
        <w:t xml:space="preserve">repeated for the </w:t>
      </w:r>
      <w:r w:rsidR="00312561" w:rsidRPr="008D54A5">
        <w:t>HH</w:t>
      </w:r>
      <w:r w:rsidR="00642D19" w:rsidRPr="008D54A5">
        <w:t xml:space="preserve"> and </w:t>
      </w:r>
      <w:r w:rsidR="00312561" w:rsidRPr="008D54A5">
        <w:t>NHH</w:t>
      </w:r>
      <w:r w:rsidRPr="008D54A5">
        <w:t xml:space="preserve"> data files. This section discusses issues unique to the </w:t>
      </w:r>
      <w:r w:rsidR="00312561" w:rsidRPr="008D54A5">
        <w:t>HH</w:t>
      </w:r>
      <w:r w:rsidR="00642D19" w:rsidRPr="008D54A5">
        <w:t xml:space="preserve"> and </w:t>
      </w:r>
      <w:r w:rsidR="00312561" w:rsidRPr="008D54A5">
        <w:t>NHH</w:t>
      </w:r>
      <w:r w:rsidRPr="008D54A5">
        <w:t xml:space="preserve"> data.</w:t>
      </w:r>
    </w:p>
    <w:p w14:paraId="788D68FF" w14:textId="61B2E3D7" w:rsidR="007F7310" w:rsidRPr="008D54A5" w:rsidRDefault="00F66AD2" w:rsidP="007F7310">
      <w:pPr>
        <w:pStyle w:val="BodyText"/>
      </w:pPr>
      <w:r w:rsidRPr="008D54A5">
        <w:t xml:space="preserve">In preparation for matching, the </w:t>
      </w:r>
      <w:r w:rsidR="00312561" w:rsidRPr="008D54A5">
        <w:t>HH</w:t>
      </w:r>
      <w:r w:rsidR="00642D19" w:rsidRPr="008D54A5">
        <w:t xml:space="preserve"> and </w:t>
      </w:r>
      <w:r w:rsidR="00312561" w:rsidRPr="008D54A5">
        <w:t>NHH</w:t>
      </w:r>
      <w:r w:rsidRPr="008D54A5">
        <w:t xml:space="preserve"> data </w:t>
      </w:r>
      <w:r w:rsidR="00C6270F" w:rsidRPr="008D54A5">
        <w:t xml:space="preserve">are </w:t>
      </w:r>
      <w:r w:rsidRPr="008D54A5">
        <w:t xml:space="preserve">summarized to the month level by </w:t>
      </w:r>
      <w:r w:rsidR="00BF14C8" w:rsidRPr="008D54A5">
        <w:t>the Medical Provider Component (</w:t>
      </w:r>
      <w:r w:rsidRPr="008D54A5">
        <w:t>MPC</w:t>
      </w:r>
      <w:r w:rsidR="00BF14C8" w:rsidRPr="008D54A5">
        <w:t>)</w:t>
      </w:r>
      <w:r w:rsidRPr="008D54A5">
        <w:t xml:space="preserve"> person</w:t>
      </w:r>
      <w:r w:rsidR="00BF14C8" w:rsidRPr="008D54A5">
        <w:t>-</w:t>
      </w:r>
      <w:r w:rsidRPr="008D54A5">
        <w:t>by</w:t>
      </w:r>
      <w:r w:rsidR="00BF14C8" w:rsidRPr="008D54A5">
        <w:t>-</w:t>
      </w:r>
      <w:r w:rsidRPr="008D54A5">
        <w:t>provider pair ID</w:t>
      </w:r>
      <w:r w:rsidR="00BF14C8" w:rsidRPr="008D54A5">
        <w:t xml:space="preserve"> (PPID)</w:t>
      </w:r>
      <w:r w:rsidRPr="008D54A5">
        <w:t xml:space="preserve">. The raw </w:t>
      </w:r>
      <w:r w:rsidR="00B63DB2" w:rsidRPr="008D54A5">
        <w:t xml:space="preserve">Blaise </w:t>
      </w:r>
      <w:r w:rsidRPr="008D54A5">
        <w:t xml:space="preserve">files contain events with billing periods that span various time periods (month, 60-day period, or other). </w:t>
      </w:r>
      <w:r w:rsidR="00A453F9" w:rsidRPr="008D54A5">
        <w:t>T</w:t>
      </w:r>
      <w:r w:rsidRPr="008D54A5">
        <w:t xml:space="preserve">o merge with the </w:t>
      </w:r>
      <w:r w:rsidR="00BF14C8" w:rsidRPr="008D54A5">
        <w:t>Household Component (</w:t>
      </w:r>
      <w:r w:rsidRPr="008D54A5">
        <w:t>HC</w:t>
      </w:r>
      <w:r w:rsidR="00BF14C8" w:rsidRPr="008D54A5">
        <w:t>)</w:t>
      </w:r>
      <w:r w:rsidRPr="008D54A5">
        <w:t xml:space="preserve"> data, the MPC data </w:t>
      </w:r>
      <w:r w:rsidR="00A453F9" w:rsidRPr="008D54A5">
        <w:t xml:space="preserve">are </w:t>
      </w:r>
      <w:r w:rsidRPr="008D54A5">
        <w:t xml:space="preserve">first converted to the PPID by month level. An event that </w:t>
      </w:r>
      <w:r w:rsidR="00C6270F" w:rsidRPr="008D54A5">
        <w:t xml:space="preserve">spans </w:t>
      </w:r>
      <w:r w:rsidRPr="008D54A5">
        <w:t xml:space="preserve">multiple months </w:t>
      </w:r>
      <w:r w:rsidR="00C6270F" w:rsidRPr="008D54A5">
        <w:t xml:space="preserve">is </w:t>
      </w:r>
      <w:r w:rsidRPr="008D54A5">
        <w:t xml:space="preserve">broken into multiple events with payments and charges prorated according to the proportion of the billing period that </w:t>
      </w:r>
      <w:r w:rsidR="00C6270F" w:rsidRPr="008D54A5">
        <w:t xml:space="preserve">occurs </w:t>
      </w:r>
      <w:r w:rsidRPr="008D54A5">
        <w:t>in each month. If multiple events occur within a month for a person</w:t>
      </w:r>
      <w:r w:rsidR="002063C2" w:rsidRPr="008D54A5">
        <w:t>–</w:t>
      </w:r>
      <w:r w:rsidRPr="008D54A5">
        <w:t xml:space="preserve">provider pair, these events </w:t>
      </w:r>
      <w:r w:rsidR="00C6270F" w:rsidRPr="008D54A5">
        <w:t xml:space="preserve">are </w:t>
      </w:r>
      <w:r w:rsidRPr="008D54A5">
        <w:t>summarized into one event for the pair.</w:t>
      </w:r>
      <w:r w:rsidR="00965472" w:rsidRPr="008D54A5">
        <w:t xml:space="preserve"> In the remainder of this section, a </w:t>
      </w:r>
      <w:r w:rsidR="00312561" w:rsidRPr="008D54A5">
        <w:t>HH</w:t>
      </w:r>
      <w:r w:rsidR="00965472" w:rsidRPr="008D54A5">
        <w:t xml:space="preserve"> </w:t>
      </w:r>
      <w:r w:rsidR="00356CD1" w:rsidRPr="008D54A5">
        <w:t>“</w:t>
      </w:r>
      <w:r w:rsidR="00965472" w:rsidRPr="008D54A5">
        <w:t>event</w:t>
      </w:r>
      <w:r w:rsidR="00356CD1" w:rsidRPr="008D54A5">
        <w:t>”</w:t>
      </w:r>
      <w:r w:rsidR="00965472" w:rsidRPr="008D54A5">
        <w:t xml:space="preserve"> is the month by PPID summary level of reporting.</w:t>
      </w:r>
    </w:p>
    <w:p w14:paraId="59917EC6" w14:textId="258589C3" w:rsidR="0051662A" w:rsidRPr="008D54A5" w:rsidRDefault="007F7310" w:rsidP="007F7310">
      <w:pPr>
        <w:pStyle w:val="BodyText"/>
      </w:pPr>
      <w:r w:rsidRPr="008D54A5">
        <w:t xml:space="preserve">Prior to matching, </w:t>
      </w:r>
      <w:r w:rsidR="0051662A" w:rsidRPr="008D54A5">
        <w:t>the lowest charge events were excluded from matching and the charges and payments from the low</w:t>
      </w:r>
      <w:r w:rsidR="00FA4EBE" w:rsidRPr="008D54A5">
        <w:t>-</w:t>
      </w:r>
      <w:r w:rsidR="0051662A" w:rsidRPr="008D54A5">
        <w:t xml:space="preserve">charge events were allocated to the remaining events. </w:t>
      </w:r>
      <w:r w:rsidR="00284FEF" w:rsidRPr="008D54A5">
        <w:t xml:space="preserve">This change was made at </w:t>
      </w:r>
      <w:r w:rsidR="00BF14C8" w:rsidRPr="008D54A5">
        <w:t>Agency for Health</w:t>
      </w:r>
      <w:r w:rsidR="007C1028" w:rsidRPr="008D54A5">
        <w:t>c</w:t>
      </w:r>
      <w:r w:rsidR="00BF14C8" w:rsidRPr="008D54A5">
        <w:t>are Research and Quality’s (</w:t>
      </w:r>
      <w:r w:rsidR="00284FEF" w:rsidRPr="008D54A5">
        <w:t>AHRQ</w:t>
      </w:r>
      <w:r w:rsidR="00356CD1" w:rsidRPr="008D54A5">
        <w:t>’</w:t>
      </w:r>
      <w:r w:rsidR="00284FEF" w:rsidRPr="008D54A5">
        <w:t>s</w:t>
      </w:r>
      <w:r w:rsidR="00BF14C8" w:rsidRPr="008D54A5">
        <w:t>)</w:t>
      </w:r>
      <w:r w:rsidR="00284FEF" w:rsidRPr="008D54A5">
        <w:t xml:space="preserve"> request. </w:t>
      </w:r>
      <w:r w:rsidR="0051662A" w:rsidRPr="008D54A5">
        <w:t>A</w:t>
      </w:r>
      <w:r w:rsidRPr="008D54A5">
        <w:t xml:space="preserve"> comparison was made between the number of MPC and HC month by PPID events</w:t>
      </w:r>
      <w:r w:rsidR="00965472" w:rsidRPr="008D54A5">
        <w:t xml:space="preserve"> for each person</w:t>
      </w:r>
      <w:r w:rsidRPr="008D54A5">
        <w:t>.</w:t>
      </w:r>
      <w:r w:rsidR="00356CD1" w:rsidRPr="008D54A5">
        <w:t xml:space="preserve"> </w:t>
      </w:r>
      <w:r w:rsidRPr="008D54A5">
        <w:t>When the number of MPC events was larger than the number HC event</w:t>
      </w:r>
      <w:r w:rsidR="00965472" w:rsidRPr="008D54A5">
        <w:t>s</w:t>
      </w:r>
      <w:r w:rsidRPr="008D54A5">
        <w:t xml:space="preserve">, the MPC </w:t>
      </w:r>
      <w:r w:rsidR="00965472" w:rsidRPr="008D54A5">
        <w:t>events</w:t>
      </w:r>
      <w:r w:rsidRPr="008D54A5">
        <w:t xml:space="preserve"> with the lowest </w:t>
      </w:r>
      <w:r w:rsidR="00965472" w:rsidRPr="008D54A5">
        <w:t xml:space="preserve">(including zero </w:t>
      </w:r>
      <w:r w:rsidRPr="008D54A5">
        <w:t>or missing total charge</w:t>
      </w:r>
      <w:r w:rsidR="00965472" w:rsidRPr="008D54A5">
        <w:t>)</w:t>
      </w:r>
      <w:r w:rsidRPr="008D54A5">
        <w:t xml:space="preserve"> were identified. </w:t>
      </w:r>
      <w:r w:rsidR="00965472" w:rsidRPr="008D54A5">
        <w:t>For each person where the number of MPC events exceeded the number of HC events, u</w:t>
      </w:r>
      <w:r w:rsidRPr="008D54A5">
        <w:t xml:space="preserve">p to </w:t>
      </w:r>
      <w:r w:rsidR="00E21674" w:rsidRPr="008D54A5">
        <w:t>three</w:t>
      </w:r>
      <w:r w:rsidRPr="008D54A5">
        <w:t xml:space="preserve"> of the low</w:t>
      </w:r>
      <w:r w:rsidR="00E21674" w:rsidRPr="008D54A5">
        <w:t>-</w:t>
      </w:r>
      <w:r w:rsidRPr="008D54A5">
        <w:t xml:space="preserve">charge </w:t>
      </w:r>
      <w:r w:rsidR="00965472" w:rsidRPr="008D54A5">
        <w:t>events</w:t>
      </w:r>
      <w:r w:rsidRPr="008D54A5">
        <w:t xml:space="preserve"> were identified and the charge and payment data in those low</w:t>
      </w:r>
      <w:r w:rsidR="00E21674" w:rsidRPr="008D54A5">
        <w:t>-</w:t>
      </w:r>
      <w:r w:rsidRPr="008D54A5">
        <w:t xml:space="preserve">charge events were distributed equally across the remaining MPC events. </w:t>
      </w:r>
      <w:r w:rsidR="00965472" w:rsidRPr="008D54A5">
        <w:t>The low</w:t>
      </w:r>
      <w:r w:rsidR="00E21674" w:rsidRPr="008D54A5">
        <w:t>-</w:t>
      </w:r>
      <w:r w:rsidR="00965472" w:rsidRPr="008D54A5">
        <w:t xml:space="preserve">charge events were then excluded from matching. </w:t>
      </w:r>
      <w:r w:rsidRPr="008D54A5">
        <w:t xml:space="preserve">In other words, if there were </w:t>
      </w:r>
      <w:r w:rsidR="00E21674" w:rsidRPr="008D54A5">
        <w:t>one</w:t>
      </w:r>
      <w:r w:rsidRPr="008D54A5">
        <w:t xml:space="preserve">, </w:t>
      </w:r>
      <w:r w:rsidR="00E21674" w:rsidRPr="008D54A5">
        <w:t>two</w:t>
      </w:r>
      <w:r w:rsidRPr="008D54A5">
        <w:t xml:space="preserve">, or </w:t>
      </w:r>
      <w:r w:rsidR="00E21674" w:rsidRPr="008D54A5">
        <w:t>three</w:t>
      </w:r>
      <w:r w:rsidRPr="008D54A5">
        <w:t xml:space="preserve"> more MPC events reported than HC events, then </w:t>
      </w:r>
      <w:r w:rsidR="00E21674" w:rsidRPr="008D54A5">
        <w:t>one</w:t>
      </w:r>
      <w:r w:rsidRPr="008D54A5">
        <w:t xml:space="preserve">, </w:t>
      </w:r>
      <w:r w:rsidR="00E21674" w:rsidRPr="008D54A5">
        <w:t>two</w:t>
      </w:r>
      <w:r w:rsidRPr="008D54A5">
        <w:t xml:space="preserve">, or </w:t>
      </w:r>
      <w:r w:rsidR="00E21674" w:rsidRPr="008D54A5">
        <w:t>three</w:t>
      </w:r>
      <w:r w:rsidRPr="008D54A5">
        <w:t xml:space="preserve"> lowest charge MPC events were excluded from matching and their charges and payments distributed over the remaining event. If there was a difference of more than </w:t>
      </w:r>
      <w:r w:rsidR="00E21674" w:rsidRPr="008D54A5">
        <w:t>three</w:t>
      </w:r>
      <w:r w:rsidRPr="008D54A5">
        <w:t xml:space="preserve"> events, then only the </w:t>
      </w:r>
      <w:r w:rsidR="00E21674" w:rsidRPr="008D54A5">
        <w:t>three</w:t>
      </w:r>
      <w:r w:rsidRPr="008D54A5">
        <w:t xml:space="preserve"> lowest charge events were selected to be excluded.</w:t>
      </w:r>
      <w:r w:rsidR="00356CD1" w:rsidRPr="008D54A5">
        <w:t xml:space="preserve"> </w:t>
      </w:r>
      <w:bookmarkStart w:id="516" w:name="_Hlk65062024"/>
    </w:p>
    <w:bookmarkEnd w:id="516"/>
    <w:p w14:paraId="236785DF" w14:textId="0EA7978D" w:rsidR="007F7310" w:rsidRPr="008D54A5" w:rsidRDefault="005E69BC" w:rsidP="007F7310">
      <w:pPr>
        <w:pStyle w:val="BodyText"/>
      </w:pPr>
      <w:r w:rsidRPr="008D54A5">
        <w:lastRenderedPageBreak/>
        <w:t>S</w:t>
      </w:r>
      <w:r w:rsidR="00976BC7" w:rsidRPr="008D54A5">
        <w:t xml:space="preserve">ometimes there </w:t>
      </w:r>
      <w:r w:rsidRPr="008D54A5">
        <w:t>are</w:t>
      </w:r>
      <w:r w:rsidR="00976BC7" w:rsidRPr="008D54A5">
        <w:t xml:space="preserve"> more MPC months than HC months</w:t>
      </w:r>
      <w:r w:rsidR="002D1A11" w:rsidRPr="008D54A5">
        <w:t xml:space="preserve"> and the</w:t>
      </w:r>
      <w:r w:rsidR="00976BC7" w:rsidRPr="008D54A5">
        <w:t xml:space="preserve"> first calendar MPC month </w:t>
      </w:r>
      <w:r w:rsidRPr="008D54A5">
        <w:t xml:space="preserve">may </w:t>
      </w:r>
      <w:r w:rsidR="002D1A11" w:rsidRPr="008D54A5">
        <w:t xml:space="preserve">include charges for a </w:t>
      </w:r>
      <w:r w:rsidR="00976BC7" w:rsidRPr="008D54A5">
        <w:t xml:space="preserve">small number of days. </w:t>
      </w:r>
      <w:r w:rsidRPr="008D54A5">
        <w:t>The m</w:t>
      </w:r>
      <w:r w:rsidR="00976BC7" w:rsidRPr="008D54A5">
        <w:t>atching is by rank order rather than actual month</w:t>
      </w:r>
      <w:r w:rsidR="000D58B8" w:rsidRPr="008D54A5">
        <w:t>. T</w:t>
      </w:r>
      <w:r w:rsidR="00976BC7" w:rsidRPr="008D54A5">
        <w:t xml:space="preserve">his </w:t>
      </w:r>
      <w:r w:rsidRPr="008D54A5">
        <w:t xml:space="preserve">can </w:t>
      </w:r>
      <w:r w:rsidR="00976BC7" w:rsidRPr="008D54A5">
        <w:t>result in MPC months with a small number of days and small charge</w:t>
      </w:r>
      <w:r w:rsidRPr="008D54A5">
        <w:t>s</w:t>
      </w:r>
      <w:r w:rsidR="00976BC7" w:rsidRPr="008D54A5">
        <w:t xml:space="preserve"> being paired with a full month from the HC file</w:t>
      </w:r>
      <w:r w:rsidRPr="008D54A5">
        <w:t xml:space="preserve"> and some matched events having relatively small total charges for the services provided. Because of this, </w:t>
      </w:r>
      <w:r w:rsidR="00E82386" w:rsidRPr="008D54A5">
        <w:t xml:space="preserve">AHRQ </w:t>
      </w:r>
      <w:r w:rsidRPr="008D54A5">
        <w:t xml:space="preserve">modified the matching specifications after the 2015 MPC so that when there are more MPC months than HC months, the </w:t>
      </w:r>
      <w:r w:rsidR="008D5863" w:rsidRPr="008D54A5">
        <w:t xml:space="preserve">events with low-charge months </w:t>
      </w:r>
      <w:r w:rsidRPr="008D54A5">
        <w:t>are</w:t>
      </w:r>
      <w:r w:rsidR="008D5863" w:rsidRPr="008D54A5">
        <w:t xml:space="preserve"> excluded from matching. </w:t>
      </w:r>
      <w:r w:rsidR="00965472" w:rsidRPr="008D54A5">
        <w:t xml:space="preserve">The original charge and payment variables are included on the files in the variable names that begin with </w:t>
      </w:r>
      <w:r w:rsidR="00356CD1" w:rsidRPr="008D54A5">
        <w:t>“</w:t>
      </w:r>
      <w:r w:rsidR="00965472" w:rsidRPr="008D54A5">
        <w:t>ORIG_</w:t>
      </w:r>
      <w:r w:rsidR="00F40678" w:rsidRPr="008D54A5">
        <w:t>.”</w:t>
      </w:r>
      <w:r w:rsidR="00356CD1" w:rsidRPr="008D54A5">
        <w:t xml:space="preserve"> </w:t>
      </w:r>
      <w:r w:rsidR="0051662A" w:rsidRPr="008D54A5">
        <w:t>For example, TOTLCHRG contains the total charge for the event after allocating the low</w:t>
      </w:r>
      <w:r w:rsidR="00E21674" w:rsidRPr="008D54A5">
        <w:t>-</w:t>
      </w:r>
      <w:r w:rsidR="0051662A" w:rsidRPr="008D54A5">
        <w:t>charge months and ORIG_TOTLCHRG contains the original total charge. Similarly, TOTLPAYM and ORIG_TOTLPAYM contain the total payment after the allocation and the original total payment for the event.</w:t>
      </w:r>
    </w:p>
    <w:p w14:paraId="3BEBBABB" w14:textId="6D4FD8C1" w:rsidR="00603E69" w:rsidRPr="008D54A5" w:rsidRDefault="00F66AD2" w:rsidP="00DD4425">
      <w:pPr>
        <w:pStyle w:val="Heading2"/>
      </w:pPr>
      <w:bookmarkStart w:id="517" w:name="_Toc319492947"/>
      <w:bookmarkStart w:id="518" w:name="_Toc127287308"/>
      <w:bookmarkStart w:id="519" w:name="_Toc160529634"/>
      <w:bookmarkStart w:id="520" w:name="_Toc189128117"/>
      <w:r w:rsidRPr="008D54A5">
        <w:t xml:space="preserve">Matching of the </w:t>
      </w:r>
      <w:r w:rsidR="00C45C59" w:rsidRPr="008D54A5">
        <w:t>HH</w:t>
      </w:r>
      <w:r w:rsidRPr="008D54A5">
        <w:t xml:space="preserve"> Data</w:t>
      </w:r>
      <w:bookmarkEnd w:id="517"/>
      <w:bookmarkEnd w:id="518"/>
      <w:bookmarkEnd w:id="519"/>
      <w:bookmarkEnd w:id="520"/>
    </w:p>
    <w:p w14:paraId="5D677DD6" w14:textId="4AC0546B" w:rsidR="005A0BA1" w:rsidRPr="008D54A5" w:rsidRDefault="00284FEF" w:rsidP="006202C4">
      <w:pPr>
        <w:pStyle w:val="BodyText"/>
        <w:keepNext/>
      </w:pPr>
      <w:r w:rsidRPr="008D54A5">
        <w:t>After excluding the low</w:t>
      </w:r>
      <w:r w:rsidR="00E21674" w:rsidRPr="008D54A5">
        <w:t>-</w:t>
      </w:r>
      <w:r w:rsidRPr="008D54A5">
        <w:t xml:space="preserve">charge events, </w:t>
      </w:r>
      <w:r w:rsidR="005E69BC" w:rsidRPr="008D54A5">
        <w:t xml:space="preserve">the </w:t>
      </w:r>
      <w:r w:rsidR="00270931" w:rsidRPr="008D54A5">
        <w:t xml:space="preserve">2022 </w:t>
      </w:r>
      <w:r w:rsidR="00312561" w:rsidRPr="008D54A5">
        <w:t>HH</w:t>
      </w:r>
      <w:r w:rsidRPr="008D54A5">
        <w:t xml:space="preserve"> matching used the same procedures that have been in place since the 2011 MPC.</w:t>
      </w:r>
      <w:r w:rsidR="00111341" w:rsidRPr="008D54A5">
        <w:t xml:space="preserve"> </w:t>
      </w:r>
      <w:r w:rsidR="00E06907" w:rsidRPr="008D54A5">
        <w:t>The matching is done in</w:t>
      </w:r>
      <w:r w:rsidR="00F66AD2" w:rsidRPr="008D54A5">
        <w:t xml:space="preserve"> rank order: </w:t>
      </w:r>
      <w:r w:rsidR="00A453F9" w:rsidRPr="008D54A5">
        <w:t xml:space="preserve">first </w:t>
      </w:r>
      <w:r w:rsidR="00F66AD2" w:rsidRPr="008D54A5">
        <w:t xml:space="preserve">HC month to </w:t>
      </w:r>
      <w:r w:rsidR="00A453F9" w:rsidRPr="008D54A5">
        <w:t xml:space="preserve">first </w:t>
      </w:r>
      <w:r w:rsidR="00F66AD2" w:rsidRPr="008D54A5">
        <w:t xml:space="preserve">MPC month, etc. For example, if the HC has May-June-July and the MPC has July-August-September, matches </w:t>
      </w:r>
      <w:r w:rsidR="00C6270F" w:rsidRPr="008D54A5">
        <w:t xml:space="preserve">are </w:t>
      </w:r>
      <w:r w:rsidR="00F66AD2" w:rsidRPr="008D54A5">
        <w:t xml:space="preserve">made as </w:t>
      </w:r>
      <w:r w:rsidR="00A749C0" w:rsidRPr="008D54A5">
        <w:t>shown below. The months were rank</w:t>
      </w:r>
      <w:r w:rsidR="00312561" w:rsidRPr="008D54A5">
        <w:t xml:space="preserve"> </w:t>
      </w:r>
      <w:r w:rsidR="00A749C0" w:rsidRPr="008D54A5">
        <w:t xml:space="preserve">ordered on both sides (1 to 3 in this example) and then merged. The only exception to this procedure is when the number of MPC events </w:t>
      </w:r>
      <w:r w:rsidR="002772A3" w:rsidRPr="008D54A5">
        <w:t>wa</w:t>
      </w:r>
      <w:r w:rsidR="00A749C0" w:rsidRPr="008D54A5">
        <w:t xml:space="preserve">s larger than the number of HC events for a person, then up to three of the lowest charge MPC events </w:t>
      </w:r>
      <w:r w:rsidR="002772A3" w:rsidRPr="008D54A5">
        <w:t>we</w:t>
      </w:r>
      <w:r w:rsidR="00A749C0" w:rsidRPr="008D54A5">
        <w:t>re excluded from the matching.</w:t>
      </w:r>
    </w:p>
    <w:tbl>
      <w:tblPr>
        <w:tblStyle w:val="TableGrid"/>
        <w:tblW w:w="5000" w:type="pct"/>
        <w:tblLook w:val="04A0" w:firstRow="1" w:lastRow="0" w:firstColumn="1" w:lastColumn="0" w:noHBand="0" w:noVBand="1"/>
      </w:tblPr>
      <w:tblGrid>
        <w:gridCol w:w="1776"/>
        <w:gridCol w:w="2622"/>
        <w:gridCol w:w="2330"/>
        <w:gridCol w:w="2622"/>
      </w:tblGrid>
      <w:tr w:rsidR="005A0BA1" w:rsidRPr="008D54A5" w14:paraId="7091C53E" w14:textId="77777777" w:rsidTr="00950102">
        <w:trPr>
          <w:cnfStyle w:val="100000000000" w:firstRow="1" w:lastRow="0" w:firstColumn="0" w:lastColumn="0" w:oddVBand="0" w:evenVBand="0" w:oddHBand="0" w:evenHBand="0" w:firstRowFirstColumn="0" w:firstRowLastColumn="0" w:lastRowFirstColumn="0" w:lastRowLastColumn="0"/>
        </w:trPr>
        <w:tc>
          <w:tcPr>
            <w:tcW w:w="950" w:type="pct"/>
          </w:tcPr>
          <w:p w14:paraId="665355C7" w14:textId="77777777" w:rsidR="005A0BA1" w:rsidRPr="008D54A5" w:rsidRDefault="00F66AD2" w:rsidP="00A73A3D">
            <w:pPr>
              <w:keepNext/>
              <w:rPr>
                <w:rFonts w:asciiTheme="majorBidi" w:hAnsiTheme="majorBidi" w:cstheme="majorBidi"/>
                <w:b/>
                <w:bCs/>
              </w:rPr>
            </w:pPr>
            <w:r w:rsidRPr="008D54A5">
              <w:rPr>
                <w:rFonts w:asciiTheme="majorBidi" w:hAnsiTheme="majorBidi" w:cstheme="majorBidi"/>
                <w:b/>
                <w:bCs/>
              </w:rPr>
              <w:t>HC</w:t>
            </w:r>
          </w:p>
        </w:tc>
        <w:tc>
          <w:tcPr>
            <w:tcW w:w="1402" w:type="pct"/>
          </w:tcPr>
          <w:p w14:paraId="260EA7BC" w14:textId="77777777" w:rsidR="005A0BA1" w:rsidRPr="008D54A5" w:rsidRDefault="00F66AD2" w:rsidP="00A73A3D">
            <w:pPr>
              <w:keepNext/>
              <w:rPr>
                <w:rFonts w:asciiTheme="majorBidi" w:hAnsiTheme="majorBidi" w:cstheme="majorBidi"/>
                <w:b/>
                <w:bCs/>
              </w:rPr>
            </w:pPr>
            <w:r w:rsidRPr="008D54A5">
              <w:rPr>
                <w:rFonts w:asciiTheme="majorBidi" w:hAnsiTheme="majorBidi" w:cstheme="majorBidi"/>
                <w:b/>
                <w:bCs/>
              </w:rPr>
              <w:t>Rank Order</w:t>
            </w:r>
          </w:p>
        </w:tc>
        <w:tc>
          <w:tcPr>
            <w:tcW w:w="1246" w:type="pct"/>
          </w:tcPr>
          <w:p w14:paraId="1B45951E" w14:textId="77777777" w:rsidR="005A0BA1" w:rsidRPr="008D54A5" w:rsidRDefault="00F66AD2" w:rsidP="00A73A3D">
            <w:pPr>
              <w:keepNext/>
              <w:rPr>
                <w:rFonts w:asciiTheme="majorBidi" w:hAnsiTheme="majorBidi" w:cstheme="majorBidi"/>
                <w:b/>
                <w:bCs/>
              </w:rPr>
            </w:pPr>
            <w:r w:rsidRPr="008D54A5">
              <w:rPr>
                <w:rFonts w:asciiTheme="majorBidi" w:hAnsiTheme="majorBidi" w:cstheme="majorBidi"/>
                <w:b/>
                <w:bCs/>
              </w:rPr>
              <w:t>MPC</w:t>
            </w:r>
          </w:p>
        </w:tc>
        <w:tc>
          <w:tcPr>
            <w:tcW w:w="1402" w:type="pct"/>
          </w:tcPr>
          <w:p w14:paraId="57764DC1" w14:textId="77777777" w:rsidR="005A0BA1" w:rsidRPr="008D54A5" w:rsidRDefault="00F66AD2" w:rsidP="00A73A3D">
            <w:pPr>
              <w:keepNext/>
              <w:rPr>
                <w:rFonts w:asciiTheme="majorBidi" w:hAnsiTheme="majorBidi" w:cstheme="majorBidi"/>
                <w:b/>
                <w:bCs/>
              </w:rPr>
            </w:pPr>
            <w:r w:rsidRPr="008D54A5">
              <w:rPr>
                <w:rFonts w:asciiTheme="majorBidi" w:hAnsiTheme="majorBidi" w:cstheme="majorBidi"/>
                <w:b/>
                <w:bCs/>
              </w:rPr>
              <w:t>Rank Order</w:t>
            </w:r>
          </w:p>
        </w:tc>
      </w:tr>
      <w:tr w:rsidR="005A0BA1" w:rsidRPr="008D54A5" w14:paraId="22838172" w14:textId="77777777" w:rsidTr="00950102">
        <w:tc>
          <w:tcPr>
            <w:tcW w:w="950" w:type="pct"/>
          </w:tcPr>
          <w:p w14:paraId="2348DD74"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May</w:t>
            </w:r>
          </w:p>
        </w:tc>
        <w:tc>
          <w:tcPr>
            <w:tcW w:w="1402" w:type="pct"/>
          </w:tcPr>
          <w:p w14:paraId="3D645D6B"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1</w:t>
            </w:r>
          </w:p>
        </w:tc>
        <w:tc>
          <w:tcPr>
            <w:tcW w:w="1246" w:type="pct"/>
          </w:tcPr>
          <w:p w14:paraId="4E60A724"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July</w:t>
            </w:r>
          </w:p>
        </w:tc>
        <w:tc>
          <w:tcPr>
            <w:tcW w:w="1402" w:type="pct"/>
          </w:tcPr>
          <w:p w14:paraId="6CF8DEAD"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1</w:t>
            </w:r>
          </w:p>
        </w:tc>
      </w:tr>
      <w:tr w:rsidR="005A0BA1" w:rsidRPr="008D54A5" w14:paraId="3B1F3907" w14:textId="77777777" w:rsidTr="00950102">
        <w:tc>
          <w:tcPr>
            <w:tcW w:w="950" w:type="pct"/>
          </w:tcPr>
          <w:p w14:paraId="2A09A9CA"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June</w:t>
            </w:r>
          </w:p>
        </w:tc>
        <w:tc>
          <w:tcPr>
            <w:tcW w:w="1402" w:type="pct"/>
          </w:tcPr>
          <w:p w14:paraId="4FC366C6"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2</w:t>
            </w:r>
          </w:p>
        </w:tc>
        <w:tc>
          <w:tcPr>
            <w:tcW w:w="1246" w:type="pct"/>
          </w:tcPr>
          <w:p w14:paraId="164AA335"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August</w:t>
            </w:r>
          </w:p>
        </w:tc>
        <w:tc>
          <w:tcPr>
            <w:tcW w:w="1402" w:type="pct"/>
          </w:tcPr>
          <w:p w14:paraId="4863E399"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2</w:t>
            </w:r>
          </w:p>
        </w:tc>
      </w:tr>
      <w:tr w:rsidR="005A0BA1" w:rsidRPr="008D54A5" w14:paraId="07C53DCE" w14:textId="77777777" w:rsidTr="00950102">
        <w:tc>
          <w:tcPr>
            <w:tcW w:w="950" w:type="pct"/>
          </w:tcPr>
          <w:p w14:paraId="37DB9038"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July</w:t>
            </w:r>
          </w:p>
        </w:tc>
        <w:tc>
          <w:tcPr>
            <w:tcW w:w="1402" w:type="pct"/>
          </w:tcPr>
          <w:p w14:paraId="7D38838A"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3</w:t>
            </w:r>
          </w:p>
        </w:tc>
        <w:tc>
          <w:tcPr>
            <w:tcW w:w="1246" w:type="pct"/>
          </w:tcPr>
          <w:p w14:paraId="7C1B451B"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September</w:t>
            </w:r>
          </w:p>
        </w:tc>
        <w:tc>
          <w:tcPr>
            <w:tcW w:w="1402" w:type="pct"/>
          </w:tcPr>
          <w:p w14:paraId="3D37264D" w14:textId="77777777" w:rsidR="005A0BA1" w:rsidRPr="008D54A5" w:rsidRDefault="00F66AD2" w:rsidP="00A73A3D">
            <w:pPr>
              <w:keepNext/>
              <w:jc w:val="center"/>
              <w:rPr>
                <w:rFonts w:asciiTheme="majorBidi" w:hAnsiTheme="majorBidi" w:cstheme="majorBidi"/>
              </w:rPr>
            </w:pPr>
            <w:r w:rsidRPr="008D54A5">
              <w:rPr>
                <w:rFonts w:asciiTheme="majorBidi" w:hAnsiTheme="majorBidi" w:cstheme="majorBidi"/>
              </w:rPr>
              <w:t>3</w:t>
            </w:r>
          </w:p>
        </w:tc>
      </w:tr>
    </w:tbl>
    <w:p w14:paraId="5B252017" w14:textId="20D7A559" w:rsidR="002D4D78" w:rsidRPr="008D54A5" w:rsidRDefault="00C3345E" w:rsidP="002D4D78">
      <w:pPr>
        <w:pStyle w:val="Source-9-1"/>
      </w:pPr>
      <w:r w:rsidRPr="008D54A5">
        <w:t xml:space="preserve">HC = </w:t>
      </w:r>
      <w:r w:rsidR="00BB6089" w:rsidRPr="008D54A5">
        <w:t>Household Component</w:t>
      </w:r>
      <w:r w:rsidRPr="008D54A5">
        <w:t xml:space="preserve">; MPC = </w:t>
      </w:r>
      <w:r w:rsidR="00BB6089" w:rsidRPr="008D54A5">
        <w:t>Medical Provider Component</w:t>
      </w:r>
      <w:r w:rsidR="002D4D78" w:rsidRPr="008D54A5">
        <w:t>.</w:t>
      </w:r>
    </w:p>
    <w:p w14:paraId="777C0C3E" w14:textId="19FB9CFF" w:rsidR="00094C4E" w:rsidRPr="008D54A5" w:rsidRDefault="00094C4E" w:rsidP="007127B0">
      <w:pPr>
        <w:pStyle w:val="Source102"/>
        <w:rPr>
          <w:sz w:val="18"/>
          <w:szCs w:val="18"/>
        </w:rPr>
      </w:pPr>
      <w:r w:rsidRPr="008D54A5">
        <w:rPr>
          <w:bCs/>
          <w:sz w:val="18"/>
          <w:szCs w:val="18"/>
        </w:rPr>
        <w:t>Source</w:t>
      </w:r>
      <w:r w:rsidRPr="008D54A5">
        <w:rPr>
          <w:sz w:val="18"/>
          <w:szCs w:val="18"/>
        </w:rPr>
        <w:t xml:space="preserve">: </w:t>
      </w:r>
      <w:r w:rsidR="007E13AC" w:rsidRPr="008D54A5">
        <w:rPr>
          <w:sz w:val="18"/>
          <w:szCs w:val="18"/>
        </w:rPr>
        <w:t>202</w:t>
      </w:r>
      <w:r w:rsidR="007E13AC">
        <w:rPr>
          <w:sz w:val="18"/>
          <w:szCs w:val="18"/>
        </w:rPr>
        <w:t>2</w:t>
      </w:r>
      <w:r w:rsidR="007E13AC" w:rsidRPr="008D54A5">
        <w:rPr>
          <w:sz w:val="18"/>
          <w:szCs w:val="18"/>
        </w:rPr>
        <w:t xml:space="preserve"> </w:t>
      </w:r>
      <w:r w:rsidRPr="008D54A5">
        <w:rPr>
          <w:sz w:val="18"/>
          <w:szCs w:val="18"/>
        </w:rPr>
        <w:t>Medical Expenditure Panel Survey – Medical Provider Component.</w:t>
      </w:r>
    </w:p>
    <w:p w14:paraId="15E3448D" w14:textId="091821EB" w:rsidR="00443422" w:rsidRPr="008D54A5" w:rsidRDefault="00F66AD2" w:rsidP="00F62C17">
      <w:pPr>
        <w:pStyle w:val="BodyText"/>
        <w:rPr>
          <w:szCs w:val="24"/>
        </w:rPr>
      </w:pPr>
      <w:r w:rsidRPr="008D54A5">
        <w:t xml:space="preserve">Two passes </w:t>
      </w:r>
      <w:r w:rsidR="00C6270F" w:rsidRPr="008D54A5">
        <w:t xml:space="preserve">are </w:t>
      </w:r>
      <w:r w:rsidRPr="008D54A5">
        <w:t xml:space="preserve">used for matching the files. </w:t>
      </w:r>
      <w:r w:rsidR="005541AB" w:rsidRPr="008D54A5">
        <w:t>Like</w:t>
      </w:r>
      <w:r w:rsidRPr="008D54A5">
        <w:t xml:space="preserve"> the matching of the </w:t>
      </w:r>
      <w:r w:rsidR="00A453F9" w:rsidRPr="008D54A5">
        <w:t>Medical Files</w:t>
      </w:r>
      <w:r w:rsidRPr="008D54A5">
        <w:t xml:space="preserve">, at the first pass, the matching </w:t>
      </w:r>
      <w:r w:rsidR="00C6270F" w:rsidRPr="008D54A5">
        <w:t xml:space="preserve">is </w:t>
      </w:r>
      <w:r w:rsidRPr="008D54A5">
        <w:t>within person</w:t>
      </w:r>
      <w:r w:rsidR="002063C2" w:rsidRPr="008D54A5">
        <w:t>–</w:t>
      </w:r>
      <w:r w:rsidRPr="008D54A5">
        <w:t>provider</w:t>
      </w:r>
      <w:r w:rsidR="002063C2" w:rsidRPr="008D54A5">
        <w:t xml:space="preserve"> pairs</w:t>
      </w:r>
      <w:r w:rsidRPr="008D54A5">
        <w:t xml:space="preserve"> using the rank ordering illustrated above.</w:t>
      </w:r>
      <w:r w:rsidR="00A749C0" w:rsidRPr="008D54A5">
        <w:t xml:space="preserve"> </w:t>
      </w:r>
      <w:r w:rsidRPr="008D54A5">
        <w:t xml:space="preserve">At the second pass, any unmatched events from the first pass </w:t>
      </w:r>
      <w:r w:rsidR="00C6270F" w:rsidRPr="008D54A5">
        <w:t xml:space="preserve">are </w:t>
      </w:r>
      <w:r w:rsidRPr="008D54A5">
        <w:t>matched within the person (across all providers). Most person</w:t>
      </w:r>
      <w:r w:rsidR="002063C2" w:rsidRPr="008D54A5">
        <w:t>–</w:t>
      </w:r>
      <w:r w:rsidRPr="008D54A5">
        <w:t xml:space="preserve">provider pairs differ in the number of HC and MPC months (the length of the spell). At the second pass, using the nonmatches from the first pass, the months </w:t>
      </w:r>
      <w:r w:rsidR="00C6270F" w:rsidRPr="008D54A5">
        <w:t xml:space="preserve">are </w:t>
      </w:r>
      <w:r w:rsidRPr="008D54A5">
        <w:t>again rank</w:t>
      </w:r>
      <w:r w:rsidR="00F165BF" w:rsidRPr="008D54A5">
        <w:t xml:space="preserve"> </w:t>
      </w:r>
      <w:r w:rsidRPr="008D54A5">
        <w:t xml:space="preserve">ordered before matching across providers. For example, if in this case the HC </w:t>
      </w:r>
      <w:r w:rsidR="00C6270F" w:rsidRPr="008D54A5">
        <w:t xml:space="preserve">does </w:t>
      </w:r>
      <w:r w:rsidRPr="008D54A5">
        <w:t xml:space="preserve">not include July, the September record in the MPC </w:t>
      </w:r>
      <w:r w:rsidR="00C6270F" w:rsidRPr="008D54A5">
        <w:t xml:space="preserve">is </w:t>
      </w:r>
      <w:r w:rsidRPr="008D54A5">
        <w:t>rank</w:t>
      </w:r>
      <w:r w:rsidR="00312561" w:rsidRPr="008D54A5">
        <w:t xml:space="preserve"> </w:t>
      </w:r>
      <w:r w:rsidRPr="008D54A5">
        <w:t>ordered again along with the person</w:t>
      </w:r>
      <w:r w:rsidR="00356CD1" w:rsidRPr="008D54A5">
        <w:t>’</w:t>
      </w:r>
      <w:r w:rsidR="005A0BA1" w:rsidRPr="008D54A5">
        <w:t>s other resi</w:t>
      </w:r>
      <w:r w:rsidRPr="008D54A5">
        <w:t>duals before matching to any HC residuals (also freshly rank</w:t>
      </w:r>
      <w:r w:rsidR="00312561" w:rsidRPr="008D54A5">
        <w:t xml:space="preserve"> </w:t>
      </w:r>
      <w:r w:rsidRPr="008D54A5">
        <w:t xml:space="preserve">ordered). </w:t>
      </w:r>
    </w:p>
    <w:p w14:paraId="4AC9A399" w14:textId="328813AD" w:rsidR="007F577A" w:rsidRPr="008D54A5" w:rsidRDefault="00356CD1" w:rsidP="00E75D33">
      <w:pPr>
        <w:pStyle w:val="BodyText"/>
      </w:pPr>
      <w:bookmarkStart w:id="521" w:name="_Hlk65062932"/>
      <w:r w:rsidRPr="00404E1F">
        <w:rPr>
          <w:b/>
        </w:rPr>
        <w:t>Exhibit </w:t>
      </w:r>
      <w:r w:rsidR="00F66AD2" w:rsidRPr="008D54A5">
        <w:rPr>
          <w:b/>
        </w:rPr>
        <w:t>11.1</w:t>
      </w:r>
      <w:r w:rsidR="00F66AD2" w:rsidRPr="008D54A5">
        <w:t xml:space="preserve"> summar</w:t>
      </w:r>
      <w:r w:rsidR="00642D19" w:rsidRPr="008D54A5">
        <w:t>izes</w:t>
      </w:r>
      <w:r w:rsidR="00F66AD2" w:rsidRPr="008D54A5">
        <w:t xml:space="preserve"> the </w:t>
      </w:r>
      <w:r w:rsidR="00312561" w:rsidRPr="008D54A5">
        <w:t>HH</w:t>
      </w:r>
      <w:r w:rsidR="00F66AD2" w:rsidRPr="008D54A5">
        <w:t xml:space="preserve"> matching process for</w:t>
      </w:r>
      <w:r w:rsidR="002772A3" w:rsidRPr="008D54A5">
        <w:t xml:space="preserve"> the most recent </w:t>
      </w:r>
      <w:r w:rsidR="001A13A3" w:rsidRPr="008D54A5">
        <w:t>3-year</w:t>
      </w:r>
      <w:r w:rsidR="002772A3" w:rsidRPr="008D54A5">
        <w:t xml:space="preserve"> </w:t>
      </w:r>
      <w:r w:rsidR="000A03B0" w:rsidRPr="008D54A5">
        <w:t>period</w:t>
      </w:r>
      <w:r w:rsidR="00F66AD2" w:rsidRPr="008D54A5">
        <w:t>.</w:t>
      </w:r>
      <w:r w:rsidR="002772A3" w:rsidRPr="008D54A5">
        <w:t xml:space="preserve"> </w:t>
      </w:r>
      <w:r w:rsidR="00B25EE0" w:rsidRPr="008D54A5">
        <w:t xml:space="preserve">The number of </w:t>
      </w:r>
      <w:proofErr w:type="gramStart"/>
      <w:r w:rsidR="00B25EE0" w:rsidRPr="008D54A5">
        <w:t>person</w:t>
      </w:r>
      <w:proofErr w:type="gramEnd"/>
      <w:r w:rsidR="002063C2" w:rsidRPr="008D54A5">
        <w:t>–</w:t>
      </w:r>
      <w:r w:rsidR="00B25EE0" w:rsidRPr="008D54A5">
        <w:t>provider pairs on the HC and MPC have</w:t>
      </w:r>
      <w:r w:rsidR="008F3BB5" w:rsidRPr="008D54A5">
        <w:t xml:space="preserve"> remained </w:t>
      </w:r>
      <w:r w:rsidR="00E41F0A" w:rsidRPr="008D54A5">
        <w:t>stable</w:t>
      </w:r>
      <w:r w:rsidR="008F3BB5" w:rsidRPr="008D54A5">
        <w:t xml:space="preserve"> </w:t>
      </w:r>
      <w:r w:rsidR="002772A3" w:rsidRPr="008D54A5">
        <w:t xml:space="preserve">for these 3 years </w:t>
      </w:r>
      <w:r w:rsidR="00E41F0A" w:rsidRPr="008D54A5">
        <w:t>like</w:t>
      </w:r>
      <w:r w:rsidR="008F3BB5" w:rsidRPr="008D54A5">
        <w:t xml:space="preserve"> the </w:t>
      </w:r>
      <w:r w:rsidR="005A4192" w:rsidRPr="008D54A5">
        <w:t>number of events on the files.</w:t>
      </w:r>
      <w:r w:rsidRPr="008D54A5">
        <w:t xml:space="preserve"> </w:t>
      </w:r>
    </w:p>
    <w:p w14:paraId="4C6F900A" w14:textId="6B7D7922" w:rsidR="00E368C3" w:rsidRPr="008D54A5" w:rsidRDefault="00E368C3" w:rsidP="00FD4A4F">
      <w:pPr>
        <w:pStyle w:val="ExhibitTitle"/>
      </w:pPr>
      <w:bookmarkStart w:id="522" w:name="_Toc128574210"/>
      <w:bookmarkStart w:id="523" w:name="_Toc188622358"/>
      <w:bookmarkStart w:id="524" w:name="_Toc319492987"/>
      <w:bookmarkEnd w:id="521"/>
      <w:r w:rsidRPr="00404E1F">
        <w:t xml:space="preserve">Exhibit </w:t>
      </w:r>
      <w:r w:rsidRPr="008D54A5">
        <w:t>11.1</w:t>
      </w:r>
      <w:r w:rsidRPr="008D54A5">
        <w:tab/>
        <w:t xml:space="preserve">Summary of </w:t>
      </w:r>
      <w:r w:rsidR="00312561" w:rsidRPr="008D54A5">
        <w:t>HH</w:t>
      </w:r>
      <w:r w:rsidRPr="008D54A5">
        <w:t xml:space="preserve"> Matching Process, </w:t>
      </w:r>
      <w:r w:rsidR="00730CD9" w:rsidRPr="008D54A5">
        <w:t>2020</w:t>
      </w:r>
      <w:r w:rsidRPr="008D54A5">
        <w:t>–</w:t>
      </w:r>
      <w:bookmarkEnd w:id="522"/>
      <w:r w:rsidR="00730CD9" w:rsidRPr="008D54A5">
        <w:t>2022</w:t>
      </w:r>
      <w:bookmarkEnd w:id="523"/>
    </w:p>
    <w:tbl>
      <w:tblPr>
        <w:tblW w:w="5100" w:type="pct"/>
        <w:tblInd w:w="-5" w:type="dxa"/>
        <w:tblLook w:val="04A0" w:firstRow="1" w:lastRow="0" w:firstColumn="1" w:lastColumn="0" w:noHBand="0" w:noVBand="1"/>
      </w:tblPr>
      <w:tblGrid>
        <w:gridCol w:w="4825"/>
        <w:gridCol w:w="1570"/>
        <w:gridCol w:w="1571"/>
        <w:gridCol w:w="1571"/>
      </w:tblGrid>
      <w:tr w:rsidR="00E1607C" w:rsidRPr="008D54A5" w14:paraId="10EF2A05" w14:textId="77777777" w:rsidTr="007D28BC">
        <w:trPr>
          <w:trHeight w:val="20"/>
        </w:trPr>
        <w:tc>
          <w:tcPr>
            <w:tcW w:w="2477"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EF5B90E" w14:textId="77777777" w:rsidR="00E1607C" w:rsidRPr="008D54A5" w:rsidRDefault="00E1607C" w:rsidP="00E1607C">
            <w:pPr>
              <w:pStyle w:val="TableHeading-12"/>
              <w:rPr>
                <w:sz w:val="20"/>
                <w:szCs w:val="20"/>
              </w:rPr>
            </w:pPr>
            <w:r w:rsidRPr="008D54A5">
              <w:rPr>
                <w:sz w:val="20"/>
                <w:szCs w:val="20"/>
              </w:rPr>
              <w:t> </w:t>
            </w:r>
          </w:p>
        </w:tc>
        <w:tc>
          <w:tcPr>
            <w:tcW w:w="841" w:type="pct"/>
            <w:tcBorders>
              <w:top w:val="single" w:sz="4" w:space="0" w:color="auto"/>
              <w:left w:val="nil"/>
              <w:bottom w:val="single" w:sz="4" w:space="0" w:color="auto"/>
              <w:right w:val="single" w:sz="4" w:space="0" w:color="auto"/>
            </w:tcBorders>
            <w:shd w:val="clear" w:color="000000" w:fill="BFBFBF"/>
          </w:tcPr>
          <w:p w14:paraId="7653E7FC" w14:textId="6C4972EC" w:rsidR="00E1607C" w:rsidRPr="008D54A5" w:rsidRDefault="00730CD9" w:rsidP="00730CD9">
            <w:pPr>
              <w:pStyle w:val="TableHeading-12"/>
              <w:rPr>
                <w:bCs/>
                <w:sz w:val="20"/>
                <w:szCs w:val="20"/>
              </w:rPr>
            </w:pPr>
            <w:r w:rsidRPr="008D54A5">
              <w:rPr>
                <w:sz w:val="20"/>
                <w:szCs w:val="20"/>
              </w:rPr>
              <w:t>2020</w:t>
            </w:r>
          </w:p>
        </w:tc>
        <w:tc>
          <w:tcPr>
            <w:tcW w:w="841" w:type="pct"/>
            <w:tcBorders>
              <w:top w:val="single" w:sz="4" w:space="0" w:color="auto"/>
              <w:left w:val="single" w:sz="4" w:space="0" w:color="auto"/>
              <w:bottom w:val="single" w:sz="4" w:space="0" w:color="auto"/>
              <w:right w:val="single" w:sz="4" w:space="0" w:color="auto"/>
            </w:tcBorders>
            <w:shd w:val="clear" w:color="000000" w:fill="BFBFBF"/>
          </w:tcPr>
          <w:p w14:paraId="2596C38D" w14:textId="7206E650" w:rsidR="00E1607C" w:rsidRPr="008D54A5" w:rsidRDefault="00730CD9" w:rsidP="00730CD9">
            <w:pPr>
              <w:pStyle w:val="TableHeading-12"/>
              <w:rPr>
                <w:bCs/>
                <w:sz w:val="20"/>
                <w:szCs w:val="20"/>
              </w:rPr>
            </w:pPr>
            <w:r w:rsidRPr="008D54A5">
              <w:rPr>
                <w:sz w:val="20"/>
                <w:szCs w:val="20"/>
              </w:rPr>
              <w:t>2021</w:t>
            </w:r>
          </w:p>
        </w:tc>
        <w:tc>
          <w:tcPr>
            <w:tcW w:w="841" w:type="pct"/>
            <w:tcBorders>
              <w:top w:val="single" w:sz="4" w:space="0" w:color="auto"/>
              <w:left w:val="single" w:sz="4" w:space="0" w:color="auto"/>
              <w:bottom w:val="single" w:sz="4" w:space="0" w:color="auto"/>
              <w:right w:val="single" w:sz="4" w:space="0" w:color="auto"/>
            </w:tcBorders>
            <w:shd w:val="clear" w:color="000000" w:fill="BFBFBF"/>
            <w:noWrap/>
            <w:hideMark/>
          </w:tcPr>
          <w:p w14:paraId="63C93DBA" w14:textId="62BD9857" w:rsidR="00E1607C" w:rsidRPr="008D54A5" w:rsidRDefault="00730CD9" w:rsidP="00730CD9">
            <w:pPr>
              <w:pStyle w:val="TableHeading-12"/>
              <w:rPr>
                <w:bCs/>
                <w:sz w:val="20"/>
                <w:szCs w:val="20"/>
              </w:rPr>
            </w:pPr>
            <w:r w:rsidRPr="008D54A5">
              <w:rPr>
                <w:sz w:val="20"/>
                <w:szCs w:val="20"/>
              </w:rPr>
              <w:t>2022</w:t>
            </w:r>
          </w:p>
        </w:tc>
      </w:tr>
      <w:tr w:rsidR="00730CD9" w:rsidRPr="008D54A5" w14:paraId="4BFB40DC" w14:textId="77777777" w:rsidTr="00514FF9">
        <w:trPr>
          <w:trHeight w:val="20"/>
        </w:trPr>
        <w:tc>
          <w:tcPr>
            <w:tcW w:w="2477" w:type="pct"/>
            <w:tcBorders>
              <w:top w:val="nil"/>
              <w:left w:val="single" w:sz="4" w:space="0" w:color="auto"/>
              <w:bottom w:val="single" w:sz="4" w:space="0" w:color="auto"/>
              <w:right w:val="single" w:sz="4" w:space="0" w:color="auto"/>
            </w:tcBorders>
            <w:shd w:val="clear" w:color="auto" w:fill="auto"/>
            <w:noWrap/>
            <w:vAlign w:val="bottom"/>
            <w:hideMark/>
          </w:tcPr>
          <w:p w14:paraId="422BB30B" w14:textId="33DAEAD0" w:rsidR="00730CD9" w:rsidRPr="008D54A5" w:rsidRDefault="00730CD9" w:rsidP="00E47419">
            <w:pPr>
              <w:pStyle w:val="TableText-12"/>
            </w:pPr>
            <w:r w:rsidRPr="008D54A5">
              <w:t>Number of Person–Provider Pairs on HC File</w:t>
            </w:r>
          </w:p>
        </w:tc>
        <w:tc>
          <w:tcPr>
            <w:tcW w:w="841" w:type="pct"/>
            <w:tcBorders>
              <w:top w:val="single" w:sz="4" w:space="0" w:color="auto"/>
              <w:left w:val="single" w:sz="4" w:space="0" w:color="auto"/>
              <w:bottom w:val="single" w:sz="4" w:space="0" w:color="auto"/>
              <w:right w:val="single" w:sz="4" w:space="0" w:color="auto"/>
            </w:tcBorders>
            <w:shd w:val="clear" w:color="auto" w:fill="auto"/>
            <w:vAlign w:val="center"/>
          </w:tcPr>
          <w:p w14:paraId="37DDEEBD" w14:textId="1E8A373F" w:rsidR="00730CD9" w:rsidRPr="008D54A5" w:rsidRDefault="00730CD9" w:rsidP="00E47419">
            <w:pPr>
              <w:pStyle w:val="Tabletext-dec-12"/>
            </w:pPr>
            <w:r w:rsidRPr="006E4110">
              <w:t>593</w:t>
            </w:r>
          </w:p>
        </w:tc>
        <w:tc>
          <w:tcPr>
            <w:tcW w:w="841" w:type="pct"/>
            <w:tcBorders>
              <w:top w:val="single" w:sz="4" w:space="0" w:color="auto"/>
              <w:left w:val="nil"/>
              <w:bottom w:val="single" w:sz="4" w:space="0" w:color="auto"/>
              <w:right w:val="single" w:sz="4" w:space="0" w:color="auto"/>
            </w:tcBorders>
            <w:shd w:val="clear" w:color="auto" w:fill="auto"/>
            <w:vAlign w:val="center"/>
          </w:tcPr>
          <w:p w14:paraId="4F5BA8DB" w14:textId="3776261B" w:rsidR="00730CD9" w:rsidRPr="008D54A5" w:rsidRDefault="00730CD9" w:rsidP="00E47419">
            <w:pPr>
              <w:pStyle w:val="Tabletext-dec-12"/>
            </w:pPr>
            <w:r w:rsidRPr="006E4110">
              <w:t>666</w:t>
            </w:r>
          </w:p>
        </w:tc>
        <w:tc>
          <w:tcPr>
            <w:tcW w:w="841" w:type="pct"/>
            <w:tcBorders>
              <w:top w:val="single" w:sz="4" w:space="0" w:color="auto"/>
              <w:left w:val="nil"/>
              <w:bottom w:val="single" w:sz="4" w:space="0" w:color="auto"/>
              <w:right w:val="single" w:sz="4" w:space="0" w:color="auto"/>
            </w:tcBorders>
            <w:shd w:val="clear" w:color="auto" w:fill="auto"/>
            <w:noWrap/>
            <w:vAlign w:val="center"/>
            <w:hideMark/>
          </w:tcPr>
          <w:p w14:paraId="218093CD" w14:textId="4AA0B8D1" w:rsidR="00730CD9" w:rsidRPr="008D54A5" w:rsidRDefault="00730CD9" w:rsidP="00E47419">
            <w:pPr>
              <w:pStyle w:val="Tabletext-dec-12"/>
            </w:pPr>
            <w:r w:rsidRPr="006E4110">
              <w:t>604</w:t>
            </w:r>
          </w:p>
        </w:tc>
      </w:tr>
      <w:tr w:rsidR="00730CD9" w:rsidRPr="008D54A5" w14:paraId="348AA82F" w14:textId="77777777" w:rsidTr="00514FF9">
        <w:trPr>
          <w:trHeight w:val="20"/>
        </w:trPr>
        <w:tc>
          <w:tcPr>
            <w:tcW w:w="2477" w:type="pct"/>
            <w:tcBorders>
              <w:top w:val="nil"/>
              <w:left w:val="single" w:sz="4" w:space="0" w:color="auto"/>
              <w:bottom w:val="single" w:sz="4" w:space="0" w:color="auto"/>
              <w:right w:val="single" w:sz="4" w:space="0" w:color="auto"/>
            </w:tcBorders>
            <w:shd w:val="clear" w:color="auto" w:fill="auto"/>
            <w:noWrap/>
            <w:vAlign w:val="bottom"/>
            <w:hideMark/>
          </w:tcPr>
          <w:p w14:paraId="00F40840" w14:textId="706EFE5F" w:rsidR="00730CD9" w:rsidRPr="008D54A5" w:rsidRDefault="00730CD9" w:rsidP="00E47419">
            <w:pPr>
              <w:pStyle w:val="TableText-12"/>
            </w:pPr>
            <w:r w:rsidRPr="008D54A5">
              <w:lastRenderedPageBreak/>
              <w:t>Number of Person–Provider Pairs on MPC File</w:t>
            </w:r>
          </w:p>
        </w:tc>
        <w:tc>
          <w:tcPr>
            <w:tcW w:w="841" w:type="pct"/>
            <w:tcBorders>
              <w:top w:val="nil"/>
              <w:left w:val="single" w:sz="4" w:space="0" w:color="auto"/>
              <w:bottom w:val="single" w:sz="4" w:space="0" w:color="auto"/>
              <w:right w:val="single" w:sz="4" w:space="0" w:color="auto"/>
            </w:tcBorders>
            <w:shd w:val="clear" w:color="auto" w:fill="auto"/>
            <w:vAlign w:val="center"/>
          </w:tcPr>
          <w:p w14:paraId="59A7A74E" w14:textId="12DF100E" w:rsidR="00730CD9" w:rsidRPr="008D54A5" w:rsidRDefault="00730CD9" w:rsidP="00E47419">
            <w:pPr>
              <w:pStyle w:val="Tabletext-dec-12"/>
            </w:pPr>
            <w:r w:rsidRPr="006E4110">
              <w:t>531</w:t>
            </w:r>
          </w:p>
        </w:tc>
        <w:tc>
          <w:tcPr>
            <w:tcW w:w="841" w:type="pct"/>
            <w:tcBorders>
              <w:top w:val="nil"/>
              <w:left w:val="nil"/>
              <w:bottom w:val="single" w:sz="4" w:space="0" w:color="auto"/>
              <w:right w:val="single" w:sz="4" w:space="0" w:color="auto"/>
            </w:tcBorders>
            <w:shd w:val="clear" w:color="auto" w:fill="auto"/>
            <w:vAlign w:val="center"/>
          </w:tcPr>
          <w:p w14:paraId="14B7FA5C" w14:textId="1277B2AB" w:rsidR="00730CD9" w:rsidRPr="008D54A5" w:rsidRDefault="00730CD9" w:rsidP="00E47419">
            <w:pPr>
              <w:pStyle w:val="Tabletext-dec-12"/>
            </w:pPr>
            <w:r w:rsidRPr="006E4110">
              <w:t>584</w:t>
            </w:r>
          </w:p>
        </w:tc>
        <w:tc>
          <w:tcPr>
            <w:tcW w:w="841" w:type="pct"/>
            <w:tcBorders>
              <w:top w:val="nil"/>
              <w:left w:val="nil"/>
              <w:bottom w:val="single" w:sz="4" w:space="0" w:color="auto"/>
              <w:right w:val="single" w:sz="4" w:space="0" w:color="auto"/>
            </w:tcBorders>
            <w:shd w:val="clear" w:color="auto" w:fill="auto"/>
            <w:noWrap/>
            <w:vAlign w:val="center"/>
            <w:hideMark/>
          </w:tcPr>
          <w:p w14:paraId="2CED27F0" w14:textId="150E0BD6" w:rsidR="00730CD9" w:rsidRPr="008D54A5" w:rsidRDefault="00730CD9" w:rsidP="00E47419">
            <w:pPr>
              <w:pStyle w:val="Tabletext-dec-12"/>
            </w:pPr>
            <w:r w:rsidRPr="006E4110">
              <w:t>528</w:t>
            </w:r>
          </w:p>
        </w:tc>
      </w:tr>
      <w:tr w:rsidR="00730CD9" w:rsidRPr="008D54A5" w14:paraId="5C3B5B47" w14:textId="77777777" w:rsidTr="00514FF9">
        <w:trPr>
          <w:trHeight w:val="20"/>
        </w:trPr>
        <w:tc>
          <w:tcPr>
            <w:tcW w:w="2477" w:type="pct"/>
            <w:tcBorders>
              <w:top w:val="nil"/>
              <w:left w:val="single" w:sz="4" w:space="0" w:color="auto"/>
              <w:bottom w:val="single" w:sz="4" w:space="0" w:color="auto"/>
              <w:right w:val="single" w:sz="4" w:space="0" w:color="auto"/>
            </w:tcBorders>
            <w:shd w:val="clear" w:color="auto" w:fill="auto"/>
            <w:noWrap/>
            <w:vAlign w:val="bottom"/>
            <w:hideMark/>
          </w:tcPr>
          <w:p w14:paraId="4662E7A1" w14:textId="77777777" w:rsidR="00730CD9" w:rsidRPr="008D54A5" w:rsidRDefault="00730CD9" w:rsidP="00E47419">
            <w:pPr>
              <w:pStyle w:val="TableText-12"/>
            </w:pPr>
            <w:r w:rsidRPr="008D54A5">
              <w:t>Number of HC Events (months) on File</w:t>
            </w:r>
          </w:p>
        </w:tc>
        <w:tc>
          <w:tcPr>
            <w:tcW w:w="841" w:type="pct"/>
            <w:tcBorders>
              <w:top w:val="nil"/>
              <w:left w:val="single" w:sz="4" w:space="0" w:color="auto"/>
              <w:bottom w:val="single" w:sz="4" w:space="0" w:color="auto"/>
              <w:right w:val="single" w:sz="4" w:space="0" w:color="auto"/>
            </w:tcBorders>
            <w:shd w:val="clear" w:color="auto" w:fill="auto"/>
            <w:vAlign w:val="center"/>
          </w:tcPr>
          <w:p w14:paraId="5E271155" w14:textId="56E8CFAE" w:rsidR="00730CD9" w:rsidRPr="008D54A5" w:rsidRDefault="00730CD9" w:rsidP="00E47419">
            <w:pPr>
              <w:pStyle w:val="Tabletext-dec-12"/>
            </w:pPr>
            <w:r w:rsidRPr="006E4110">
              <w:t>3,119</w:t>
            </w:r>
          </w:p>
        </w:tc>
        <w:tc>
          <w:tcPr>
            <w:tcW w:w="841" w:type="pct"/>
            <w:tcBorders>
              <w:top w:val="nil"/>
              <w:left w:val="nil"/>
              <w:bottom w:val="single" w:sz="4" w:space="0" w:color="auto"/>
              <w:right w:val="single" w:sz="4" w:space="0" w:color="auto"/>
            </w:tcBorders>
            <w:shd w:val="clear" w:color="auto" w:fill="auto"/>
            <w:vAlign w:val="center"/>
          </w:tcPr>
          <w:p w14:paraId="7F754825" w14:textId="3C74363B" w:rsidR="00730CD9" w:rsidRPr="008D54A5" w:rsidRDefault="00730CD9" w:rsidP="00E47419">
            <w:pPr>
              <w:pStyle w:val="Tabletext-dec-12"/>
            </w:pPr>
            <w:r w:rsidRPr="006E4110">
              <w:t>3,651</w:t>
            </w:r>
          </w:p>
        </w:tc>
        <w:tc>
          <w:tcPr>
            <w:tcW w:w="841" w:type="pct"/>
            <w:tcBorders>
              <w:top w:val="nil"/>
              <w:left w:val="nil"/>
              <w:bottom w:val="single" w:sz="4" w:space="0" w:color="auto"/>
              <w:right w:val="single" w:sz="4" w:space="0" w:color="auto"/>
            </w:tcBorders>
            <w:shd w:val="clear" w:color="auto" w:fill="auto"/>
            <w:noWrap/>
            <w:vAlign w:val="center"/>
            <w:hideMark/>
          </w:tcPr>
          <w:p w14:paraId="5B5CF7CC" w14:textId="51513E1D" w:rsidR="00730CD9" w:rsidRPr="008D54A5" w:rsidRDefault="00730CD9" w:rsidP="00E47419">
            <w:pPr>
              <w:pStyle w:val="Tabletext-dec-12"/>
            </w:pPr>
            <w:r w:rsidRPr="006E4110">
              <w:t>3,078</w:t>
            </w:r>
          </w:p>
        </w:tc>
      </w:tr>
      <w:tr w:rsidR="00730CD9" w:rsidRPr="008D54A5" w14:paraId="17A220BD" w14:textId="77777777" w:rsidTr="00514FF9">
        <w:trPr>
          <w:trHeight w:val="20"/>
        </w:trPr>
        <w:tc>
          <w:tcPr>
            <w:tcW w:w="2477" w:type="pct"/>
            <w:tcBorders>
              <w:top w:val="nil"/>
              <w:left w:val="single" w:sz="4" w:space="0" w:color="auto"/>
              <w:bottom w:val="single" w:sz="4" w:space="0" w:color="auto"/>
              <w:right w:val="single" w:sz="4" w:space="0" w:color="auto"/>
            </w:tcBorders>
            <w:shd w:val="clear" w:color="auto" w:fill="auto"/>
            <w:noWrap/>
            <w:vAlign w:val="bottom"/>
            <w:hideMark/>
          </w:tcPr>
          <w:p w14:paraId="6C298CA1" w14:textId="7DD9DC61" w:rsidR="00730CD9" w:rsidRPr="008D54A5" w:rsidRDefault="00730CD9" w:rsidP="00E47419">
            <w:pPr>
              <w:pStyle w:val="TableText-12"/>
            </w:pPr>
            <w:r w:rsidRPr="008D54A5">
              <w:t>Number of MPC Events (months) on File</w:t>
            </w:r>
          </w:p>
        </w:tc>
        <w:tc>
          <w:tcPr>
            <w:tcW w:w="841" w:type="pct"/>
            <w:tcBorders>
              <w:top w:val="nil"/>
              <w:left w:val="single" w:sz="4" w:space="0" w:color="auto"/>
              <w:bottom w:val="single" w:sz="4" w:space="0" w:color="auto"/>
              <w:right w:val="single" w:sz="4" w:space="0" w:color="auto"/>
            </w:tcBorders>
            <w:shd w:val="clear" w:color="auto" w:fill="auto"/>
            <w:vAlign w:val="center"/>
          </w:tcPr>
          <w:p w14:paraId="36CB2F28" w14:textId="34C8BFB8" w:rsidR="00730CD9" w:rsidRPr="008D54A5" w:rsidRDefault="00730CD9" w:rsidP="00E47419">
            <w:pPr>
              <w:pStyle w:val="Tabletext-dec-12"/>
            </w:pPr>
            <w:r w:rsidRPr="006E4110">
              <w:t>2,527</w:t>
            </w:r>
          </w:p>
        </w:tc>
        <w:tc>
          <w:tcPr>
            <w:tcW w:w="841" w:type="pct"/>
            <w:tcBorders>
              <w:top w:val="nil"/>
              <w:left w:val="nil"/>
              <w:bottom w:val="single" w:sz="4" w:space="0" w:color="auto"/>
              <w:right w:val="single" w:sz="4" w:space="0" w:color="auto"/>
            </w:tcBorders>
            <w:shd w:val="clear" w:color="auto" w:fill="auto"/>
            <w:vAlign w:val="center"/>
          </w:tcPr>
          <w:p w14:paraId="1511B80D" w14:textId="146FBFE0" w:rsidR="00730CD9" w:rsidRPr="008D54A5" w:rsidRDefault="00730CD9" w:rsidP="00E47419">
            <w:pPr>
              <w:pStyle w:val="Tabletext-dec-12"/>
            </w:pPr>
            <w:r w:rsidRPr="006E4110">
              <w:t>2,832</w:t>
            </w:r>
          </w:p>
        </w:tc>
        <w:tc>
          <w:tcPr>
            <w:tcW w:w="841" w:type="pct"/>
            <w:tcBorders>
              <w:top w:val="nil"/>
              <w:left w:val="nil"/>
              <w:bottom w:val="single" w:sz="4" w:space="0" w:color="auto"/>
              <w:right w:val="single" w:sz="4" w:space="0" w:color="auto"/>
            </w:tcBorders>
            <w:shd w:val="clear" w:color="auto" w:fill="auto"/>
            <w:noWrap/>
            <w:vAlign w:val="center"/>
            <w:hideMark/>
          </w:tcPr>
          <w:p w14:paraId="1104F487" w14:textId="1E20B989" w:rsidR="00730CD9" w:rsidRPr="008D54A5" w:rsidRDefault="00730CD9" w:rsidP="00E47419">
            <w:pPr>
              <w:pStyle w:val="Tabletext-dec-12"/>
            </w:pPr>
            <w:r w:rsidRPr="006E4110">
              <w:t>2,356</w:t>
            </w:r>
          </w:p>
        </w:tc>
      </w:tr>
      <w:tr w:rsidR="00730CD9" w:rsidRPr="008D54A5" w14:paraId="567D899F" w14:textId="77777777" w:rsidTr="00514FF9">
        <w:trPr>
          <w:trHeight w:val="20"/>
        </w:trPr>
        <w:tc>
          <w:tcPr>
            <w:tcW w:w="2477" w:type="pct"/>
            <w:tcBorders>
              <w:top w:val="nil"/>
              <w:left w:val="single" w:sz="4" w:space="0" w:color="auto"/>
              <w:bottom w:val="single" w:sz="4" w:space="0" w:color="auto"/>
              <w:right w:val="single" w:sz="4" w:space="0" w:color="auto"/>
            </w:tcBorders>
            <w:shd w:val="clear" w:color="auto" w:fill="auto"/>
            <w:noWrap/>
            <w:vAlign w:val="bottom"/>
            <w:hideMark/>
          </w:tcPr>
          <w:p w14:paraId="41CEBF63" w14:textId="77777777" w:rsidR="00730CD9" w:rsidRPr="008D54A5" w:rsidRDefault="00730CD9" w:rsidP="00E47419">
            <w:pPr>
              <w:pStyle w:val="TableText-12"/>
            </w:pPr>
            <w:r w:rsidRPr="008D54A5">
              <w:t>Number of Pass 1 Matches</w:t>
            </w:r>
          </w:p>
        </w:tc>
        <w:tc>
          <w:tcPr>
            <w:tcW w:w="841" w:type="pct"/>
            <w:tcBorders>
              <w:top w:val="nil"/>
              <w:left w:val="single" w:sz="4" w:space="0" w:color="auto"/>
              <w:bottom w:val="single" w:sz="4" w:space="0" w:color="auto"/>
              <w:right w:val="single" w:sz="4" w:space="0" w:color="auto"/>
            </w:tcBorders>
            <w:shd w:val="clear" w:color="auto" w:fill="auto"/>
            <w:vAlign w:val="center"/>
          </w:tcPr>
          <w:p w14:paraId="561043BE" w14:textId="687A8958" w:rsidR="00730CD9" w:rsidRPr="008D54A5" w:rsidRDefault="00730CD9" w:rsidP="00E47419">
            <w:pPr>
              <w:pStyle w:val="Tabletext-dec-12"/>
            </w:pPr>
            <w:r w:rsidRPr="006E4110">
              <w:t>2,360</w:t>
            </w:r>
          </w:p>
        </w:tc>
        <w:tc>
          <w:tcPr>
            <w:tcW w:w="841" w:type="pct"/>
            <w:tcBorders>
              <w:top w:val="nil"/>
              <w:left w:val="nil"/>
              <w:bottom w:val="single" w:sz="4" w:space="0" w:color="auto"/>
              <w:right w:val="single" w:sz="4" w:space="0" w:color="auto"/>
            </w:tcBorders>
            <w:shd w:val="clear" w:color="auto" w:fill="auto"/>
            <w:vAlign w:val="center"/>
          </w:tcPr>
          <w:p w14:paraId="0408997D" w14:textId="3FF3E73C" w:rsidR="00730CD9" w:rsidRPr="008D54A5" w:rsidRDefault="00730CD9" w:rsidP="00E47419">
            <w:pPr>
              <w:pStyle w:val="Tabletext-dec-12"/>
            </w:pPr>
            <w:r w:rsidRPr="006E4110">
              <w:t>2,629</w:t>
            </w:r>
          </w:p>
        </w:tc>
        <w:tc>
          <w:tcPr>
            <w:tcW w:w="841" w:type="pct"/>
            <w:tcBorders>
              <w:top w:val="nil"/>
              <w:left w:val="nil"/>
              <w:bottom w:val="single" w:sz="4" w:space="0" w:color="auto"/>
              <w:right w:val="single" w:sz="4" w:space="0" w:color="auto"/>
            </w:tcBorders>
            <w:shd w:val="clear" w:color="auto" w:fill="auto"/>
            <w:noWrap/>
            <w:vAlign w:val="center"/>
            <w:hideMark/>
          </w:tcPr>
          <w:p w14:paraId="339112CE" w14:textId="0AFAC2B7" w:rsidR="00730CD9" w:rsidRPr="008D54A5" w:rsidRDefault="00730CD9" w:rsidP="00E47419">
            <w:pPr>
              <w:pStyle w:val="Tabletext-dec-12"/>
            </w:pPr>
            <w:r w:rsidRPr="006E4110">
              <w:t>2,176</w:t>
            </w:r>
          </w:p>
        </w:tc>
      </w:tr>
      <w:tr w:rsidR="00730CD9" w:rsidRPr="008D54A5" w14:paraId="3FC367FB" w14:textId="77777777" w:rsidTr="00514FF9">
        <w:trPr>
          <w:trHeight w:val="20"/>
        </w:trPr>
        <w:tc>
          <w:tcPr>
            <w:tcW w:w="2477" w:type="pct"/>
            <w:tcBorders>
              <w:top w:val="nil"/>
              <w:left w:val="single" w:sz="4" w:space="0" w:color="auto"/>
              <w:bottom w:val="single" w:sz="4" w:space="0" w:color="auto"/>
              <w:right w:val="single" w:sz="4" w:space="0" w:color="auto"/>
            </w:tcBorders>
            <w:shd w:val="clear" w:color="auto" w:fill="auto"/>
            <w:noWrap/>
            <w:vAlign w:val="bottom"/>
            <w:hideMark/>
          </w:tcPr>
          <w:p w14:paraId="29158AE1" w14:textId="77777777" w:rsidR="00730CD9" w:rsidRPr="008D54A5" w:rsidRDefault="00730CD9" w:rsidP="00E47419">
            <w:pPr>
              <w:pStyle w:val="TableText-12"/>
            </w:pPr>
            <w:r w:rsidRPr="008D54A5">
              <w:t>Number of Pass 2 Matches</w:t>
            </w:r>
          </w:p>
        </w:tc>
        <w:tc>
          <w:tcPr>
            <w:tcW w:w="841" w:type="pct"/>
            <w:tcBorders>
              <w:top w:val="nil"/>
              <w:left w:val="single" w:sz="4" w:space="0" w:color="auto"/>
              <w:bottom w:val="single" w:sz="4" w:space="0" w:color="auto"/>
              <w:right w:val="single" w:sz="4" w:space="0" w:color="auto"/>
            </w:tcBorders>
            <w:shd w:val="clear" w:color="auto" w:fill="auto"/>
            <w:vAlign w:val="center"/>
          </w:tcPr>
          <w:p w14:paraId="2D6FEB42" w14:textId="510C98C2" w:rsidR="00730CD9" w:rsidRPr="008D54A5" w:rsidRDefault="00730CD9" w:rsidP="00E47419">
            <w:pPr>
              <w:pStyle w:val="Tabletext-dec-12"/>
            </w:pPr>
            <w:r w:rsidRPr="006E4110">
              <w:t>73</w:t>
            </w:r>
          </w:p>
        </w:tc>
        <w:tc>
          <w:tcPr>
            <w:tcW w:w="841" w:type="pct"/>
            <w:tcBorders>
              <w:top w:val="nil"/>
              <w:left w:val="nil"/>
              <w:bottom w:val="single" w:sz="4" w:space="0" w:color="auto"/>
              <w:right w:val="single" w:sz="4" w:space="0" w:color="auto"/>
            </w:tcBorders>
            <w:shd w:val="clear" w:color="auto" w:fill="auto"/>
            <w:vAlign w:val="center"/>
          </w:tcPr>
          <w:p w14:paraId="49191EDB" w14:textId="6B4D1FBE" w:rsidR="00730CD9" w:rsidRPr="008D54A5" w:rsidRDefault="00730CD9" w:rsidP="00E47419">
            <w:pPr>
              <w:pStyle w:val="Tabletext-dec-12"/>
            </w:pPr>
            <w:r w:rsidRPr="006E4110">
              <w:t>98</w:t>
            </w:r>
          </w:p>
        </w:tc>
        <w:tc>
          <w:tcPr>
            <w:tcW w:w="841" w:type="pct"/>
            <w:tcBorders>
              <w:top w:val="nil"/>
              <w:left w:val="nil"/>
              <w:bottom w:val="single" w:sz="4" w:space="0" w:color="auto"/>
              <w:right w:val="single" w:sz="4" w:space="0" w:color="auto"/>
            </w:tcBorders>
            <w:shd w:val="clear" w:color="auto" w:fill="auto"/>
            <w:noWrap/>
            <w:vAlign w:val="center"/>
            <w:hideMark/>
          </w:tcPr>
          <w:p w14:paraId="3A7DA5B7" w14:textId="08C7B0FD" w:rsidR="00730CD9" w:rsidRPr="008D54A5" w:rsidRDefault="00730CD9" w:rsidP="00E47419">
            <w:pPr>
              <w:pStyle w:val="Tabletext-dec-12"/>
            </w:pPr>
            <w:r w:rsidRPr="006E4110">
              <w:t>90</w:t>
            </w:r>
          </w:p>
        </w:tc>
      </w:tr>
    </w:tbl>
    <w:p w14:paraId="55E20854" w14:textId="69F5D109" w:rsidR="00730CD9" w:rsidRPr="005D695D" w:rsidRDefault="00C3345E" w:rsidP="006E4110">
      <w:pPr>
        <w:pStyle w:val="Source-9-1"/>
      </w:pPr>
      <w:r w:rsidRPr="008D54A5">
        <w:t xml:space="preserve">HC = </w:t>
      </w:r>
      <w:r w:rsidR="00BB6089" w:rsidRPr="008D54A5">
        <w:t>Household Component</w:t>
      </w:r>
      <w:r w:rsidRPr="008D54A5">
        <w:t xml:space="preserve">; HH = </w:t>
      </w:r>
      <w:r w:rsidR="00BB6089" w:rsidRPr="008D54A5">
        <w:t>Home Health</w:t>
      </w:r>
      <w:r w:rsidRPr="008D54A5">
        <w:t xml:space="preserve">; MPC = </w:t>
      </w:r>
      <w:r w:rsidR="00BB6089" w:rsidRPr="008D54A5">
        <w:t>Medical Provider Component</w:t>
      </w:r>
      <w:r w:rsidR="002D4D78" w:rsidRPr="008D54A5">
        <w:t>.</w:t>
      </w:r>
      <w:bookmarkEnd w:id="524"/>
    </w:p>
    <w:p w14:paraId="77EF9D73" w14:textId="2A4D27C6" w:rsidR="0055450B" w:rsidRPr="008D54A5" w:rsidRDefault="0055450B" w:rsidP="0055450B">
      <w:pPr>
        <w:pStyle w:val="Source102"/>
        <w:rPr>
          <w:sz w:val="18"/>
          <w:szCs w:val="18"/>
        </w:rPr>
      </w:pPr>
      <w:r w:rsidRPr="008D54A5">
        <w:rPr>
          <w:sz w:val="18"/>
          <w:szCs w:val="18"/>
        </w:rPr>
        <w:t xml:space="preserve">Source: </w:t>
      </w:r>
      <w:r w:rsidR="00730CD9" w:rsidRPr="008D54A5">
        <w:rPr>
          <w:sz w:val="18"/>
          <w:szCs w:val="18"/>
        </w:rPr>
        <w:t>2020</w:t>
      </w:r>
      <w:r w:rsidRPr="008D54A5">
        <w:rPr>
          <w:sz w:val="18"/>
          <w:szCs w:val="18"/>
        </w:rPr>
        <w:t>–</w:t>
      </w:r>
      <w:r w:rsidR="00730CD9" w:rsidRPr="008D54A5">
        <w:rPr>
          <w:sz w:val="18"/>
          <w:szCs w:val="18"/>
        </w:rPr>
        <w:t xml:space="preserve">2022 </w:t>
      </w:r>
      <w:r w:rsidRPr="008D54A5">
        <w:rPr>
          <w:sz w:val="18"/>
          <w:szCs w:val="18"/>
        </w:rPr>
        <w:t>Medical Expenditure Panel Survey – Medical Provider Component.</w:t>
      </w:r>
    </w:p>
    <w:p w14:paraId="71638724" w14:textId="6E79A948" w:rsidR="007127B0" w:rsidRPr="008D54A5" w:rsidRDefault="00F66AD2" w:rsidP="00E75D33">
      <w:pPr>
        <w:pStyle w:val="BodyText"/>
      </w:pPr>
      <w:r w:rsidRPr="008D54A5">
        <w:t xml:space="preserve">After the </w:t>
      </w:r>
      <w:r w:rsidR="00312561" w:rsidRPr="008D54A5">
        <w:t>HH</w:t>
      </w:r>
      <w:r w:rsidRPr="008D54A5">
        <w:t xml:space="preserve"> data </w:t>
      </w:r>
      <w:r w:rsidR="00C6270F" w:rsidRPr="008D54A5">
        <w:t xml:space="preserve">are </w:t>
      </w:r>
      <w:r w:rsidRPr="008D54A5">
        <w:t xml:space="preserve">matched, condition codes for matched pairs </w:t>
      </w:r>
      <w:r w:rsidR="00C6270F" w:rsidRPr="008D54A5">
        <w:t xml:space="preserve">are </w:t>
      </w:r>
      <w:r w:rsidRPr="008D54A5">
        <w:t xml:space="preserve">examined as a </w:t>
      </w:r>
      <w:r w:rsidR="00F40678" w:rsidRPr="008D54A5">
        <w:t>QC</w:t>
      </w:r>
      <w:r w:rsidRPr="008D54A5">
        <w:t xml:space="preserve"> check of the matching. ICD-</w:t>
      </w:r>
      <w:r w:rsidR="004B14F7" w:rsidRPr="008D54A5">
        <w:t>10</w:t>
      </w:r>
      <w:r w:rsidRPr="008D54A5">
        <w:t>, CCS</w:t>
      </w:r>
      <w:r w:rsidR="002C31FB" w:rsidRPr="008D54A5">
        <w:t>R</w:t>
      </w:r>
      <w:r w:rsidRPr="008D54A5">
        <w:t>, and CCS</w:t>
      </w:r>
      <w:r w:rsidR="002C31FB" w:rsidRPr="008D54A5">
        <w:t>R</w:t>
      </w:r>
      <w:r w:rsidRPr="008D54A5">
        <w:t>M</w:t>
      </w:r>
      <w:r w:rsidR="00D47A71" w:rsidRPr="008D54A5">
        <w:t>AT</w:t>
      </w:r>
      <w:r w:rsidRPr="008D54A5">
        <w:t xml:space="preserve">CH codes from the HC and MPC files </w:t>
      </w:r>
      <w:r w:rsidR="00C6270F" w:rsidRPr="008D54A5">
        <w:t xml:space="preserve">are </w:t>
      </w:r>
      <w:r w:rsidRPr="008D54A5">
        <w:t xml:space="preserve">compared for matched pairs. </w:t>
      </w:r>
      <w:r w:rsidR="00A70C81" w:rsidRPr="008D54A5">
        <w:t>(The CCS</w:t>
      </w:r>
      <w:r w:rsidR="002C31FB" w:rsidRPr="008D54A5">
        <w:t>R</w:t>
      </w:r>
      <w:r w:rsidR="00A70C81" w:rsidRPr="008D54A5">
        <w:t>M</w:t>
      </w:r>
      <w:r w:rsidR="00F70D53" w:rsidRPr="008D54A5">
        <w:t>AT</w:t>
      </w:r>
      <w:r w:rsidR="00A70C81" w:rsidRPr="008D54A5">
        <w:t>CH codes are recoded versions of the CCS</w:t>
      </w:r>
      <w:r w:rsidR="002C31FB" w:rsidRPr="008D54A5">
        <w:t>R</w:t>
      </w:r>
      <w:r w:rsidR="00A70C81" w:rsidRPr="008D54A5">
        <w:t xml:space="preserve"> variables. They are used in the OBD/</w:t>
      </w:r>
      <w:r w:rsidR="00A865B7" w:rsidRPr="008D54A5">
        <w:t>H</w:t>
      </w:r>
      <w:r w:rsidR="00350AE3" w:rsidRPr="008D54A5">
        <w:t>ospital</w:t>
      </w:r>
      <w:r w:rsidR="00A70C81" w:rsidRPr="008D54A5">
        <w:t xml:space="preserve"> matching, and the same recode is used on the </w:t>
      </w:r>
      <w:r w:rsidR="00312561" w:rsidRPr="008D54A5">
        <w:t>HH</w:t>
      </w:r>
      <w:r w:rsidR="00A70C81" w:rsidRPr="008D54A5">
        <w:t xml:space="preserve"> files for evaluation). </w:t>
      </w:r>
      <w:r w:rsidR="00E06907" w:rsidRPr="008D54A5">
        <w:t>T</w:t>
      </w:r>
      <w:r w:rsidRPr="008D54A5">
        <w:t xml:space="preserve">he number and percentage of matched pairs that </w:t>
      </w:r>
      <w:r w:rsidR="00C6270F" w:rsidRPr="008D54A5">
        <w:t xml:space="preserve">have </w:t>
      </w:r>
      <w:r w:rsidRPr="008D54A5">
        <w:t>at least one code that agree</w:t>
      </w:r>
      <w:bookmarkStart w:id="525" w:name="_Hlk65062234"/>
      <w:r w:rsidRPr="008D54A5">
        <w:t xml:space="preserve">. </w:t>
      </w:r>
      <w:bookmarkEnd w:id="525"/>
      <w:r w:rsidRPr="008D54A5">
        <w:t xml:space="preserve">The interpretation of conditions by the household respondent </w:t>
      </w:r>
      <w:r w:rsidR="00546739" w:rsidRPr="008D54A5">
        <w:t xml:space="preserve">may differ </w:t>
      </w:r>
      <w:r w:rsidRPr="008D54A5">
        <w:t xml:space="preserve">from that of the provider. </w:t>
      </w:r>
      <w:r w:rsidR="00546739" w:rsidRPr="008D54A5">
        <w:t>The</w:t>
      </w:r>
      <w:r w:rsidRPr="008D54A5">
        <w:t xml:space="preserve"> CCS</w:t>
      </w:r>
      <w:r w:rsidR="002C31FB" w:rsidRPr="008D54A5">
        <w:t>R</w:t>
      </w:r>
      <w:r w:rsidRPr="008D54A5">
        <w:t>MATCH codes are recodes of the CCS</w:t>
      </w:r>
      <w:r w:rsidR="002C31FB" w:rsidRPr="008D54A5">
        <w:t>R</w:t>
      </w:r>
      <w:r w:rsidRPr="008D54A5">
        <w:t xml:space="preserve"> codes and are more general than the CCS</w:t>
      </w:r>
      <w:r w:rsidR="002C31FB" w:rsidRPr="008D54A5">
        <w:t>R</w:t>
      </w:r>
      <w:r w:rsidRPr="008D54A5">
        <w:t xml:space="preserve"> codes. Hence, they are less susceptible to </w:t>
      </w:r>
      <w:proofErr w:type="spellStart"/>
      <w:r w:rsidRPr="008D54A5">
        <w:t>nonsampling</w:t>
      </w:r>
      <w:proofErr w:type="spellEnd"/>
      <w:r w:rsidRPr="008D54A5">
        <w:t xml:space="preserve"> type error, and more matched pairs that agree with respect to the CCS</w:t>
      </w:r>
      <w:r w:rsidR="002C31FB" w:rsidRPr="008D54A5">
        <w:t>R</w:t>
      </w:r>
      <w:r w:rsidRPr="008D54A5">
        <w:t>M</w:t>
      </w:r>
      <w:r w:rsidR="00D47A71" w:rsidRPr="008D54A5">
        <w:t>AT</w:t>
      </w:r>
      <w:r w:rsidRPr="008D54A5">
        <w:t>CH codes</w:t>
      </w:r>
      <w:r w:rsidR="00E06907" w:rsidRPr="008D54A5">
        <w:t xml:space="preserve"> are expected</w:t>
      </w:r>
      <w:r w:rsidRPr="008D54A5">
        <w:t>.</w:t>
      </w:r>
    </w:p>
    <w:p w14:paraId="1D3312A9" w14:textId="77777777" w:rsidR="00F019DB" w:rsidRPr="008D54A5" w:rsidRDefault="00F019DB" w:rsidP="00E75D33">
      <w:pPr>
        <w:pStyle w:val="BodyText"/>
      </w:pPr>
    </w:p>
    <w:p w14:paraId="194A9FF5" w14:textId="15A605A4" w:rsidR="00F019DB" w:rsidRPr="008D54A5" w:rsidRDefault="00F019DB" w:rsidP="00E75D33">
      <w:pPr>
        <w:pStyle w:val="BodyText"/>
        <w:sectPr w:rsidR="00F019DB" w:rsidRPr="008D54A5" w:rsidSect="000013AD">
          <w:pgSz w:w="12240" w:h="15840"/>
          <w:pgMar w:top="1440" w:right="1440" w:bottom="1440" w:left="1440" w:header="720" w:footer="720" w:gutter="0"/>
          <w:cols w:space="720"/>
          <w:docGrid w:linePitch="360"/>
        </w:sectPr>
      </w:pPr>
    </w:p>
    <w:p w14:paraId="4A37DA51" w14:textId="7B65AB60" w:rsidR="00A03E22" w:rsidRPr="008D54A5" w:rsidRDefault="00F66AD2" w:rsidP="00DD4425">
      <w:pPr>
        <w:pStyle w:val="Heading2"/>
      </w:pPr>
      <w:bookmarkStart w:id="526" w:name="_Toc319492948"/>
      <w:bookmarkStart w:id="527" w:name="_Toc127287309"/>
      <w:bookmarkStart w:id="528" w:name="_Toc160529635"/>
      <w:bookmarkStart w:id="529" w:name="_Toc189128118"/>
      <w:r w:rsidRPr="008D54A5">
        <w:lastRenderedPageBreak/>
        <w:t xml:space="preserve">Summary of Key </w:t>
      </w:r>
      <w:r w:rsidR="00730CD9" w:rsidRPr="008D54A5">
        <w:t xml:space="preserve">2022 </w:t>
      </w:r>
      <w:r w:rsidRPr="008D54A5">
        <w:t xml:space="preserve">MPC </w:t>
      </w:r>
      <w:r w:rsidR="00C45C59" w:rsidRPr="008D54A5">
        <w:t>HH</w:t>
      </w:r>
      <w:r w:rsidRPr="008D54A5">
        <w:t xml:space="preserve"> and </w:t>
      </w:r>
      <w:r w:rsidR="00C45C59" w:rsidRPr="008D54A5">
        <w:t>NHH</w:t>
      </w:r>
      <w:r w:rsidRPr="008D54A5">
        <w:t xml:space="preserve"> Variables</w:t>
      </w:r>
      <w:bookmarkEnd w:id="526"/>
      <w:bookmarkEnd w:id="527"/>
      <w:bookmarkEnd w:id="528"/>
      <w:bookmarkEnd w:id="529"/>
    </w:p>
    <w:p w14:paraId="5308F868" w14:textId="48E7809E" w:rsidR="00443422" w:rsidRPr="008D54A5" w:rsidRDefault="00F66AD2" w:rsidP="00E75D33">
      <w:pPr>
        <w:pStyle w:val="BodyText"/>
      </w:pPr>
      <w:r w:rsidRPr="008D54A5">
        <w:t xml:space="preserve">Key variables from the </w:t>
      </w:r>
      <w:r w:rsidR="00312561" w:rsidRPr="008D54A5">
        <w:t>HH</w:t>
      </w:r>
      <w:r w:rsidRPr="008D54A5">
        <w:t xml:space="preserve"> and </w:t>
      </w:r>
      <w:r w:rsidR="00F019DB" w:rsidRPr="008D54A5">
        <w:t>NHH</w:t>
      </w:r>
      <w:r w:rsidRPr="008D54A5">
        <w:t xml:space="preserve"> files are the payment and charge variables, and variables that give the reason for discrepancy between the payments and charges.</w:t>
      </w:r>
      <w:r w:rsidR="00791CEC" w:rsidRPr="008D54A5">
        <w:t xml:space="preserve"> </w:t>
      </w:r>
      <w:r w:rsidRPr="008D54A5">
        <w:t xml:space="preserve">RTI </w:t>
      </w:r>
      <w:r w:rsidR="008D3C52" w:rsidRPr="008D54A5">
        <w:t xml:space="preserve">prepares </w:t>
      </w:r>
      <w:r w:rsidRPr="008D54A5">
        <w:t xml:space="preserve">summary tables that examine these variables across the </w:t>
      </w:r>
      <w:r w:rsidR="00791CEC" w:rsidRPr="008D54A5">
        <w:t xml:space="preserve">most recent </w:t>
      </w:r>
      <w:r w:rsidR="001A13A3" w:rsidRPr="008D54A5">
        <w:t>3-year</w:t>
      </w:r>
      <w:r w:rsidR="00791CEC" w:rsidRPr="008D54A5">
        <w:t xml:space="preserve"> </w:t>
      </w:r>
      <w:r w:rsidR="000A03B0" w:rsidRPr="008D54A5">
        <w:t>period</w:t>
      </w:r>
      <w:r w:rsidRPr="008D54A5">
        <w:t>, by type of event (</w:t>
      </w:r>
      <w:r w:rsidR="00312561" w:rsidRPr="008D54A5">
        <w:t>HH</w:t>
      </w:r>
      <w:r w:rsidR="00642D19" w:rsidRPr="008D54A5">
        <w:t xml:space="preserve"> or </w:t>
      </w:r>
      <w:r w:rsidR="00686A37" w:rsidRPr="008D54A5">
        <w:t>NHH</w:t>
      </w:r>
      <w:r w:rsidRPr="008D54A5">
        <w:t xml:space="preserve">), and source of payment. </w:t>
      </w:r>
      <w:r w:rsidR="00FA4217" w:rsidRPr="008D54A5">
        <w:t>T</w:t>
      </w:r>
      <w:r w:rsidRPr="008D54A5">
        <w:t xml:space="preserve">hese distributions and summary statistics </w:t>
      </w:r>
      <w:r w:rsidR="00FA4217" w:rsidRPr="008D54A5">
        <w:t xml:space="preserve">are compared </w:t>
      </w:r>
      <w:r w:rsidRPr="008D54A5">
        <w:t xml:space="preserve">to </w:t>
      </w:r>
      <w:r w:rsidR="00FA4217" w:rsidRPr="008D54A5">
        <w:t xml:space="preserve">identify </w:t>
      </w:r>
      <w:r w:rsidRPr="008D54A5">
        <w:t>anomalies or outliers in the data.</w:t>
      </w:r>
      <w:r w:rsidR="00366982" w:rsidRPr="008D54A5">
        <w:t xml:space="preserve"> </w:t>
      </w:r>
    </w:p>
    <w:p w14:paraId="13893D36" w14:textId="77777777" w:rsidR="00245172" w:rsidRPr="008D54A5" w:rsidRDefault="00245172">
      <w:pPr>
        <w:pStyle w:val="BodyText"/>
      </w:pPr>
    </w:p>
    <w:p w14:paraId="7423014A" w14:textId="77777777" w:rsidR="00245172" w:rsidRPr="008D54A5" w:rsidRDefault="00245172">
      <w:pPr>
        <w:pStyle w:val="BodyText"/>
      </w:pPr>
    </w:p>
    <w:p w14:paraId="438AAA1B" w14:textId="77777777" w:rsidR="00C0342F" w:rsidRPr="008D54A5" w:rsidRDefault="00C0342F" w:rsidP="008F27F3">
      <w:pPr>
        <w:rPr>
          <w:szCs w:val="24"/>
        </w:rPr>
        <w:sectPr w:rsidR="00C0342F" w:rsidRPr="008D54A5" w:rsidSect="00C0342F">
          <w:headerReference w:type="default" r:id="rId56"/>
          <w:footerReference w:type="default" r:id="rId57"/>
          <w:pgSz w:w="12240" w:h="15840"/>
          <w:pgMar w:top="1440" w:right="1440" w:bottom="1440" w:left="1440" w:header="720" w:footer="720" w:gutter="0"/>
          <w:cols w:space="720"/>
          <w:docGrid w:linePitch="360"/>
        </w:sectPr>
      </w:pPr>
    </w:p>
    <w:p w14:paraId="42BCF43B" w14:textId="7E32398B" w:rsidR="005B3FDF" w:rsidRPr="008D54A5" w:rsidRDefault="000A005A" w:rsidP="00975A4F">
      <w:pPr>
        <w:pStyle w:val="Heading1"/>
      </w:pPr>
      <w:bookmarkStart w:id="530" w:name="_Toc127287310"/>
      <w:bookmarkStart w:id="531" w:name="_Toc160529636"/>
      <w:bookmarkStart w:id="532" w:name="_Toc189128119"/>
      <w:r w:rsidRPr="008D54A5">
        <w:lastRenderedPageBreak/>
        <w:t xml:space="preserve">2022 </w:t>
      </w:r>
      <w:r w:rsidR="00F66AD2" w:rsidRPr="008D54A5">
        <w:t>MPC File Delivery and</w:t>
      </w:r>
      <w:r w:rsidR="00C0342F" w:rsidRPr="008D54A5">
        <w:br/>
      </w:r>
      <w:r w:rsidR="00F66AD2" w:rsidRPr="008D54A5">
        <w:t>Preparing Codebooks</w:t>
      </w:r>
      <w:bookmarkEnd w:id="530"/>
      <w:bookmarkEnd w:id="531"/>
      <w:bookmarkEnd w:id="532"/>
    </w:p>
    <w:p w14:paraId="65F240E4" w14:textId="77777777" w:rsidR="00D30310" w:rsidRPr="008D54A5" w:rsidRDefault="0018430C" w:rsidP="003A2C29">
      <w:pPr>
        <w:pStyle w:val="BodyText"/>
        <w:spacing w:after="120"/>
      </w:pPr>
      <w:r w:rsidRPr="008D54A5">
        <w:t>T</w:t>
      </w:r>
      <w:r w:rsidR="00F66AD2" w:rsidRPr="008D54A5">
        <w:t>o provide documentation and facilitate use for AHRQ analysts and other interested researchers, RTI produce</w:t>
      </w:r>
      <w:r w:rsidR="009F2905" w:rsidRPr="008D54A5">
        <w:t>s</w:t>
      </w:r>
      <w:r w:rsidR="00F66AD2" w:rsidRPr="008D54A5">
        <w:t xml:space="preserve"> and provide</w:t>
      </w:r>
      <w:r w:rsidR="009F2905" w:rsidRPr="008D54A5">
        <w:t>s</w:t>
      </w:r>
      <w:r w:rsidR="00F66AD2" w:rsidRPr="008D54A5">
        <w:t xml:space="preserve"> a Microsoft Word formatted codebook for each edited file delivered. Each codebook ha</w:t>
      </w:r>
      <w:r w:rsidR="009F2905" w:rsidRPr="008D54A5">
        <w:t>s</w:t>
      </w:r>
      <w:r w:rsidR="00F66AD2" w:rsidRPr="008D54A5">
        <w:t xml:space="preserve"> the same structure and contain</w:t>
      </w:r>
      <w:r w:rsidR="009F2905" w:rsidRPr="008D54A5">
        <w:t>s</w:t>
      </w:r>
      <w:r w:rsidR="00F66AD2" w:rsidRPr="008D54A5">
        <w:t xml:space="preserve"> the following</w:t>
      </w:r>
      <w:r w:rsidRPr="008D54A5">
        <w:t xml:space="preserve"> information</w:t>
      </w:r>
      <w:r w:rsidR="00F66AD2" w:rsidRPr="008D54A5">
        <w:t>:</w:t>
      </w:r>
    </w:p>
    <w:p w14:paraId="19B05348" w14:textId="77F398CE" w:rsidR="00D30310" w:rsidRPr="008D54A5" w:rsidRDefault="00686A37" w:rsidP="00245172">
      <w:pPr>
        <w:pStyle w:val="bullets"/>
      </w:pPr>
      <w:r w:rsidRPr="008D54A5">
        <w:t>A</w:t>
      </w:r>
      <w:r w:rsidR="00231915" w:rsidRPr="008D54A5">
        <w:t xml:space="preserve"> </w:t>
      </w:r>
      <w:r w:rsidR="00F66AD2" w:rsidRPr="008D54A5">
        <w:t>summary of the contents of each data file (e.g., total numbers of variables, total number of records</w:t>
      </w:r>
      <w:r w:rsidR="00231915" w:rsidRPr="008D54A5">
        <w:t>)</w:t>
      </w:r>
    </w:p>
    <w:p w14:paraId="1C77AC94" w14:textId="692B5C9E" w:rsidR="00D30310" w:rsidRPr="008D54A5" w:rsidRDefault="00686A37" w:rsidP="00245172">
      <w:pPr>
        <w:pStyle w:val="bullets"/>
      </w:pPr>
      <w:r w:rsidRPr="008D54A5">
        <w:t>A</w:t>
      </w:r>
      <w:r w:rsidR="00231915" w:rsidRPr="008D54A5">
        <w:t xml:space="preserve"> table of contents</w:t>
      </w:r>
      <w:r w:rsidR="00F66AD2" w:rsidRPr="008D54A5">
        <w:t xml:space="preserve"> with hyperlinks to the </w:t>
      </w:r>
      <w:r w:rsidR="0012779D" w:rsidRPr="008D54A5">
        <w:t>s</w:t>
      </w:r>
      <w:r w:rsidR="00F66AD2" w:rsidRPr="008D54A5">
        <w:t>ections that provided variable-level information</w:t>
      </w:r>
    </w:p>
    <w:p w14:paraId="36245ED1" w14:textId="2D2DA4B2" w:rsidR="00D30310" w:rsidRPr="008D54A5" w:rsidRDefault="00686A37" w:rsidP="00245172">
      <w:pPr>
        <w:pStyle w:val="bullets"/>
      </w:pPr>
      <w:r w:rsidRPr="008D54A5">
        <w:t>A</w:t>
      </w:r>
      <w:r w:rsidR="00231915" w:rsidRPr="008D54A5">
        <w:t xml:space="preserve"> </w:t>
      </w:r>
      <w:r w:rsidR="00D30310" w:rsidRPr="008D54A5">
        <w:t>listing of every variable on the file in alphabetical order and by order of appearance</w:t>
      </w:r>
      <w:r w:rsidRPr="008D54A5">
        <w:t>;</w:t>
      </w:r>
      <w:r w:rsidR="00864BDB" w:rsidRPr="008D54A5">
        <w:t xml:space="preserve"> </w:t>
      </w:r>
      <w:r w:rsidRPr="008D54A5">
        <w:t>t</w:t>
      </w:r>
      <w:r w:rsidR="00D30310" w:rsidRPr="008D54A5">
        <w:t xml:space="preserve">hese indexes include hyperlinks to the more detailed </w:t>
      </w:r>
      <w:r w:rsidR="000F0CE7" w:rsidRPr="008D54A5">
        <w:t>information on each variable</w:t>
      </w:r>
    </w:p>
    <w:p w14:paraId="2C56427B" w14:textId="718B88EE" w:rsidR="00D30310" w:rsidRPr="008D54A5" w:rsidRDefault="00686A37" w:rsidP="00245172">
      <w:pPr>
        <w:pStyle w:val="bullets"/>
      </w:pPr>
      <w:r w:rsidRPr="008D54A5">
        <w:t>A</w:t>
      </w:r>
      <w:r w:rsidR="00231915" w:rsidRPr="008D54A5">
        <w:t xml:space="preserve"> </w:t>
      </w:r>
      <w:r w:rsidR="00D30310" w:rsidRPr="008D54A5">
        <w:t xml:space="preserve">detailed description of each variable, including the variable label, the type of variable (numeric or character), a list of values and the associated </w:t>
      </w:r>
      <w:r w:rsidR="00F66AD2" w:rsidRPr="008D54A5">
        <w:t>value labels, and weighted and unweighted frequencies for categorical variables</w:t>
      </w:r>
      <w:r w:rsidRPr="008D54A5">
        <w:t>; f</w:t>
      </w:r>
      <w:r w:rsidR="00F66AD2" w:rsidRPr="008D54A5">
        <w:t xml:space="preserve">or continuous variables, univariate statistics </w:t>
      </w:r>
      <w:r w:rsidR="009F2905" w:rsidRPr="008D54A5">
        <w:t>a</w:t>
      </w:r>
      <w:r w:rsidR="00F66AD2" w:rsidRPr="008D54A5">
        <w:t>re provided in lieu of frequencies (e.g., mean, maximum, and minimum</w:t>
      </w:r>
      <w:r w:rsidR="00231915" w:rsidRPr="008D54A5">
        <w:t>)</w:t>
      </w:r>
    </w:p>
    <w:p w14:paraId="04413843" w14:textId="67D673F8" w:rsidR="00D30310" w:rsidRPr="008D54A5" w:rsidRDefault="00686A37" w:rsidP="006E4110">
      <w:pPr>
        <w:pStyle w:val="bullets"/>
      </w:pPr>
      <w:r w:rsidRPr="008D54A5">
        <w:t>T</w:t>
      </w:r>
      <w:r w:rsidR="00231915" w:rsidRPr="008D54A5">
        <w:t xml:space="preserve">he </w:t>
      </w:r>
      <w:r w:rsidR="000A005A" w:rsidRPr="008D54A5">
        <w:t xml:space="preserve">2022 </w:t>
      </w:r>
      <w:r w:rsidR="00F66AD2" w:rsidRPr="008D54A5">
        <w:t xml:space="preserve">Event Form, which </w:t>
      </w:r>
      <w:r w:rsidR="009F2905" w:rsidRPr="008D54A5">
        <w:t>i</w:t>
      </w:r>
      <w:r w:rsidR="00F66AD2" w:rsidRPr="008D54A5">
        <w:t>s used to record the information on an event)</w:t>
      </w:r>
      <w:r w:rsidRPr="008D54A5">
        <w:t>,</w:t>
      </w:r>
      <w:r w:rsidR="00F66AD2" w:rsidRPr="008D54A5">
        <w:t xml:space="preserve"> including corresponding questions and the variables associated with each question.</w:t>
      </w:r>
    </w:p>
    <w:p w14:paraId="2C0DFB54" w14:textId="4D5989F2" w:rsidR="00DD29E7" w:rsidRPr="008D54A5" w:rsidRDefault="00757315" w:rsidP="007B19FD">
      <w:pPr>
        <w:pStyle w:val="Source-9-1"/>
      </w:pPr>
      <w:r w:rsidRPr="008D54A5">
        <w:br w:type="page"/>
      </w:r>
      <w:r w:rsidR="009074F0" w:rsidRPr="008D54A5">
        <w:lastRenderedPageBreak/>
        <w:t xml:space="preserve"> </w:t>
      </w:r>
    </w:p>
    <w:p w14:paraId="2F6F9325" w14:textId="631FD05E" w:rsidR="005B3FDF" w:rsidRPr="008D54A5" w:rsidRDefault="00206C24" w:rsidP="00975A4F">
      <w:pPr>
        <w:pStyle w:val="Heading1"/>
      </w:pPr>
      <w:bookmarkStart w:id="533" w:name="_Toc127287311"/>
      <w:bookmarkStart w:id="534" w:name="_Toc160529637"/>
      <w:bookmarkStart w:id="535" w:name="_Toc189128120"/>
      <w:r w:rsidRPr="008D54A5">
        <w:t>Editing and Matching Procedures</w:t>
      </w:r>
      <w:r w:rsidR="00554D7E" w:rsidRPr="008D54A5">
        <w:t xml:space="preserve"> for the </w:t>
      </w:r>
      <w:r w:rsidR="00FA49EE" w:rsidRPr="008D54A5">
        <w:t>20</w:t>
      </w:r>
      <w:r w:rsidR="00741541" w:rsidRPr="008D54A5">
        <w:t>2</w:t>
      </w:r>
      <w:r w:rsidR="00843CDE" w:rsidRPr="008D54A5">
        <w:t>3</w:t>
      </w:r>
      <w:r w:rsidR="00E40EE6" w:rsidRPr="008D54A5">
        <w:t xml:space="preserve"> </w:t>
      </w:r>
      <w:r w:rsidR="00554D7E" w:rsidRPr="008D54A5">
        <w:t>MPC</w:t>
      </w:r>
      <w:bookmarkEnd w:id="533"/>
      <w:bookmarkEnd w:id="534"/>
      <w:bookmarkEnd w:id="535"/>
    </w:p>
    <w:p w14:paraId="722E6E24" w14:textId="1C0E1948" w:rsidR="00B817D3" w:rsidRPr="008D54A5" w:rsidRDefault="0064581A" w:rsidP="002528EE">
      <w:pPr>
        <w:pStyle w:val="BodyText"/>
      </w:pPr>
      <w:r w:rsidRPr="008D54A5">
        <w:t xml:space="preserve">For the </w:t>
      </w:r>
      <w:r w:rsidR="00A6598F" w:rsidRPr="008D54A5">
        <w:t>202</w:t>
      </w:r>
      <w:r w:rsidR="00843CDE" w:rsidRPr="008D54A5">
        <w:t>3</w:t>
      </w:r>
      <w:r w:rsidR="00A6598F" w:rsidRPr="008D54A5">
        <w:t xml:space="preserve"> </w:t>
      </w:r>
      <w:r w:rsidRPr="008D54A5">
        <w:t xml:space="preserve">MPC editing and matching task, RTI plans to closely follow the process used for the </w:t>
      </w:r>
      <w:r w:rsidR="00A6598F" w:rsidRPr="008D54A5">
        <w:t>202</w:t>
      </w:r>
      <w:r w:rsidR="00843CDE" w:rsidRPr="008D54A5">
        <w:t>2</w:t>
      </w:r>
      <w:r w:rsidR="00A6598F" w:rsidRPr="008D54A5">
        <w:t xml:space="preserve"> </w:t>
      </w:r>
      <w:r w:rsidRPr="008D54A5">
        <w:t>MPC.</w:t>
      </w:r>
      <w:r w:rsidR="00356CD1" w:rsidRPr="008D54A5">
        <w:t xml:space="preserve"> </w:t>
      </w:r>
      <w:r w:rsidRPr="008D54A5">
        <w:t>The following sections discuss specific revision</w:t>
      </w:r>
      <w:r w:rsidR="002D6BAF" w:rsidRPr="008D54A5">
        <w:t>s</w:t>
      </w:r>
      <w:r w:rsidRPr="008D54A5">
        <w:t xml:space="preserve"> and additions planned for the editing and matching of the </w:t>
      </w:r>
      <w:r w:rsidR="00A6598F" w:rsidRPr="008D54A5">
        <w:t>202</w:t>
      </w:r>
      <w:r w:rsidR="00843CDE" w:rsidRPr="008D54A5">
        <w:t>3</w:t>
      </w:r>
      <w:r w:rsidR="00A6598F" w:rsidRPr="008D54A5">
        <w:t xml:space="preserve"> </w:t>
      </w:r>
      <w:r w:rsidRPr="008D54A5">
        <w:t>MPC data.</w:t>
      </w:r>
      <w:r w:rsidR="00B64E8D">
        <w:t xml:space="preserve"> This list will be appended if additional changes are identified during small-group discussions of matching during </w:t>
      </w:r>
      <w:r w:rsidR="00FB6EEF">
        <w:t>S</w:t>
      </w:r>
      <w:r w:rsidR="00B64E8D">
        <w:t>ummer 2024.</w:t>
      </w:r>
    </w:p>
    <w:p w14:paraId="565C138C" w14:textId="5F94F6AF" w:rsidR="00801307" w:rsidRPr="008D54A5" w:rsidRDefault="00801307" w:rsidP="00801307">
      <w:pPr>
        <w:pStyle w:val="Heading2"/>
      </w:pPr>
      <w:bookmarkStart w:id="536" w:name="_Toc127287312"/>
      <w:bookmarkStart w:id="537" w:name="_Toc160529638"/>
      <w:bookmarkStart w:id="538" w:name="_Toc189128121"/>
      <w:bookmarkEnd w:id="501"/>
      <w:bookmarkEnd w:id="502"/>
      <w:bookmarkEnd w:id="503"/>
      <w:r w:rsidRPr="008D54A5">
        <w:t>Plans for Editing</w:t>
      </w:r>
      <w:bookmarkEnd w:id="536"/>
      <w:bookmarkEnd w:id="537"/>
      <w:bookmarkEnd w:id="538"/>
    </w:p>
    <w:p w14:paraId="0CDE8C69" w14:textId="33D1D49E" w:rsidR="00C0342F" w:rsidRPr="008D54A5" w:rsidRDefault="008858AD" w:rsidP="00EC2444">
      <w:pPr>
        <w:pStyle w:val="BodyText"/>
      </w:pPr>
      <w:r w:rsidRPr="008D54A5">
        <w:t>T</w:t>
      </w:r>
      <w:r w:rsidR="0064581A" w:rsidRPr="008D54A5">
        <w:t>he data</w:t>
      </w:r>
      <w:r w:rsidR="00695BFB" w:rsidRPr="008D54A5">
        <w:t xml:space="preserve"> editing </w:t>
      </w:r>
      <w:r w:rsidR="0064581A" w:rsidRPr="008D54A5">
        <w:t>check</w:t>
      </w:r>
      <w:r w:rsidR="005E24D1" w:rsidRPr="008D54A5">
        <w:t xml:space="preserve">s </w:t>
      </w:r>
      <w:r w:rsidRPr="008D54A5">
        <w:t xml:space="preserve">that will be </w:t>
      </w:r>
      <w:r w:rsidR="005E24D1" w:rsidRPr="008D54A5">
        <w:t xml:space="preserve">used in the </w:t>
      </w:r>
      <w:r w:rsidR="00A6598F" w:rsidRPr="008D54A5">
        <w:t>202</w:t>
      </w:r>
      <w:r w:rsidR="00843CDE" w:rsidRPr="008D54A5">
        <w:t>3</w:t>
      </w:r>
      <w:r w:rsidR="00A6598F" w:rsidRPr="008D54A5">
        <w:t xml:space="preserve"> </w:t>
      </w:r>
      <w:r w:rsidR="005E24D1" w:rsidRPr="008D54A5">
        <w:t xml:space="preserve">MPC are </w:t>
      </w:r>
      <w:r w:rsidR="005541AB" w:rsidRPr="008D54A5">
        <w:t>like</w:t>
      </w:r>
      <w:r w:rsidRPr="008D54A5">
        <w:t xml:space="preserve"> </w:t>
      </w:r>
      <w:r w:rsidR="005E24D1" w:rsidRPr="008D54A5">
        <w:t xml:space="preserve">those used for the </w:t>
      </w:r>
      <w:r w:rsidR="00A6598F" w:rsidRPr="008D54A5">
        <w:t>202</w:t>
      </w:r>
      <w:r w:rsidR="00843CDE" w:rsidRPr="008D54A5">
        <w:t>2</w:t>
      </w:r>
      <w:r w:rsidR="00A6598F" w:rsidRPr="008D54A5">
        <w:t xml:space="preserve"> </w:t>
      </w:r>
      <w:r w:rsidR="005E24D1" w:rsidRPr="008D54A5">
        <w:t>MPC</w:t>
      </w:r>
      <w:r w:rsidR="0064581A" w:rsidRPr="008D54A5">
        <w:t>.</w:t>
      </w:r>
      <w:r w:rsidR="00915832" w:rsidRPr="008D54A5">
        <w:t xml:space="preserve"> </w:t>
      </w:r>
      <w:r w:rsidR="0064581A" w:rsidRPr="008D54A5">
        <w:t xml:space="preserve">Spreadsheets containing the events to be reviewed </w:t>
      </w:r>
      <w:r w:rsidR="00021323" w:rsidRPr="008D54A5">
        <w:t>are</w:t>
      </w:r>
      <w:r w:rsidR="0064581A" w:rsidRPr="008D54A5">
        <w:t xml:space="preserve"> produced at least weekly during data collection, and several times after data collection has ended, until all potential problems have been reviewed and resolved. Data collection managers review and resolve the events that are identified as meeting the various criteria.</w:t>
      </w:r>
      <w:r w:rsidR="00043C1E" w:rsidRPr="008D54A5">
        <w:t xml:space="preserve"> </w:t>
      </w:r>
      <w:r w:rsidR="0064581A" w:rsidRPr="008D54A5">
        <w:t xml:space="preserve">For the </w:t>
      </w:r>
      <w:r w:rsidR="00622326" w:rsidRPr="008D54A5">
        <w:t>202</w:t>
      </w:r>
      <w:r w:rsidR="00843CDE" w:rsidRPr="008D54A5">
        <w:t>3</w:t>
      </w:r>
      <w:r w:rsidR="00622326" w:rsidRPr="008D54A5">
        <w:t xml:space="preserve"> </w:t>
      </w:r>
      <w:r w:rsidR="0064581A" w:rsidRPr="008D54A5">
        <w:t xml:space="preserve">MPC, </w:t>
      </w:r>
      <w:r w:rsidR="00F5179D" w:rsidRPr="008D54A5">
        <w:t xml:space="preserve">the reviews </w:t>
      </w:r>
      <w:r w:rsidR="00021323" w:rsidRPr="008D54A5">
        <w:t xml:space="preserve">were started in </w:t>
      </w:r>
      <w:r w:rsidR="004E5D32" w:rsidRPr="008D54A5">
        <w:t xml:space="preserve">February </w:t>
      </w:r>
      <w:r w:rsidR="00762CBD" w:rsidRPr="008D54A5">
        <w:t>20</w:t>
      </w:r>
      <w:r w:rsidR="00FA49EE" w:rsidRPr="008D54A5">
        <w:t>2</w:t>
      </w:r>
      <w:r w:rsidR="00843CDE" w:rsidRPr="008D54A5">
        <w:t>4</w:t>
      </w:r>
      <w:r w:rsidR="00021323" w:rsidRPr="008D54A5">
        <w:t>, soon after the start of the MPC data collection.</w:t>
      </w:r>
      <w:r w:rsidR="00C0342F" w:rsidRPr="008D54A5">
        <w:t xml:space="preserve"> </w:t>
      </w:r>
    </w:p>
    <w:p w14:paraId="57889BD0" w14:textId="13D68EE9" w:rsidR="009901E0" w:rsidRPr="008D54A5" w:rsidRDefault="00695BFB" w:rsidP="00EC2444">
      <w:pPr>
        <w:pStyle w:val="BodyText"/>
      </w:pPr>
      <w:r w:rsidRPr="008D54A5">
        <w:t xml:space="preserve">The </w:t>
      </w:r>
      <w:r w:rsidR="005E77FE" w:rsidRPr="008D54A5">
        <w:t xml:space="preserve">items </w:t>
      </w:r>
      <w:r w:rsidRPr="008D54A5">
        <w:t>listed below are</w:t>
      </w:r>
      <w:r w:rsidR="007D3EEB" w:rsidRPr="008D54A5">
        <w:t xml:space="preserve"> </w:t>
      </w:r>
      <w:r w:rsidR="00DB3958" w:rsidRPr="008D54A5">
        <w:t>suggested changes for the 202</w:t>
      </w:r>
      <w:r w:rsidR="00245A67" w:rsidRPr="008D54A5">
        <w:t>2</w:t>
      </w:r>
      <w:r w:rsidR="00DB3958" w:rsidRPr="008D54A5">
        <w:t xml:space="preserve"> files</w:t>
      </w:r>
      <w:r w:rsidR="007D3EEB" w:rsidRPr="008D54A5">
        <w:t xml:space="preserve"> </w:t>
      </w:r>
      <w:r w:rsidRPr="008D54A5">
        <w:t xml:space="preserve">based on </w:t>
      </w:r>
      <w:r w:rsidR="00C265A6" w:rsidRPr="008D54A5">
        <w:t xml:space="preserve">changes in the Blaise data collection system, Edit Shop, and </w:t>
      </w:r>
      <w:r w:rsidRPr="008D54A5">
        <w:t xml:space="preserve">comments from AHRQ on </w:t>
      </w:r>
      <w:r w:rsidR="00245A67" w:rsidRPr="008D54A5">
        <w:t>the prior year files.</w:t>
      </w:r>
      <w:r w:rsidR="002A18B3" w:rsidRPr="008D54A5">
        <w:t xml:space="preserve"> </w:t>
      </w:r>
      <w:r w:rsidR="00ED65A8" w:rsidRPr="008D54A5">
        <w:rPr>
          <w:color w:val="000000" w:themeColor="text1"/>
          <w:szCs w:val="22"/>
        </w:rPr>
        <w:t>As in the 2020</w:t>
      </w:r>
      <w:r w:rsidR="00843CDE" w:rsidRPr="008D54A5">
        <w:rPr>
          <w:color w:val="000000" w:themeColor="text1"/>
          <w:szCs w:val="22"/>
        </w:rPr>
        <w:t xml:space="preserve"> </w:t>
      </w:r>
      <w:r w:rsidR="00B9164A">
        <w:rPr>
          <w:color w:val="000000" w:themeColor="text1"/>
          <w:szCs w:val="22"/>
        </w:rPr>
        <w:t>–</w:t>
      </w:r>
      <w:r w:rsidR="00843CDE" w:rsidRPr="008D54A5">
        <w:rPr>
          <w:color w:val="000000" w:themeColor="text1"/>
          <w:szCs w:val="22"/>
        </w:rPr>
        <w:t xml:space="preserve"> 2022</w:t>
      </w:r>
      <w:r w:rsidR="00B9164A">
        <w:rPr>
          <w:color w:val="000000" w:themeColor="text1"/>
          <w:szCs w:val="22"/>
        </w:rPr>
        <w:t xml:space="preserve"> </w:t>
      </w:r>
      <w:r w:rsidR="00ED65A8" w:rsidRPr="008D54A5">
        <w:rPr>
          <w:color w:val="000000" w:themeColor="text1"/>
          <w:szCs w:val="22"/>
        </w:rPr>
        <w:t xml:space="preserve">cycles, </w:t>
      </w:r>
      <w:r w:rsidR="004521DC" w:rsidRPr="008D54A5">
        <w:rPr>
          <w:color w:val="000000" w:themeColor="text1"/>
          <w:szCs w:val="22"/>
        </w:rPr>
        <w:t xml:space="preserve">VA pair data will not be </w:t>
      </w:r>
      <w:r w:rsidR="00BE4BF3" w:rsidRPr="008D54A5">
        <w:rPr>
          <w:color w:val="000000" w:themeColor="text1"/>
          <w:szCs w:val="22"/>
        </w:rPr>
        <w:t xml:space="preserve">a </w:t>
      </w:r>
      <w:r w:rsidR="004521DC" w:rsidRPr="008D54A5">
        <w:rPr>
          <w:color w:val="000000" w:themeColor="text1"/>
          <w:szCs w:val="22"/>
        </w:rPr>
        <w:t xml:space="preserve">part of the </w:t>
      </w:r>
      <w:r w:rsidR="00ED65A8" w:rsidRPr="008D54A5">
        <w:rPr>
          <w:color w:val="000000" w:themeColor="text1"/>
          <w:szCs w:val="22"/>
        </w:rPr>
        <w:t>202</w:t>
      </w:r>
      <w:r w:rsidR="00843CDE" w:rsidRPr="008D54A5">
        <w:rPr>
          <w:color w:val="000000" w:themeColor="text1"/>
          <w:szCs w:val="22"/>
        </w:rPr>
        <w:t>3</w:t>
      </w:r>
      <w:r w:rsidR="00ED65A8" w:rsidRPr="008D54A5">
        <w:rPr>
          <w:color w:val="000000" w:themeColor="text1"/>
          <w:szCs w:val="22"/>
        </w:rPr>
        <w:t xml:space="preserve"> </w:t>
      </w:r>
      <w:r w:rsidR="004521DC" w:rsidRPr="008D54A5">
        <w:rPr>
          <w:color w:val="000000" w:themeColor="text1"/>
          <w:szCs w:val="22"/>
        </w:rPr>
        <w:t xml:space="preserve">MPC data collection and abstraction activities. </w:t>
      </w:r>
      <w:r w:rsidR="00ED65A8" w:rsidRPr="008D54A5">
        <w:rPr>
          <w:color w:val="000000" w:themeColor="text1"/>
          <w:szCs w:val="22"/>
        </w:rPr>
        <w:t>T</w:t>
      </w:r>
      <w:r w:rsidR="004521DC" w:rsidRPr="008D54A5">
        <w:rPr>
          <w:color w:val="000000" w:themeColor="text1"/>
          <w:szCs w:val="22"/>
        </w:rPr>
        <w:t>he VA will provide AHRQ data for those pairs identified as VA providers/facilities.</w:t>
      </w:r>
      <w:r w:rsidR="003543ED" w:rsidRPr="008D54A5">
        <w:rPr>
          <w:color w:val="000000" w:themeColor="text1"/>
          <w:szCs w:val="22"/>
        </w:rPr>
        <w:t xml:space="preserve"> </w:t>
      </w:r>
      <w:r w:rsidR="009901E0" w:rsidRPr="008D54A5">
        <w:t>Data for these pairs will be assigned ID variables and values comparable to the MPC values (</w:t>
      </w:r>
      <w:r w:rsidR="004E3F6F" w:rsidRPr="008D54A5">
        <w:t>e.g.</w:t>
      </w:r>
      <w:r w:rsidR="009901E0" w:rsidRPr="008D54A5">
        <w:t xml:space="preserve">, GID, PPID, and PMEID), and the data concatenated with the Blaise data collected for the other sampled pairs. </w:t>
      </w:r>
      <w:r w:rsidR="00ED65A8" w:rsidRPr="008D54A5">
        <w:t>C</w:t>
      </w:r>
      <w:r w:rsidR="00836C55" w:rsidRPr="008D54A5">
        <w:t>onsistency codes for MPC variables that do not apply to the VA records</w:t>
      </w:r>
      <w:r w:rsidR="00ED65A8" w:rsidRPr="008D54A5">
        <w:t xml:space="preserve"> will be the same as in the 2020 </w:t>
      </w:r>
      <w:r w:rsidR="00843CDE" w:rsidRPr="008D54A5">
        <w:t>- 2022</w:t>
      </w:r>
      <w:r w:rsidR="00ED65A8" w:rsidRPr="008D54A5">
        <w:t xml:space="preserve"> cycles</w:t>
      </w:r>
      <w:r w:rsidR="00836C55" w:rsidRPr="008D54A5">
        <w:t>.</w:t>
      </w:r>
      <w:r w:rsidR="008A3711" w:rsidRPr="008D54A5">
        <w:t xml:space="preserve"> Any changes or edits to the VA events so that the variables conform to the MPC variables will be documented in memoranda that accompany the data files that are delivered to AHRQ.</w:t>
      </w:r>
    </w:p>
    <w:p w14:paraId="4B19B4FA" w14:textId="7D112D68" w:rsidR="00D94301" w:rsidRPr="008D54A5" w:rsidRDefault="00D94301" w:rsidP="00EC2444">
      <w:pPr>
        <w:pStyle w:val="BodyText"/>
      </w:pPr>
      <w:r w:rsidRPr="008D54A5">
        <w:t xml:space="preserve">The master lists of providers were </w:t>
      </w:r>
      <w:r w:rsidR="00843CDE" w:rsidRPr="008D54A5">
        <w:t xml:space="preserve">updated during the 2022 cycle. RTI will continue to </w:t>
      </w:r>
      <w:r w:rsidR="00585BD6" w:rsidRPr="008D54A5">
        <w:t>examin</w:t>
      </w:r>
      <w:r w:rsidR="00383725" w:rsidRPr="008D54A5">
        <w:t>e</w:t>
      </w:r>
      <w:r w:rsidR="00585BD6" w:rsidRPr="008D54A5">
        <w:t xml:space="preserve"> providers that are not classified as one of the four types and contain “County” or “District” in the </w:t>
      </w:r>
      <w:r w:rsidR="00FA229A" w:rsidRPr="008D54A5">
        <w:t>provider’s</w:t>
      </w:r>
      <w:r w:rsidR="00585BD6" w:rsidRPr="008D54A5">
        <w:t xml:space="preserve"> name</w:t>
      </w:r>
      <w:r w:rsidR="00843CDE" w:rsidRPr="008D54A5">
        <w:t xml:space="preserve"> and will classify those that are government-owned or government entities as “CHARITY”</w:t>
      </w:r>
      <w:r w:rsidR="00843CDE" w:rsidRPr="008D54A5" w:rsidDel="00843CDE">
        <w:t xml:space="preserve"> </w:t>
      </w:r>
      <w:r w:rsidR="00843CDE" w:rsidRPr="008D54A5">
        <w:t>I</w:t>
      </w:r>
      <w:r w:rsidRPr="008D54A5">
        <w:t xml:space="preserve">n addition to internet searches, </w:t>
      </w:r>
      <w:r w:rsidR="00BD3E36" w:rsidRPr="008D54A5">
        <w:t>RTI</w:t>
      </w:r>
      <w:r w:rsidRPr="008D54A5">
        <w:t xml:space="preserve"> will use </w:t>
      </w:r>
      <w:r w:rsidR="00CC2C2A" w:rsidRPr="008D54A5">
        <w:t xml:space="preserve">again </w:t>
      </w:r>
      <w:r w:rsidRPr="008D54A5">
        <w:t xml:space="preserve">the hospital ownership field of the Centers for Medicare and Medicaid Services Hospital General Information </w:t>
      </w:r>
      <w:r w:rsidRPr="008D54A5">
        <w:rPr>
          <w:szCs w:val="24"/>
        </w:rPr>
        <w:t>file (</w:t>
      </w:r>
      <w:hyperlink r:id="rId58" w:history="1">
        <w:r w:rsidRPr="008D54A5">
          <w:rPr>
            <w:rStyle w:val="Hyperlink"/>
            <w:szCs w:val="24"/>
          </w:rPr>
          <w:t>https://data.cms.gov/provider-data/dataset/xubh-q36u</w:t>
        </w:r>
      </w:hyperlink>
      <w:r w:rsidRPr="008D54A5">
        <w:rPr>
          <w:color w:val="0563C1"/>
          <w:szCs w:val="24"/>
          <w:u w:val="single"/>
        </w:rPr>
        <w:t>)</w:t>
      </w:r>
      <w:r w:rsidR="00FF1AEE" w:rsidRPr="008D54A5">
        <w:t xml:space="preserve"> </w:t>
      </w:r>
      <w:r w:rsidR="00843CDE" w:rsidRPr="008D54A5">
        <w:t xml:space="preserve">and </w:t>
      </w:r>
      <w:r w:rsidR="00FF1AEE" w:rsidRPr="008D54A5">
        <w:t xml:space="preserve"> will verify this information using internet searches.</w:t>
      </w:r>
      <w:r w:rsidR="00470F6F" w:rsidRPr="008D54A5">
        <w:t xml:space="preserve"> </w:t>
      </w:r>
      <w:r w:rsidR="005F023D" w:rsidRPr="008D54A5">
        <w:t xml:space="preserve">RTI suggests </w:t>
      </w:r>
      <w:r w:rsidR="00F75ABF" w:rsidRPr="008D54A5">
        <w:t xml:space="preserve">appending military bases that were renamed in 2023 to the master </w:t>
      </w:r>
      <w:r w:rsidR="005F023D" w:rsidRPr="008D54A5">
        <w:t>list of military providers</w:t>
      </w:r>
      <w:r w:rsidR="00F75ABF" w:rsidRPr="008D54A5">
        <w:t>.</w:t>
      </w:r>
    </w:p>
    <w:p w14:paraId="286842D0" w14:textId="77777777" w:rsidR="00622326" w:rsidRPr="008D54A5" w:rsidRDefault="00622326" w:rsidP="00BC5840">
      <w:pPr>
        <w:spacing w:after="160" w:line="256" w:lineRule="auto"/>
      </w:pPr>
    </w:p>
    <w:p w14:paraId="083009C8" w14:textId="77777777" w:rsidR="00E70CEA" w:rsidRPr="002D7237" w:rsidRDefault="00E70CEA" w:rsidP="004658CE">
      <w:pPr>
        <w:pStyle w:val="apage"/>
        <w:rPr>
          <w:rFonts w:asciiTheme="minorHAnsi" w:eastAsia="Calibri" w:hAnsiTheme="minorHAnsi" w:cstheme="minorHAnsi"/>
          <w:kern w:val="32"/>
        </w:rPr>
      </w:pPr>
      <w:bookmarkStart w:id="539" w:name="_Toc68018588"/>
      <w:bookmarkStart w:id="540" w:name="_Toc68018916"/>
      <w:bookmarkStart w:id="541" w:name="_Toc68020204"/>
      <w:bookmarkStart w:id="542" w:name="_Toc68018589"/>
      <w:bookmarkStart w:id="543" w:name="_Toc68018917"/>
      <w:bookmarkStart w:id="544" w:name="_Toc68020205"/>
      <w:bookmarkStart w:id="545" w:name="_Toc68018590"/>
      <w:bookmarkStart w:id="546" w:name="_Toc68018918"/>
      <w:bookmarkStart w:id="547" w:name="_Toc68020206"/>
      <w:bookmarkStart w:id="548" w:name="_Toc68018591"/>
      <w:bookmarkStart w:id="549" w:name="_Toc68018919"/>
      <w:bookmarkStart w:id="550" w:name="_Toc68020207"/>
      <w:bookmarkStart w:id="551" w:name="_Toc68018592"/>
      <w:bookmarkStart w:id="552" w:name="_Toc68018920"/>
      <w:bookmarkStart w:id="553" w:name="_Toc68020208"/>
      <w:bookmarkStart w:id="554" w:name="_Toc68018593"/>
      <w:bookmarkStart w:id="555" w:name="_Toc68018921"/>
      <w:bookmarkStart w:id="556" w:name="_Toc68020209"/>
      <w:bookmarkStart w:id="557" w:name="_Toc68018594"/>
      <w:bookmarkStart w:id="558" w:name="_Toc68018922"/>
      <w:bookmarkStart w:id="559" w:name="_Toc68020210"/>
      <w:bookmarkStart w:id="560" w:name="_Toc68018595"/>
      <w:bookmarkStart w:id="561" w:name="_Toc68018923"/>
      <w:bookmarkStart w:id="562" w:name="_Toc68020211"/>
      <w:bookmarkStart w:id="563" w:name="_Toc68018596"/>
      <w:bookmarkStart w:id="564" w:name="_Toc68018924"/>
      <w:bookmarkStart w:id="565" w:name="_Toc68020212"/>
      <w:bookmarkStart w:id="566" w:name="_Toc68018597"/>
      <w:bookmarkStart w:id="567" w:name="_Toc68018925"/>
      <w:bookmarkStart w:id="568" w:name="_Toc68020213"/>
      <w:bookmarkStart w:id="569" w:name="_Toc68018598"/>
      <w:bookmarkStart w:id="570" w:name="_Toc68018926"/>
      <w:bookmarkStart w:id="571" w:name="_Toc68020214"/>
      <w:bookmarkStart w:id="572" w:name="_Toc68018599"/>
      <w:bookmarkStart w:id="573" w:name="_Toc68018927"/>
      <w:bookmarkStart w:id="574" w:name="_Toc68020215"/>
      <w:bookmarkStart w:id="575" w:name="_Toc68018600"/>
      <w:bookmarkStart w:id="576" w:name="_Toc68018928"/>
      <w:bookmarkStart w:id="577" w:name="_Toc68020216"/>
      <w:bookmarkStart w:id="578" w:name="_Toc2847542"/>
      <w:bookmarkStart w:id="579" w:name="_Toc2847612"/>
      <w:bookmarkStart w:id="580" w:name="_Toc2952523"/>
      <w:bookmarkStart w:id="581" w:name="_Toc3273531"/>
      <w:bookmarkStart w:id="582" w:name="_Toc3370808"/>
      <w:bookmarkStart w:id="583" w:name="_Toc508804555"/>
      <w:bookmarkStart w:id="584" w:name="_Toc508864484"/>
      <w:bookmarkStart w:id="585" w:name="_Toc508864708"/>
      <w:bookmarkStart w:id="586" w:name="_Toc508804556"/>
      <w:bookmarkStart w:id="587" w:name="_Toc508864485"/>
      <w:bookmarkStart w:id="588" w:name="_Toc508864709"/>
      <w:bookmarkStart w:id="589" w:name="_Toc508804557"/>
      <w:bookmarkStart w:id="590" w:name="_Toc508864486"/>
      <w:bookmarkStart w:id="591" w:name="_Toc508864710"/>
      <w:bookmarkStart w:id="592" w:name="_Toc508804605"/>
      <w:bookmarkStart w:id="593" w:name="_Toc508864534"/>
      <w:bookmarkStart w:id="594" w:name="_Toc508864758"/>
      <w:bookmarkStart w:id="595" w:name="_Toc508804606"/>
      <w:bookmarkStart w:id="596" w:name="_Toc508864535"/>
      <w:bookmarkStart w:id="597" w:name="_Toc508864759"/>
      <w:bookmarkStart w:id="598" w:name="_Toc508804642"/>
      <w:bookmarkStart w:id="599" w:name="_Toc508864571"/>
      <w:bookmarkStart w:id="600" w:name="_Toc508864795"/>
      <w:bookmarkStart w:id="601" w:name="_Toc508804661"/>
      <w:bookmarkStart w:id="602" w:name="_Toc508864590"/>
      <w:bookmarkStart w:id="603" w:name="_Toc508864814"/>
      <w:bookmarkStart w:id="604" w:name="_Toc508804686"/>
      <w:bookmarkStart w:id="605" w:name="_Toc508864615"/>
      <w:bookmarkStart w:id="606" w:name="_Toc508864839"/>
      <w:bookmarkStart w:id="607" w:name="_Toc508804687"/>
      <w:bookmarkStart w:id="608" w:name="_Toc508864616"/>
      <w:bookmarkStart w:id="609" w:name="_Toc508864840"/>
      <w:bookmarkStart w:id="610" w:name="_Toc508804703"/>
      <w:bookmarkStart w:id="611" w:name="_Toc508864632"/>
      <w:bookmarkStart w:id="612" w:name="_Toc508864856"/>
      <w:bookmarkStart w:id="613" w:name="_Toc508804705"/>
      <w:bookmarkStart w:id="614" w:name="_Toc508864634"/>
      <w:bookmarkStart w:id="615" w:name="_Toc508864858"/>
      <w:bookmarkStart w:id="616" w:name="_Toc508864933"/>
      <w:bookmarkStart w:id="617" w:name="_Toc508865012"/>
      <w:bookmarkStart w:id="618" w:name="_Toc508804706"/>
      <w:bookmarkStart w:id="619" w:name="_Toc508864635"/>
      <w:bookmarkStart w:id="620" w:name="_Toc508864859"/>
      <w:bookmarkStart w:id="621" w:name="_Toc508864934"/>
      <w:bookmarkStart w:id="622" w:name="_Toc508865013"/>
      <w:bookmarkStart w:id="623" w:name="_Toc508804707"/>
      <w:bookmarkStart w:id="624" w:name="_Toc508864636"/>
      <w:bookmarkStart w:id="625" w:name="_Toc508864860"/>
      <w:bookmarkStart w:id="626" w:name="_Toc508864935"/>
      <w:bookmarkStart w:id="627" w:name="_Toc508865014"/>
      <w:bookmarkStart w:id="628" w:name="_Toc508804708"/>
      <w:bookmarkStart w:id="629" w:name="_Toc508864637"/>
      <w:bookmarkStart w:id="630" w:name="_Toc508864861"/>
      <w:bookmarkStart w:id="631" w:name="_Toc508864936"/>
      <w:bookmarkStart w:id="632" w:name="_Toc508865015"/>
      <w:bookmarkStart w:id="633" w:name="_Toc508804709"/>
      <w:bookmarkStart w:id="634" w:name="_Toc508864638"/>
      <w:bookmarkStart w:id="635" w:name="_Toc508864862"/>
      <w:bookmarkStart w:id="636" w:name="_Toc508864937"/>
      <w:bookmarkStart w:id="637" w:name="_Toc508865016"/>
      <w:bookmarkStart w:id="638" w:name="_Toc508804710"/>
      <w:bookmarkStart w:id="639" w:name="_Toc508864639"/>
      <w:bookmarkStart w:id="640" w:name="_Toc508864863"/>
      <w:bookmarkStart w:id="641" w:name="_Toc508864938"/>
      <w:bookmarkStart w:id="642" w:name="_Toc508865017"/>
      <w:bookmarkStart w:id="643" w:name="a001080237"/>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sectPr w:rsidR="00E70CEA" w:rsidRPr="002D7237" w:rsidSect="004C0DCB">
      <w:footerReference w:type="default" r:id="rId59"/>
      <w:pgSz w:w="12240" w:h="15840" w:code="1"/>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D413B" w14:textId="77777777" w:rsidR="0087694C" w:rsidRDefault="0087694C">
      <w:r>
        <w:separator/>
      </w:r>
    </w:p>
  </w:endnote>
  <w:endnote w:type="continuationSeparator" w:id="0">
    <w:p w14:paraId="2A230984" w14:textId="77777777" w:rsidR="0087694C" w:rsidRDefault="00876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Garamond">
    <w:panose1 w:val="02020404030301010803"/>
    <w:charset w:val="00"/>
    <w:family w:val="roman"/>
    <w:pitch w:val="variable"/>
    <w:sig w:usb0="00000287" w:usb1="00000000" w:usb2="00000000" w:usb3="00000000" w:csb0="0000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39D5" w14:textId="77777777" w:rsidR="0075008A" w:rsidRDefault="0075008A" w:rsidP="00E517C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xvii</w:t>
    </w:r>
    <w:r>
      <w:rPr>
        <w:rStyle w:val="PageNumber"/>
      </w:rPr>
      <w:fldChar w:fldCharType="end"/>
    </w:r>
  </w:p>
  <w:p w14:paraId="4E147A98" w14:textId="77777777" w:rsidR="0075008A" w:rsidRDefault="0075008A" w:rsidP="00E517C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CC36" w14:textId="77777777" w:rsidR="0075008A" w:rsidRDefault="0075008A" w:rsidP="00E517C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E48F" w14:textId="23C2EC49" w:rsidR="0075008A" w:rsidRPr="0048711F" w:rsidRDefault="0075008A" w:rsidP="00E517C1">
    <w:pPr>
      <w:pStyle w:val="Footer"/>
    </w:pPr>
    <w:r w:rsidRPr="00D34F39">
      <w:t xml:space="preserve">Page </w:t>
    </w:r>
    <w:r w:rsidRPr="00D34F39">
      <w:fldChar w:fldCharType="begin"/>
    </w:r>
    <w:r w:rsidRPr="00D34F39">
      <w:instrText xml:space="preserve"> PAGE   \* MERGEFORMAT </w:instrText>
    </w:r>
    <w:r w:rsidRPr="00D34F39">
      <w:fldChar w:fldCharType="separate"/>
    </w:r>
    <w:r w:rsidR="00065881">
      <w:rPr>
        <w:noProof/>
      </w:rPr>
      <w:t>92</w:t>
    </w:r>
    <w:r w:rsidRPr="00D34F39">
      <w:fldChar w:fldCharType="end"/>
    </w:r>
    <w:r w:rsidRPr="00D34F39">
      <w:t xml:space="preserve"> of </w:t>
    </w:r>
    <w:r w:rsidR="008563A4">
      <w:rPr>
        <w:noProof/>
      </w:rPr>
      <w:t>15</w:t>
    </w:r>
    <w:r w:rsidR="00432A4A">
      <w:rPr>
        <w:noProof/>
      </w:rPr>
      <w:t>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98D8" w14:textId="77777777" w:rsidR="0075008A" w:rsidRDefault="0075008A" w:rsidP="00E517C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F0BD" w14:textId="4D5F45C9" w:rsidR="008563A4" w:rsidRPr="00432A4A" w:rsidRDefault="008563A4" w:rsidP="00432A4A"/>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7E82" w14:textId="40E0E897" w:rsidR="00432A4A" w:rsidRPr="00432A4A" w:rsidRDefault="00432A4A" w:rsidP="00432A4A">
    <w:pPr>
      <w:pStyle w:val="Footer"/>
    </w:pPr>
    <w:r w:rsidRPr="00D34F39">
      <w:t xml:space="preserve">Page </w:t>
    </w:r>
    <w:r w:rsidRPr="00D34F39">
      <w:fldChar w:fldCharType="begin"/>
    </w:r>
    <w:r w:rsidRPr="00D34F39">
      <w:instrText xml:space="preserve"> PAGE   \* MERGEFORMAT </w:instrText>
    </w:r>
    <w:r w:rsidRPr="00D34F39">
      <w:fldChar w:fldCharType="separate"/>
    </w:r>
    <w:r>
      <w:t>84</w:t>
    </w:r>
    <w:r w:rsidRPr="00D34F39">
      <w:fldChar w:fldCharType="end"/>
    </w:r>
    <w:r w:rsidRPr="00D34F39">
      <w:t xml:space="preserve"> of </w:t>
    </w:r>
    <w:r>
      <w:rPr>
        <w:noProof/>
      </w:rPr>
      <w:t>150</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32A4" w14:textId="573AE654" w:rsidR="0075008A" w:rsidRPr="002434E9" w:rsidRDefault="0075008A" w:rsidP="00175588">
    <w:pPr>
      <w:pStyle w:val="Footer"/>
    </w:pPr>
    <w:r w:rsidRPr="00D34F39">
      <w:t xml:space="preserve">Page </w:t>
    </w:r>
    <w:r w:rsidRPr="00D34F39">
      <w:fldChar w:fldCharType="begin"/>
    </w:r>
    <w:r w:rsidRPr="00D34F39">
      <w:instrText xml:space="preserve"> PAGE   \* MERGEFORMAT </w:instrText>
    </w:r>
    <w:r w:rsidRPr="00D34F39">
      <w:fldChar w:fldCharType="separate"/>
    </w:r>
    <w:r w:rsidR="00065881">
      <w:rPr>
        <w:noProof/>
      </w:rPr>
      <w:t>112</w:t>
    </w:r>
    <w:r w:rsidRPr="00D34F39">
      <w:fldChar w:fldCharType="end"/>
    </w:r>
    <w:r w:rsidRPr="00D34F39">
      <w:t xml:space="preserve"> of </w:t>
    </w:r>
    <w:r w:rsidR="00432A4A">
      <w:t>150</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BFC0" w14:textId="534F97BD" w:rsidR="0075008A" w:rsidRPr="00715249" w:rsidRDefault="0075008A" w:rsidP="00D71FB1">
    <w:pPr>
      <w:pStyle w:val="Footer"/>
    </w:pPr>
    <w:r w:rsidRPr="00D34F39">
      <w:t xml:space="preserve">Page </w:t>
    </w:r>
    <w:r w:rsidRPr="00D34F39">
      <w:fldChar w:fldCharType="begin"/>
    </w:r>
    <w:r w:rsidRPr="00D34F39">
      <w:instrText xml:space="preserve"> PAGE   \* MERGEFORMAT </w:instrText>
    </w:r>
    <w:r w:rsidRPr="00D34F39">
      <w:fldChar w:fldCharType="separate"/>
    </w:r>
    <w:r w:rsidR="00065881">
      <w:rPr>
        <w:noProof/>
      </w:rPr>
      <w:t>160</w:t>
    </w:r>
    <w:r w:rsidRPr="00D34F39">
      <w:fldChar w:fldCharType="end"/>
    </w:r>
    <w:r w:rsidRPr="00D34F39">
      <w:t xml:space="preserve"> of </w:t>
    </w:r>
    <w:r w:rsidR="008563A4">
      <w:rPr>
        <w:noProof/>
      </w:rPr>
      <w:t>15</w:t>
    </w:r>
    <w:r w:rsidR="00432A4A">
      <w:rPr>
        <w:noProof/>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EA43" w14:textId="7B5CDB85" w:rsidR="0075008A" w:rsidRPr="00D34F39" w:rsidRDefault="0075008A" w:rsidP="00E517C1">
    <w:pPr>
      <w:pStyle w:val="Footer"/>
    </w:pPr>
    <w:r w:rsidRPr="00D34F39">
      <w:t xml:space="preserve">Page </w:t>
    </w:r>
    <w:r w:rsidRPr="00D34F39">
      <w:fldChar w:fldCharType="begin"/>
    </w:r>
    <w:r w:rsidRPr="00D34F39">
      <w:instrText xml:space="preserve"> PAGE   \* MERGEFORMAT </w:instrText>
    </w:r>
    <w:r w:rsidRPr="00D34F39">
      <w:fldChar w:fldCharType="separate"/>
    </w:r>
    <w:r>
      <w:rPr>
        <w:noProof/>
      </w:rPr>
      <w:t>2</w:t>
    </w:r>
    <w:r w:rsidRPr="00D34F39">
      <w:fldChar w:fldCharType="end"/>
    </w:r>
    <w:r w:rsidRPr="00D34F39">
      <w:t xml:space="preserve"> of </w:t>
    </w:r>
    <w:r>
      <w:rPr>
        <w:noProof/>
      </w:rPr>
      <w:fldChar w:fldCharType="begin"/>
    </w:r>
    <w:r>
      <w:rPr>
        <w:noProof/>
      </w:rPr>
      <w:instrText xml:space="preserve"> NUMPAGES   \* MERGEFORMAT </w:instrText>
    </w:r>
    <w:r>
      <w:rPr>
        <w:noProof/>
      </w:rPr>
      <w:fldChar w:fldCharType="separate"/>
    </w:r>
    <w:r>
      <w:rPr>
        <w:noProof/>
      </w:rPr>
      <w:t>154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617E" w14:textId="7B6805AA" w:rsidR="0075008A" w:rsidRDefault="0075008A" w:rsidP="0058399B">
    <w:pPr>
      <w:jc w:val="right"/>
    </w:pPr>
    <w:r w:rsidRPr="001E2F9C">
      <w:rPr>
        <w:noProof/>
      </w:rPr>
      <w:drawing>
        <wp:inline distT="0" distB="0" distL="0" distR="0" wp14:anchorId="3152EE0C" wp14:editId="1C54C721">
          <wp:extent cx="1108075" cy="436245"/>
          <wp:effectExtent l="0" t="0" r="0" b="1905"/>
          <wp:docPr id="2" name="Picture 2" descr="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43624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726E" w14:textId="77777777" w:rsidR="0075008A" w:rsidRDefault="0075008A" w:rsidP="00E517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0A5C" w14:textId="6CB07493" w:rsidR="00C035A5" w:rsidRPr="00D34F39" w:rsidRDefault="00C035A5" w:rsidP="00E517C1">
    <w:pPr>
      <w:pStyle w:val="Footer"/>
    </w:pPr>
    <w:r w:rsidRPr="00D34F39">
      <w:t xml:space="preserve">Page </w:t>
    </w:r>
    <w:r w:rsidRPr="00D34F39">
      <w:fldChar w:fldCharType="begin"/>
    </w:r>
    <w:r w:rsidRPr="00D34F39">
      <w:instrText xml:space="preserve"> PAGE   \* MERGEFORMAT </w:instrText>
    </w:r>
    <w:r w:rsidRPr="00D34F39">
      <w:fldChar w:fldCharType="separate"/>
    </w:r>
    <w:r>
      <w:rPr>
        <w:noProof/>
      </w:rPr>
      <w:t>2</w:t>
    </w:r>
    <w:r w:rsidRPr="00D34F39">
      <w:fldChar w:fldCharType="end"/>
    </w:r>
    <w:r w:rsidRPr="00D34F39">
      <w:t xml:space="preserve"> of </w:t>
    </w:r>
    <w:r>
      <w:rPr>
        <w:noProof/>
      </w:rPr>
      <w:t>15</w:t>
    </w:r>
    <w:r w:rsidR="00432A4A">
      <w:rPr>
        <w:noProof/>
      </w:rPr>
      <w:t>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0A54" w14:textId="77777777" w:rsidR="0075008A" w:rsidRDefault="0075008A" w:rsidP="00E517C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72" w:rightFromText="72" w:horzAnchor="page" w:tblpX="519" w:tblpY="1"/>
      <w:tblOverlap w:val="never"/>
      <w:tblW w:w="0" w:type="auto"/>
      <w:tblLayout w:type="fixed"/>
      <w:tblCellMar>
        <w:left w:w="0" w:type="dxa"/>
        <w:right w:w="0" w:type="dxa"/>
      </w:tblCellMar>
      <w:tblLook w:val="01E0" w:firstRow="1" w:lastRow="1" w:firstColumn="1" w:lastColumn="1" w:noHBand="0" w:noVBand="0"/>
    </w:tblPr>
    <w:tblGrid>
      <w:gridCol w:w="504"/>
    </w:tblGrid>
    <w:tr w:rsidR="0075008A" w:rsidRPr="00E1788E" w14:paraId="6FC9E3C1" w14:textId="77777777" w:rsidTr="004C7275">
      <w:trPr>
        <w:cantSplit/>
        <w:trHeight w:val="9360"/>
      </w:trPr>
      <w:tc>
        <w:tcPr>
          <w:tcW w:w="504" w:type="dxa"/>
          <w:tcMar>
            <w:left w:w="0" w:type="dxa"/>
            <w:right w:w="0" w:type="dxa"/>
          </w:tcMar>
          <w:textDirection w:val="tbRl"/>
        </w:tcPr>
        <w:p w14:paraId="22744E59" w14:textId="6EA238B5" w:rsidR="0075008A" w:rsidRPr="00E517C1" w:rsidRDefault="0075008A" w:rsidP="004C7275">
          <w:pPr>
            <w:pStyle w:val="Footer"/>
          </w:pPr>
          <w:r w:rsidRPr="00E517C1">
            <w:t xml:space="preserve">Page </w:t>
          </w:r>
          <w:r w:rsidRPr="00E517C1">
            <w:fldChar w:fldCharType="begin"/>
          </w:r>
          <w:r w:rsidRPr="00E517C1">
            <w:instrText xml:space="preserve"> PAGE   \* MERGEFORMAT </w:instrText>
          </w:r>
          <w:r w:rsidRPr="00E517C1">
            <w:fldChar w:fldCharType="separate"/>
          </w:r>
          <w:r w:rsidR="00065881">
            <w:rPr>
              <w:noProof/>
            </w:rPr>
            <w:t>45</w:t>
          </w:r>
          <w:r w:rsidRPr="00E517C1">
            <w:fldChar w:fldCharType="end"/>
          </w:r>
          <w:r w:rsidRPr="00E517C1">
            <w:t xml:space="preserve"> of </w:t>
          </w:r>
          <w:r w:rsidR="008563A4">
            <w:t>15</w:t>
          </w:r>
          <w:r w:rsidR="00432A4A">
            <w:t>0</w:t>
          </w:r>
        </w:p>
        <w:p w14:paraId="62EE6C9E" w14:textId="77777777" w:rsidR="0075008A" w:rsidRPr="006B316B" w:rsidRDefault="0075008A" w:rsidP="004C7275">
          <w:pPr>
            <w:pStyle w:val="Footer"/>
          </w:pPr>
        </w:p>
      </w:tc>
    </w:tr>
  </w:tbl>
  <w:p w14:paraId="2F3354B5" w14:textId="77777777" w:rsidR="0075008A" w:rsidRPr="00A83443" w:rsidRDefault="0075008A" w:rsidP="00E517C1">
    <w:pPr>
      <w:pStyle w:val="Footer"/>
      <w:pBdr>
        <w:top w:val="none" w:sz="0" w:space="0"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BA01" w14:textId="545FD768" w:rsidR="0075008A" w:rsidRPr="00A92D56" w:rsidRDefault="0075008A" w:rsidP="00CB13C1">
    <w:pPr>
      <w:pStyle w:val="Footer"/>
    </w:pPr>
    <w:r w:rsidRPr="00D34F39">
      <w:t xml:space="preserve">Page </w:t>
    </w:r>
    <w:r w:rsidRPr="00D34F39">
      <w:fldChar w:fldCharType="begin"/>
    </w:r>
    <w:r w:rsidRPr="00D34F39">
      <w:instrText xml:space="preserve"> PAGE   \* MERGEFORMAT </w:instrText>
    </w:r>
    <w:r w:rsidRPr="00D34F39">
      <w:fldChar w:fldCharType="separate"/>
    </w:r>
    <w:r w:rsidR="00065881">
      <w:rPr>
        <w:noProof/>
      </w:rPr>
      <w:t>48</w:t>
    </w:r>
    <w:r w:rsidRPr="00D34F39">
      <w:fldChar w:fldCharType="end"/>
    </w:r>
    <w:r w:rsidRPr="00D34F39">
      <w:t xml:space="preserve"> of </w:t>
    </w:r>
    <w:r w:rsidR="008563A4">
      <w:rPr>
        <w:noProof/>
      </w:rPr>
      <w:t>15</w:t>
    </w:r>
    <w:r w:rsidR="00432A4A">
      <w:rPr>
        <w:noProof/>
      </w:rPr>
      <w:t>0</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72" w:rightFromText="72" w:horzAnchor="page" w:tblpX="451" w:tblpY="1"/>
      <w:tblOverlap w:val="never"/>
      <w:tblW w:w="0" w:type="auto"/>
      <w:tblLayout w:type="fixed"/>
      <w:tblCellMar>
        <w:left w:w="0" w:type="dxa"/>
        <w:right w:w="0" w:type="dxa"/>
      </w:tblCellMar>
      <w:tblLook w:val="01E0" w:firstRow="1" w:lastRow="1" w:firstColumn="1" w:lastColumn="1" w:noHBand="0" w:noVBand="0"/>
    </w:tblPr>
    <w:tblGrid>
      <w:gridCol w:w="504"/>
    </w:tblGrid>
    <w:tr w:rsidR="0075008A" w:rsidRPr="00E1788E" w14:paraId="7234EEA3" w14:textId="77777777" w:rsidTr="008D51E1">
      <w:trPr>
        <w:cantSplit/>
        <w:trHeight w:val="9360"/>
      </w:trPr>
      <w:tc>
        <w:tcPr>
          <w:tcW w:w="504" w:type="dxa"/>
          <w:tcMar>
            <w:left w:w="0" w:type="dxa"/>
            <w:right w:w="0" w:type="dxa"/>
          </w:tcMar>
          <w:textDirection w:val="tbRl"/>
        </w:tcPr>
        <w:p w14:paraId="56C18E06" w14:textId="19CAC675" w:rsidR="0075008A" w:rsidRPr="00E517C1" w:rsidRDefault="0075008A" w:rsidP="008D51E1">
          <w:pPr>
            <w:pStyle w:val="Footer"/>
          </w:pPr>
          <w:r w:rsidRPr="00E517C1">
            <w:t xml:space="preserve">Page </w:t>
          </w:r>
          <w:r w:rsidRPr="00E517C1">
            <w:fldChar w:fldCharType="begin"/>
          </w:r>
          <w:r w:rsidRPr="00E517C1">
            <w:instrText xml:space="preserve"> PAGE   \* MERGEFORMAT </w:instrText>
          </w:r>
          <w:r w:rsidRPr="00E517C1">
            <w:fldChar w:fldCharType="separate"/>
          </w:r>
          <w:r w:rsidR="00065881">
            <w:rPr>
              <w:noProof/>
            </w:rPr>
            <w:t>52</w:t>
          </w:r>
          <w:r w:rsidRPr="00E517C1">
            <w:fldChar w:fldCharType="end"/>
          </w:r>
          <w:r w:rsidRPr="00E517C1">
            <w:t xml:space="preserve"> of </w:t>
          </w:r>
          <w:r w:rsidR="008563A4">
            <w:rPr>
              <w:noProof/>
            </w:rPr>
            <w:t>15</w:t>
          </w:r>
          <w:r w:rsidR="00432A4A">
            <w:rPr>
              <w:noProof/>
            </w:rPr>
            <w:t>0</w:t>
          </w:r>
        </w:p>
        <w:p w14:paraId="5A72690D" w14:textId="77777777" w:rsidR="0075008A" w:rsidRPr="006B316B" w:rsidRDefault="0075008A" w:rsidP="008D51E1">
          <w:pPr>
            <w:pStyle w:val="Footer"/>
          </w:pPr>
        </w:p>
      </w:tc>
    </w:tr>
  </w:tbl>
  <w:p w14:paraId="73B3D806" w14:textId="77777777" w:rsidR="0075008A" w:rsidRPr="00715249" w:rsidRDefault="0075008A" w:rsidP="00715249">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397A" w14:textId="77777777" w:rsidR="0087694C" w:rsidRDefault="0087694C">
      <w:r>
        <w:separator/>
      </w:r>
    </w:p>
  </w:footnote>
  <w:footnote w:type="continuationSeparator" w:id="0">
    <w:p w14:paraId="704E7846" w14:textId="77777777" w:rsidR="0087694C" w:rsidRDefault="0087694C">
      <w:r>
        <w:continuationSeparator/>
      </w:r>
    </w:p>
  </w:footnote>
  <w:footnote w:id="1">
    <w:p w14:paraId="0A215141" w14:textId="2CF8B573" w:rsidR="0075008A" w:rsidRDefault="0075008A">
      <w:pPr>
        <w:pStyle w:val="FootnoteText"/>
      </w:pPr>
      <w:r>
        <w:rPr>
          <w:rStyle w:val="FootnoteReference"/>
        </w:rPr>
        <w:footnoteRef/>
      </w:r>
      <w:r>
        <w:t xml:space="preserve"> </w:t>
      </w:r>
      <w:r w:rsidRPr="004F6B4A">
        <w:rPr>
          <w:szCs w:val="18"/>
        </w:rPr>
        <w:t>Contact groups are clusters of providers that share the same point</w:t>
      </w:r>
      <w:r>
        <w:rPr>
          <w:szCs w:val="18"/>
        </w:rPr>
        <w:t xml:space="preserve"> </w:t>
      </w:r>
      <w:r w:rsidRPr="004F6B4A">
        <w:rPr>
          <w:szCs w:val="18"/>
        </w:rPr>
        <w:t>of</w:t>
      </w:r>
      <w:r>
        <w:rPr>
          <w:szCs w:val="18"/>
        </w:rPr>
        <w:t xml:space="preserve"> </w:t>
      </w:r>
      <w:r w:rsidRPr="004F6B4A">
        <w:rPr>
          <w:szCs w:val="18"/>
        </w:rPr>
        <w:t>contact. This</w:t>
      </w:r>
      <w:r>
        <w:rPr>
          <w:szCs w:val="18"/>
        </w:rPr>
        <w:t xml:space="preserve"> information </w:t>
      </w:r>
      <w:r w:rsidRPr="004F6B4A">
        <w:rPr>
          <w:szCs w:val="18"/>
        </w:rPr>
        <w:t>is used for data collection purposes and later during matching of HC and MPC events. An appropriate point</w:t>
      </w:r>
      <w:r>
        <w:rPr>
          <w:szCs w:val="18"/>
        </w:rPr>
        <w:t xml:space="preserve"> </w:t>
      </w:r>
      <w:r w:rsidRPr="004F6B4A">
        <w:rPr>
          <w:szCs w:val="18"/>
        </w:rPr>
        <w:t>of</w:t>
      </w:r>
      <w:r>
        <w:rPr>
          <w:szCs w:val="18"/>
        </w:rPr>
        <w:t xml:space="preserve"> </w:t>
      </w:r>
      <w:r w:rsidRPr="004F6B4A">
        <w:rPr>
          <w:szCs w:val="18"/>
        </w:rPr>
        <w:t xml:space="preserve">contact is identified and asked to </w:t>
      </w:r>
      <w:r w:rsidRPr="00DC0566">
        <w:rPr>
          <w:szCs w:val="18"/>
        </w:rPr>
        <w:t>respond</w:t>
      </w:r>
      <w:r w:rsidRPr="004F6B4A">
        <w:rPr>
          <w:szCs w:val="18"/>
        </w:rPr>
        <w:t xml:space="preserve"> for all patients and providers associated with </w:t>
      </w:r>
      <w:r>
        <w:rPr>
          <w:szCs w:val="18"/>
        </w:rPr>
        <w:t>a particular</w:t>
      </w:r>
      <w:r w:rsidRPr="004F6B4A">
        <w:rPr>
          <w:szCs w:val="18"/>
        </w:rPr>
        <w:t xml:space="preserve"> contact group. The contact group identifier is later used as a blocking variable in matching.</w:t>
      </w:r>
    </w:p>
  </w:footnote>
  <w:footnote w:id="2">
    <w:p w14:paraId="68213842" w14:textId="503277F7" w:rsidR="0075008A" w:rsidRDefault="0075008A" w:rsidP="00C90C6E">
      <w:pPr>
        <w:pStyle w:val="Source10"/>
      </w:pPr>
    </w:p>
  </w:footnote>
  <w:footnote w:id="3">
    <w:p w14:paraId="5446CC7D" w14:textId="3BC78C55" w:rsidR="0075008A" w:rsidRDefault="0075008A" w:rsidP="000558FE">
      <w:pPr>
        <w:pStyle w:val="FootnoteText"/>
      </w:pPr>
      <w:r w:rsidRPr="00A53FC4">
        <w:rPr>
          <w:rStyle w:val="FootnoteReference"/>
        </w:rPr>
        <w:footnoteRef/>
      </w:r>
      <w:r w:rsidRPr="00A53FC4">
        <w:t xml:space="preserve"> The GID is constructed during the MPC sample preparation but may change during data collection. For example, if two separate GIDs have the same POC, they may be combined or merged. </w:t>
      </w:r>
      <w:r w:rsidRPr="00E01732">
        <w:rPr>
          <w:szCs w:val="24"/>
        </w:rPr>
        <w:t>The GID often represents one provider or health care system, but may contain providers from multiple systems or group practices when the contact has access to the records</w:t>
      </w:r>
      <w:r>
        <w:rPr>
          <w:szCs w:val="24"/>
        </w:rPr>
        <w:t xml:space="preserve"> from other </w:t>
      </w:r>
      <w:r>
        <w:rPr>
          <w:szCs w:val="24"/>
        </w:rPr>
        <w:t>providers</w:t>
      </w:r>
      <w:r w:rsidRPr="00E01732">
        <w:rPr>
          <w:szCs w:val="24"/>
        </w:rPr>
        <w:t>.</w:t>
      </w:r>
      <w:r w:rsidRPr="00A53FC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80ADE" w14:textId="77777777" w:rsidR="0075008A" w:rsidRDefault="0075008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4A4B" w14:textId="77777777" w:rsidR="00432A4A" w:rsidRPr="00D028FE" w:rsidRDefault="00432A4A" w:rsidP="00D028F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5BD1" w14:textId="77777777" w:rsidR="0075008A" w:rsidRPr="00175588" w:rsidRDefault="0075008A" w:rsidP="00175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7CAC" w14:textId="77777777" w:rsidR="0075008A" w:rsidRDefault="007500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93D3D" w14:textId="77777777" w:rsidR="0075008A" w:rsidRDefault="007500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0661" w14:textId="77777777" w:rsidR="0075008A" w:rsidRDefault="0075008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94DD" w14:textId="77777777" w:rsidR="0075008A" w:rsidRDefault="0075008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4672" w14:textId="77777777" w:rsidR="0075008A" w:rsidRDefault="0075008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5E7E" w14:textId="77777777" w:rsidR="0075008A" w:rsidRDefault="0075008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2DBF" w14:textId="77777777" w:rsidR="0075008A" w:rsidRDefault="0075008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72" w:rightFromText="72" w:horzAnchor="page" w:tblpX="451" w:tblpY="1"/>
      <w:tblOverlap w:val="never"/>
      <w:tblW w:w="0" w:type="auto"/>
      <w:tblLayout w:type="fixed"/>
      <w:tblCellMar>
        <w:left w:w="0" w:type="dxa"/>
        <w:right w:w="0" w:type="dxa"/>
      </w:tblCellMar>
      <w:tblLook w:val="01E0" w:firstRow="1" w:lastRow="1" w:firstColumn="1" w:lastColumn="1" w:noHBand="0" w:noVBand="0"/>
    </w:tblPr>
    <w:tblGrid>
      <w:gridCol w:w="504"/>
    </w:tblGrid>
    <w:tr w:rsidR="00432A4A" w:rsidRPr="00E1788E" w14:paraId="31C4BB32" w14:textId="77777777" w:rsidTr="005C65EE">
      <w:trPr>
        <w:cantSplit/>
        <w:trHeight w:val="9360"/>
      </w:trPr>
      <w:tc>
        <w:tcPr>
          <w:tcW w:w="504" w:type="dxa"/>
          <w:tcMar>
            <w:left w:w="0" w:type="dxa"/>
            <w:right w:w="0" w:type="dxa"/>
          </w:tcMar>
          <w:textDirection w:val="tbRl"/>
        </w:tcPr>
        <w:p w14:paraId="25AA63A2" w14:textId="77777777" w:rsidR="00432A4A" w:rsidRPr="00E517C1" w:rsidRDefault="00432A4A" w:rsidP="00432A4A">
          <w:pPr>
            <w:pStyle w:val="Footer"/>
          </w:pPr>
          <w:r w:rsidRPr="00E517C1">
            <w:t xml:space="preserve">Page </w:t>
          </w:r>
          <w:r w:rsidRPr="00E517C1">
            <w:fldChar w:fldCharType="begin"/>
          </w:r>
          <w:r w:rsidRPr="00E517C1">
            <w:instrText xml:space="preserve"> PAGE   \* MERGEFORMAT </w:instrText>
          </w:r>
          <w:r w:rsidRPr="00E517C1">
            <w:fldChar w:fldCharType="separate"/>
          </w:r>
          <w:r>
            <w:rPr>
              <w:noProof/>
            </w:rPr>
            <w:t>52</w:t>
          </w:r>
          <w:r w:rsidRPr="00E517C1">
            <w:fldChar w:fldCharType="end"/>
          </w:r>
          <w:r w:rsidRPr="00E517C1">
            <w:t xml:space="preserve"> of </w:t>
          </w:r>
          <w:r>
            <w:rPr>
              <w:noProof/>
            </w:rPr>
            <w:t>150</w:t>
          </w:r>
        </w:p>
        <w:p w14:paraId="14BD0064" w14:textId="77777777" w:rsidR="00432A4A" w:rsidRPr="006B316B" w:rsidRDefault="00432A4A" w:rsidP="00432A4A">
          <w:pPr>
            <w:pStyle w:val="Footer"/>
          </w:pPr>
        </w:p>
      </w:tc>
    </w:tr>
  </w:tbl>
  <w:p w14:paraId="3D680087" w14:textId="77777777" w:rsidR="00432A4A" w:rsidRDefault="00432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7B2F3D4"/>
    <w:lvl w:ilvl="0">
      <w:start w:val="1"/>
      <w:numFmt w:val="upperLetter"/>
      <w:pStyle w:val="Heading2LetterList"/>
      <w:lvlText w:val="%1."/>
      <w:lvlJc w:val="left"/>
      <w:pPr>
        <w:tabs>
          <w:tab w:val="num" w:pos="360"/>
        </w:tabs>
        <w:ind w:left="360" w:hanging="360"/>
      </w:pPr>
    </w:lvl>
  </w:abstractNum>
  <w:abstractNum w:abstractNumId="1" w15:restartNumberingAfterBreak="0">
    <w:nsid w:val="FFFFFFFE"/>
    <w:multiLevelType w:val="singleLevel"/>
    <w:tmpl w:val="3A9CC0C2"/>
    <w:lvl w:ilvl="0">
      <w:numFmt w:val="bullet"/>
      <w:pStyle w:val="aboxbulletlast"/>
      <w:lvlText w:val="*"/>
      <w:lvlJc w:val="left"/>
    </w:lvl>
  </w:abstractNum>
  <w:abstractNum w:abstractNumId="2" w15:restartNumberingAfterBreak="0">
    <w:nsid w:val="010C5F0F"/>
    <w:multiLevelType w:val="hybridMultilevel"/>
    <w:tmpl w:val="E20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D407C"/>
    <w:multiLevelType w:val="hybridMultilevel"/>
    <w:tmpl w:val="1CEC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421CD6"/>
    <w:multiLevelType w:val="multilevel"/>
    <w:tmpl w:val="AA5AA9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43E7F98"/>
    <w:multiLevelType w:val="hybridMultilevel"/>
    <w:tmpl w:val="C3BCB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9622FE"/>
    <w:multiLevelType w:val="hybridMultilevel"/>
    <w:tmpl w:val="622A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C11456"/>
    <w:multiLevelType w:val="hybridMultilevel"/>
    <w:tmpl w:val="AC945850"/>
    <w:lvl w:ilvl="0" w:tplc="4A54044E">
      <w:start w:val="1"/>
      <w:numFmt w:val="decimal"/>
      <w:lvlText w:val="%1."/>
      <w:lvlJc w:val="left"/>
      <w:pPr>
        <w:ind w:left="720" w:hanging="360"/>
      </w:pPr>
      <w:rPr>
        <w:rFonts w:ascii="Calibri" w:eastAsiaTheme="minorHAnsi" w:hAnsi="Calibri" w:cs="Calibr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2E5BCC"/>
    <w:multiLevelType w:val="hybridMultilevel"/>
    <w:tmpl w:val="C66CB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6E062DA"/>
    <w:multiLevelType w:val="hybridMultilevel"/>
    <w:tmpl w:val="D4F8E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7C3834"/>
    <w:multiLevelType w:val="hybridMultilevel"/>
    <w:tmpl w:val="5DB67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9257AAD"/>
    <w:multiLevelType w:val="hybridMultilevel"/>
    <w:tmpl w:val="D8BE9FB2"/>
    <w:lvl w:ilvl="0" w:tplc="E35AA0A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930F5A"/>
    <w:multiLevelType w:val="hybridMultilevel"/>
    <w:tmpl w:val="DD8E0F70"/>
    <w:lvl w:ilvl="0" w:tplc="9FA65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762AEB"/>
    <w:multiLevelType w:val="hybridMultilevel"/>
    <w:tmpl w:val="7B32892A"/>
    <w:lvl w:ilvl="0" w:tplc="308CE4E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5E7C2A"/>
    <w:multiLevelType w:val="hybridMultilevel"/>
    <w:tmpl w:val="362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F77528"/>
    <w:multiLevelType w:val="hybridMultilevel"/>
    <w:tmpl w:val="6D98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7F3725"/>
    <w:multiLevelType w:val="hybridMultilevel"/>
    <w:tmpl w:val="7E6EDC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105423A5"/>
    <w:multiLevelType w:val="hybridMultilevel"/>
    <w:tmpl w:val="51629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7D38DE"/>
    <w:multiLevelType w:val="hybridMultilevel"/>
    <w:tmpl w:val="EA567C3C"/>
    <w:lvl w:ilvl="0" w:tplc="B4746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603EB9"/>
    <w:multiLevelType w:val="hybridMultilevel"/>
    <w:tmpl w:val="319E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B83023"/>
    <w:multiLevelType w:val="hybridMultilevel"/>
    <w:tmpl w:val="E452CAE2"/>
    <w:lvl w:ilvl="0" w:tplc="B5FCF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4261A37"/>
    <w:multiLevelType w:val="hybridMultilevel"/>
    <w:tmpl w:val="E776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378AC"/>
    <w:multiLevelType w:val="hybridMultilevel"/>
    <w:tmpl w:val="FC8C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1D0773"/>
    <w:multiLevelType w:val="multilevel"/>
    <w:tmpl w:val="1902DCC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16877C4A"/>
    <w:multiLevelType w:val="singleLevel"/>
    <w:tmpl w:val="4F3409A2"/>
    <w:lvl w:ilvl="0">
      <w:start w:val="1"/>
      <w:numFmt w:val="bullet"/>
      <w:lvlText w:val=""/>
      <w:lvlJc w:val="left"/>
      <w:pPr>
        <w:ind w:left="1350" w:hanging="360"/>
      </w:pPr>
      <w:rPr>
        <w:rFonts w:ascii="Symbol" w:hAnsi="Symbol" w:hint="default"/>
        <w:sz w:val="24"/>
      </w:rPr>
    </w:lvl>
  </w:abstractNum>
  <w:abstractNum w:abstractNumId="25" w15:restartNumberingAfterBreak="0">
    <w:nsid w:val="17467D53"/>
    <w:multiLevelType w:val="hybridMultilevel"/>
    <w:tmpl w:val="B8508A3E"/>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FD50FD"/>
    <w:multiLevelType w:val="hybridMultilevel"/>
    <w:tmpl w:val="6E8A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EA5CE0"/>
    <w:multiLevelType w:val="multilevel"/>
    <w:tmpl w:val="C7BC144E"/>
    <w:lvl w:ilvl="0">
      <w:start w:val="1"/>
      <w:numFmt w:val="decimal"/>
      <w:pStyle w:val="Heading1"/>
      <w:suff w:val="nothing"/>
      <w:lvlText w:val="%1.  "/>
      <w:lvlJc w:val="left"/>
      <w:pPr>
        <w:ind w:left="0" w:firstLine="0"/>
      </w:pPr>
      <w:rPr>
        <w:rFonts w:hint="default"/>
      </w:rPr>
    </w:lvl>
    <w:lvl w:ilvl="1">
      <w:start w:val="1"/>
      <w:numFmt w:val="decimal"/>
      <w:pStyle w:val="Heading2"/>
      <w:lvlText w:val="%1.%2"/>
      <w:lvlJc w:val="left"/>
      <w:pPr>
        <w:tabs>
          <w:tab w:val="num" w:pos="936"/>
        </w:tabs>
        <w:ind w:left="936" w:hanging="936"/>
      </w:pPr>
      <w:rPr>
        <w:rFonts w:hint="default"/>
      </w:rPr>
    </w:lvl>
    <w:lvl w:ilvl="2">
      <w:start w:val="1"/>
      <w:numFmt w:val="decimal"/>
      <w:pStyle w:val="Heading3"/>
      <w:lvlText w:val="%1.%2.%3"/>
      <w:lvlJc w:val="left"/>
      <w:pPr>
        <w:tabs>
          <w:tab w:val="num" w:pos="8856"/>
        </w:tabs>
        <w:ind w:left="8856" w:hanging="936"/>
      </w:pPr>
      <w:rPr>
        <w:rFonts w:ascii="Arial" w:hAnsi="Arial" w:cs="Arial"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1B665E1C"/>
    <w:multiLevelType w:val="multilevel"/>
    <w:tmpl w:val="A952244C"/>
    <w:styleLink w:val="NormalNumbered"/>
    <w:lvl w:ilvl="0">
      <w:start w:val="1"/>
      <w:numFmt w:val="decimal"/>
      <w:lvlText w:val="%1."/>
      <w:lvlJc w:val="left"/>
      <w:pPr>
        <w:tabs>
          <w:tab w:val="num" w:pos="720"/>
        </w:tabs>
        <w:ind w:left="720" w:hanging="360"/>
      </w:pPr>
      <w:rP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1BB700AF"/>
    <w:multiLevelType w:val="hybridMultilevel"/>
    <w:tmpl w:val="5DAE51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DA02FA3"/>
    <w:multiLevelType w:val="hybridMultilevel"/>
    <w:tmpl w:val="5906989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1E9147C5"/>
    <w:multiLevelType w:val="hybridMultilevel"/>
    <w:tmpl w:val="0FFA3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ED59FD"/>
    <w:multiLevelType w:val="hybridMultilevel"/>
    <w:tmpl w:val="5AC22C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185286F"/>
    <w:multiLevelType w:val="hybridMultilevel"/>
    <w:tmpl w:val="DAF0A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3867749"/>
    <w:multiLevelType w:val="hybridMultilevel"/>
    <w:tmpl w:val="E736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40460E3"/>
    <w:multiLevelType w:val="hybridMultilevel"/>
    <w:tmpl w:val="8558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631D3E"/>
    <w:multiLevelType w:val="hybridMultilevel"/>
    <w:tmpl w:val="28B29DC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27477C2B"/>
    <w:multiLevelType w:val="hybridMultilevel"/>
    <w:tmpl w:val="C6E2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8644EB5"/>
    <w:multiLevelType w:val="hybridMultilevel"/>
    <w:tmpl w:val="54886316"/>
    <w:lvl w:ilvl="0" w:tplc="D72E9F50">
      <w:start w:val="1"/>
      <w:numFmt w:val="decimal"/>
      <w:pStyle w:val="Norm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9D925EB"/>
    <w:multiLevelType w:val="hybridMultilevel"/>
    <w:tmpl w:val="6DD2ABEC"/>
    <w:lvl w:ilvl="0" w:tplc="6E3A2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A605C6C"/>
    <w:multiLevelType w:val="hybridMultilevel"/>
    <w:tmpl w:val="A6D84260"/>
    <w:lvl w:ilvl="0" w:tplc="E35AA0A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290546"/>
    <w:multiLevelType w:val="hybridMultilevel"/>
    <w:tmpl w:val="319E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4D556C"/>
    <w:multiLevelType w:val="hybridMultilevel"/>
    <w:tmpl w:val="50900DC8"/>
    <w:lvl w:ilvl="0" w:tplc="FBBE4726">
      <w:start w:val="1"/>
      <w:numFmt w:val="decimal"/>
      <w:lvlText w:val="%1)"/>
      <w:lvlJc w:val="left"/>
      <w:pPr>
        <w:ind w:left="1080" w:hanging="360"/>
      </w:pPr>
      <w:rPr>
        <w:rFonts w:hint="default"/>
        <w:dstrike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BC90060"/>
    <w:multiLevelType w:val="multilevel"/>
    <w:tmpl w:val="AE30EE6E"/>
    <w:styleLink w:val="NormalBulleted"/>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566CE5"/>
    <w:multiLevelType w:val="hybridMultilevel"/>
    <w:tmpl w:val="84F4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DE14A11"/>
    <w:multiLevelType w:val="hybridMultilevel"/>
    <w:tmpl w:val="F3EAE7D0"/>
    <w:lvl w:ilvl="0" w:tplc="170A1BDE">
      <w:start w:val="1"/>
      <w:numFmt w:val="decimal"/>
      <w:pStyle w:val="Heading2NumberedList"/>
      <w:lvlText w:val="%1."/>
      <w:lvlJc w:val="left"/>
      <w:pPr>
        <w:tabs>
          <w:tab w:val="num" w:pos="792"/>
        </w:tabs>
        <w:ind w:left="792"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2E2A33EC"/>
    <w:multiLevelType w:val="hybridMultilevel"/>
    <w:tmpl w:val="D6088A06"/>
    <w:lvl w:ilvl="0" w:tplc="E7CC170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15:restartNumberingAfterBreak="0">
    <w:nsid w:val="302E122E"/>
    <w:multiLevelType w:val="hybridMultilevel"/>
    <w:tmpl w:val="43AA4CAE"/>
    <w:lvl w:ilvl="0" w:tplc="EF263C5E">
      <w:start w:val="1"/>
      <w:numFmt w:val="bullet"/>
      <w:pStyle w:val="Heading2BulletTex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8" w15:restartNumberingAfterBreak="0">
    <w:nsid w:val="30E924CB"/>
    <w:multiLevelType w:val="hybridMultilevel"/>
    <w:tmpl w:val="818A272E"/>
    <w:lvl w:ilvl="0" w:tplc="2AAC547A">
      <w:start w:val="1"/>
      <w:numFmt w:val="bullet"/>
      <w:pStyle w:val="Norm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1025103"/>
    <w:multiLevelType w:val="hybridMultilevel"/>
    <w:tmpl w:val="2C3A0BD8"/>
    <w:lvl w:ilvl="0" w:tplc="9BB87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15D0AC4"/>
    <w:multiLevelType w:val="multilevel"/>
    <w:tmpl w:val="18AE0DDA"/>
    <w:lvl w:ilvl="0">
      <w:start w:val="1"/>
      <w:numFmt w:val="bullet"/>
      <w:lvlText w:val=""/>
      <w:lvlJc w:val="left"/>
      <w:pPr>
        <w:ind w:left="432" w:hanging="216"/>
      </w:pPr>
      <w:rPr>
        <w:rFonts w:ascii="Wingdings" w:hAnsi="Wingdings" w:hint="default"/>
      </w:rPr>
    </w:lvl>
    <w:lvl w:ilvl="1">
      <w:start w:val="1"/>
      <w:numFmt w:val="bullet"/>
      <w:pStyle w:val="table-bullet2nd"/>
      <w:lvlText w:val="–"/>
      <w:lvlJc w:val="left"/>
      <w:pPr>
        <w:ind w:left="648" w:hanging="216"/>
      </w:pPr>
      <w:rPr>
        <w:rFonts w:ascii="Times New Roman" w:hAnsi="Times New Roman" w:cs="Times New Roman"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51" w15:restartNumberingAfterBreak="0">
    <w:nsid w:val="33D06191"/>
    <w:multiLevelType w:val="singleLevel"/>
    <w:tmpl w:val="A83C9E9C"/>
    <w:lvl w:ilvl="0">
      <w:start w:val="1997"/>
      <w:numFmt w:val="bullet"/>
      <w:lvlText w:val="-"/>
      <w:lvlJc w:val="left"/>
      <w:pPr>
        <w:tabs>
          <w:tab w:val="num" w:pos="1800"/>
        </w:tabs>
        <w:ind w:left="1800" w:hanging="360"/>
      </w:pPr>
      <w:rPr>
        <w:rFonts w:hint="default"/>
      </w:rPr>
    </w:lvl>
  </w:abstractNum>
  <w:abstractNum w:abstractNumId="52" w15:restartNumberingAfterBreak="0">
    <w:nsid w:val="382771C4"/>
    <w:multiLevelType w:val="multilevel"/>
    <w:tmpl w:val="9C3C3202"/>
    <w:lvl w:ilvl="0">
      <w:start w:val="1"/>
      <w:numFmt w:val="bullet"/>
      <w:pStyle w:val="table-bulletLM"/>
      <w:lvlText w:val=""/>
      <w:lvlJc w:val="left"/>
      <w:pPr>
        <w:ind w:left="216" w:hanging="216"/>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39134BC4"/>
    <w:multiLevelType w:val="hybridMultilevel"/>
    <w:tmpl w:val="C526D3B2"/>
    <w:lvl w:ilvl="0" w:tplc="04090003">
      <w:start w:val="1"/>
      <w:numFmt w:val="bullet"/>
      <w:lvlText w:val="–"/>
      <w:lvlJc w:val="left"/>
      <w:pPr>
        <w:tabs>
          <w:tab w:val="num" w:pos="1800"/>
        </w:tabs>
        <w:ind w:left="1800" w:hanging="360"/>
      </w:pPr>
      <w:rPr>
        <w:rFonts w:ascii="Arial" w:hAnsi="Arial" w:hint="default"/>
        <w:color w:val="000000"/>
        <w:sz w:val="22"/>
      </w:rPr>
    </w:lvl>
    <w:lvl w:ilvl="1" w:tplc="04090011">
      <w:start w:val="1"/>
      <w:numFmt w:val="decimal"/>
      <w:lvlText w:val="%2)"/>
      <w:lvlJc w:val="left"/>
      <w:pPr>
        <w:tabs>
          <w:tab w:val="num" w:pos="2160"/>
        </w:tabs>
        <w:ind w:left="2160" w:hanging="360"/>
      </w:pPr>
      <w:rPr>
        <w:rFonts w:hint="default"/>
        <w:b w:val="0"/>
        <w:i w:val="0"/>
        <w:color w:val="000000"/>
      </w:rPr>
    </w:lvl>
    <w:lvl w:ilvl="2" w:tplc="04090005">
      <w:start w:val="1"/>
      <w:numFmt w:val="bullet"/>
      <w:lvlText w:val=""/>
      <w:lvlJc w:val="left"/>
      <w:pPr>
        <w:tabs>
          <w:tab w:val="num" w:pos="2880"/>
        </w:tabs>
        <w:ind w:left="2880" w:hanging="360"/>
      </w:pPr>
      <w:rPr>
        <w:rFonts w:ascii="Symbol" w:hAnsi="Symbol" w:hint="default"/>
        <w:color w:val="000000"/>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3A2B4054"/>
    <w:multiLevelType w:val="hybridMultilevel"/>
    <w:tmpl w:val="31EEDCA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5" w15:restartNumberingAfterBreak="0">
    <w:nsid w:val="3B6730B9"/>
    <w:multiLevelType w:val="multilevel"/>
    <w:tmpl w:val="4F7A5FFC"/>
    <w:styleLink w:val="Format4508"/>
    <w:lvl w:ilvl="0">
      <w:start w:val="1"/>
      <w:numFmt w:val="decimal"/>
      <w:lvlText w:val="%1."/>
      <w:lvlJc w:val="left"/>
      <w:pPr>
        <w:ind w:left="432" w:hanging="432"/>
      </w:pPr>
      <w:rPr>
        <w:rFonts w:ascii="Verdana" w:hAnsi="Verdana" w:hint="default"/>
        <w:b/>
        <w:i w:val="0"/>
        <w:sz w:val="26"/>
      </w:rPr>
    </w:lvl>
    <w:lvl w:ilvl="1">
      <w:start w:val="1"/>
      <w:numFmt w:val="decimal"/>
      <w:lvlText w:val="%1.%2"/>
      <w:lvlJc w:val="left"/>
      <w:pPr>
        <w:ind w:left="720" w:hanging="720"/>
      </w:pPr>
      <w:rPr>
        <w:rFonts w:ascii="Verdana" w:hAnsi="Verdana" w:hint="default"/>
        <w:b/>
        <w:i w:val="0"/>
        <w:sz w:val="24"/>
      </w:rPr>
    </w:lvl>
    <w:lvl w:ilvl="2">
      <w:start w:val="1"/>
      <w:numFmt w:val="decimal"/>
      <w:lvlText w:val="%1.%2.%3"/>
      <w:lvlJc w:val="left"/>
      <w:pPr>
        <w:ind w:left="864" w:hanging="864"/>
      </w:pPr>
      <w:rPr>
        <w:rFonts w:ascii="Verdana" w:hAnsi="Verdana" w:hint="default"/>
        <w:b/>
        <w:i/>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3C205AD0"/>
    <w:multiLevelType w:val="hybridMultilevel"/>
    <w:tmpl w:val="E90E64DE"/>
    <w:lvl w:ilvl="0" w:tplc="AAE24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ED41EFB"/>
    <w:multiLevelType w:val="hybridMultilevel"/>
    <w:tmpl w:val="358232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AB3AB0"/>
    <w:multiLevelType w:val="hybridMultilevel"/>
    <w:tmpl w:val="BA7CA79E"/>
    <w:lvl w:ilvl="0" w:tplc="126CF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D02FAD"/>
    <w:multiLevelType w:val="hybridMultilevel"/>
    <w:tmpl w:val="8036F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3100253"/>
    <w:multiLevelType w:val="hybridMultilevel"/>
    <w:tmpl w:val="A41C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5CB4AA6"/>
    <w:multiLevelType w:val="hybridMultilevel"/>
    <w:tmpl w:val="CD7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9B64E1"/>
    <w:multiLevelType w:val="hybridMultilevel"/>
    <w:tmpl w:val="81EEF068"/>
    <w:lvl w:ilvl="0" w:tplc="535C6912">
      <w:start w:val="1"/>
      <w:numFmt w:val="bullet"/>
      <w:pStyle w:val="Sourc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250A3E"/>
    <w:multiLevelType w:val="hybridMultilevel"/>
    <w:tmpl w:val="B1F6CE4C"/>
    <w:lvl w:ilvl="0" w:tplc="5A62D57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4A491F66"/>
    <w:multiLevelType w:val="hybridMultilevel"/>
    <w:tmpl w:val="2368B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746F0"/>
    <w:multiLevelType w:val="hybridMultilevel"/>
    <w:tmpl w:val="EAE6063E"/>
    <w:lvl w:ilvl="0" w:tplc="04090003">
      <w:start w:val="1"/>
      <w:numFmt w:val="bullet"/>
      <w:lvlText w:val="–"/>
      <w:lvlJc w:val="left"/>
      <w:pPr>
        <w:tabs>
          <w:tab w:val="num" w:pos="1800"/>
        </w:tabs>
        <w:ind w:left="1800" w:hanging="360"/>
      </w:pPr>
      <w:rPr>
        <w:rFonts w:ascii="Arial" w:hAnsi="Arial" w:hint="default"/>
        <w:color w:val="000000"/>
        <w:sz w:val="22"/>
      </w:rPr>
    </w:lvl>
    <w:lvl w:ilvl="1" w:tplc="D29891EE">
      <w:start w:val="1"/>
      <w:numFmt w:val="bullet"/>
      <w:pStyle w:val="bullets-2ndlevel"/>
      <w:lvlText w:val="–"/>
      <w:lvlJc w:val="left"/>
      <w:pPr>
        <w:tabs>
          <w:tab w:val="num" w:pos="2160"/>
        </w:tabs>
        <w:ind w:left="2160" w:hanging="360"/>
      </w:pPr>
      <w:rPr>
        <w:rFonts w:ascii="Arial" w:hAnsi="Arial" w:hint="default"/>
        <w:b w:val="0"/>
        <w:i w:val="0"/>
        <w:color w:val="000000"/>
      </w:rPr>
    </w:lvl>
    <w:lvl w:ilvl="2" w:tplc="04090005">
      <w:start w:val="1"/>
      <w:numFmt w:val="bullet"/>
      <w:lvlText w:val=""/>
      <w:lvlJc w:val="left"/>
      <w:pPr>
        <w:tabs>
          <w:tab w:val="num" w:pos="2880"/>
        </w:tabs>
        <w:ind w:left="2880" w:hanging="360"/>
      </w:pPr>
      <w:rPr>
        <w:rFonts w:ascii="Symbol" w:hAnsi="Symbol" w:hint="default"/>
        <w:color w:val="000000"/>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6" w15:restartNumberingAfterBreak="0">
    <w:nsid w:val="4AEA3158"/>
    <w:multiLevelType w:val="hybridMultilevel"/>
    <w:tmpl w:val="3CC2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B9E2FD1"/>
    <w:multiLevelType w:val="hybridMultilevel"/>
    <w:tmpl w:val="37E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D2249DE"/>
    <w:multiLevelType w:val="hybridMultilevel"/>
    <w:tmpl w:val="C44C1158"/>
    <w:lvl w:ilvl="0" w:tplc="A296033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4DA15FCF"/>
    <w:multiLevelType w:val="singleLevel"/>
    <w:tmpl w:val="9B42BDEC"/>
    <w:lvl w:ilvl="0">
      <w:start w:val="2000"/>
      <w:numFmt w:val="bullet"/>
      <w:lvlText w:val="-"/>
      <w:lvlJc w:val="left"/>
      <w:pPr>
        <w:tabs>
          <w:tab w:val="num" w:pos="1080"/>
        </w:tabs>
        <w:ind w:left="1080" w:hanging="360"/>
      </w:pPr>
      <w:rPr>
        <w:rFonts w:hint="default"/>
      </w:rPr>
    </w:lvl>
  </w:abstractNum>
  <w:abstractNum w:abstractNumId="70" w15:restartNumberingAfterBreak="0">
    <w:nsid w:val="4ECF2134"/>
    <w:multiLevelType w:val="hybridMultilevel"/>
    <w:tmpl w:val="7258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F5E110E"/>
    <w:multiLevelType w:val="hybridMultilevel"/>
    <w:tmpl w:val="0CD2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1224EE7"/>
    <w:multiLevelType w:val="hybridMultilevel"/>
    <w:tmpl w:val="11787D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51A913AC"/>
    <w:multiLevelType w:val="multilevel"/>
    <w:tmpl w:val="E85EE1EC"/>
    <w:numStyleLink w:val="NumberedList"/>
  </w:abstractNum>
  <w:abstractNum w:abstractNumId="74" w15:restartNumberingAfterBreak="0">
    <w:nsid w:val="51F31E61"/>
    <w:multiLevelType w:val="hybridMultilevel"/>
    <w:tmpl w:val="70C4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21376D8"/>
    <w:multiLevelType w:val="hybridMultilevel"/>
    <w:tmpl w:val="680C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31C30A4"/>
    <w:multiLevelType w:val="hybridMultilevel"/>
    <w:tmpl w:val="EDF8CB46"/>
    <w:lvl w:ilvl="0" w:tplc="98E2B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35C254B"/>
    <w:multiLevelType w:val="hybridMultilevel"/>
    <w:tmpl w:val="DDB04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552354EF"/>
    <w:multiLevelType w:val="hybridMultilevel"/>
    <w:tmpl w:val="8EAE33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9" w15:restartNumberingAfterBreak="0">
    <w:nsid w:val="57937400"/>
    <w:multiLevelType w:val="hybridMultilevel"/>
    <w:tmpl w:val="37B0CCC4"/>
    <w:lvl w:ilvl="0" w:tplc="C2D8924A">
      <w:start w:val="1"/>
      <w:numFmt w:val="bullet"/>
      <w:pStyle w:val="NormalBold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83540EE"/>
    <w:multiLevelType w:val="hybridMultilevel"/>
    <w:tmpl w:val="8500EDA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1" w15:restartNumberingAfterBreak="0">
    <w:nsid w:val="58922403"/>
    <w:multiLevelType w:val="hybridMultilevel"/>
    <w:tmpl w:val="BCAED8F8"/>
    <w:lvl w:ilvl="0" w:tplc="FC4C8096">
      <w:start w:val="1"/>
      <w:numFmt w:val="bullet"/>
      <w:pStyle w:val="bullets-3rdlevel"/>
      <w:lvlText w:val=""/>
      <w:lvlJc w:val="left"/>
      <w:pPr>
        <w:ind w:left="1800" w:hanging="360"/>
      </w:pPr>
      <w:rPr>
        <w:rFonts w:ascii="Symbol" w:hAnsi="Symbol" w:cs="Symbol" w:hint="default"/>
        <w:color w:val="000000" w:themeColor="text1"/>
      </w:rPr>
    </w:lvl>
    <w:lvl w:ilvl="1" w:tplc="FFFFFFFF">
      <w:start w:val="1"/>
      <w:numFmt w:val="bullet"/>
      <w:lvlText w:val=""/>
      <w:lvlJc w:val="left"/>
      <w:pPr>
        <w:tabs>
          <w:tab w:val="num" w:pos="2160"/>
        </w:tabs>
        <w:ind w:left="2160" w:hanging="360"/>
      </w:pPr>
      <w:rPr>
        <w:rFonts w:ascii="Wingdings" w:hAnsi="Wingding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5A1775C4"/>
    <w:multiLevelType w:val="hybridMultilevel"/>
    <w:tmpl w:val="66D6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A2D3A9D"/>
    <w:multiLevelType w:val="hybridMultilevel"/>
    <w:tmpl w:val="9A728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5B650C2F"/>
    <w:multiLevelType w:val="hybridMultilevel"/>
    <w:tmpl w:val="57C0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B8A7B06"/>
    <w:multiLevelType w:val="hybridMultilevel"/>
    <w:tmpl w:val="2C3A0BD8"/>
    <w:lvl w:ilvl="0" w:tplc="9BB87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BCA23A5"/>
    <w:multiLevelType w:val="hybridMultilevel"/>
    <w:tmpl w:val="501CA424"/>
    <w:lvl w:ilvl="0" w:tplc="04090003">
      <w:start w:val="1"/>
      <w:numFmt w:val="bullet"/>
      <w:lvlText w:val="–"/>
      <w:lvlJc w:val="left"/>
      <w:pPr>
        <w:tabs>
          <w:tab w:val="num" w:pos="1800"/>
        </w:tabs>
        <w:ind w:left="1800" w:hanging="360"/>
      </w:pPr>
      <w:rPr>
        <w:rFonts w:ascii="Arial" w:hAnsi="Arial" w:hint="default"/>
        <w:color w:val="000000"/>
        <w:sz w:val="22"/>
      </w:rPr>
    </w:lvl>
    <w:lvl w:ilvl="1" w:tplc="5A62D57C">
      <w:start w:val="1"/>
      <w:numFmt w:val="lowerLetter"/>
      <w:lvlText w:val="%2)"/>
      <w:lvlJc w:val="left"/>
      <w:pPr>
        <w:tabs>
          <w:tab w:val="num" w:pos="2160"/>
        </w:tabs>
        <w:ind w:left="2160" w:hanging="360"/>
      </w:pPr>
      <w:rPr>
        <w:rFonts w:hint="default"/>
        <w:b w:val="0"/>
        <w:i w:val="0"/>
        <w:color w:val="000000"/>
      </w:rPr>
    </w:lvl>
    <w:lvl w:ilvl="2" w:tplc="04090005">
      <w:start w:val="1"/>
      <w:numFmt w:val="bullet"/>
      <w:lvlText w:val=""/>
      <w:lvlJc w:val="left"/>
      <w:pPr>
        <w:tabs>
          <w:tab w:val="num" w:pos="2880"/>
        </w:tabs>
        <w:ind w:left="2880" w:hanging="360"/>
      </w:pPr>
      <w:rPr>
        <w:rFonts w:ascii="Symbol" w:hAnsi="Symbol" w:hint="default"/>
        <w:color w:val="000000"/>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7" w15:restartNumberingAfterBreak="0">
    <w:nsid w:val="5C7A7C0A"/>
    <w:multiLevelType w:val="hybridMultilevel"/>
    <w:tmpl w:val="CDC2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E9669C9"/>
    <w:multiLevelType w:val="hybridMultilevel"/>
    <w:tmpl w:val="2EF0FA9E"/>
    <w:lvl w:ilvl="0" w:tplc="54943F1A">
      <w:start w:val="1"/>
      <w:numFmt w:val="bullet"/>
      <w:pStyle w:val="Tablebullet2nd"/>
      <w:lvlText w:val="–"/>
      <w:lvlJc w:val="left"/>
      <w:pPr>
        <w:ind w:left="936" w:hanging="360"/>
      </w:pPr>
      <w:rPr>
        <w:rFonts w:ascii="Arial" w:hAnsi="Arial" w:hint="default"/>
        <w:b w:val="0"/>
        <w:i w:val="0"/>
        <w:sz w:val="20"/>
        <w:szCs w:val="20"/>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9" w15:restartNumberingAfterBreak="0">
    <w:nsid w:val="5F811E90"/>
    <w:multiLevelType w:val="hybridMultilevel"/>
    <w:tmpl w:val="71043D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15:restartNumberingAfterBreak="0">
    <w:nsid w:val="607D5536"/>
    <w:multiLevelType w:val="singleLevel"/>
    <w:tmpl w:val="898C5558"/>
    <w:lvl w:ilvl="0">
      <w:start w:val="1"/>
      <w:numFmt w:val="bullet"/>
      <w:lvlText w:val="-"/>
      <w:lvlJc w:val="left"/>
      <w:pPr>
        <w:tabs>
          <w:tab w:val="num" w:pos="1080"/>
        </w:tabs>
        <w:ind w:left="1080" w:hanging="360"/>
      </w:pPr>
      <w:rPr>
        <w:rFonts w:hint="default"/>
      </w:rPr>
    </w:lvl>
  </w:abstractNum>
  <w:abstractNum w:abstractNumId="91" w15:restartNumberingAfterBreak="0">
    <w:nsid w:val="60D807E5"/>
    <w:multiLevelType w:val="hybridMultilevel"/>
    <w:tmpl w:val="D610A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1A7115A"/>
    <w:multiLevelType w:val="multilevel"/>
    <w:tmpl w:val="3322F258"/>
    <w:lvl w:ilvl="0">
      <w:start w:val="1"/>
      <w:numFmt w:val="decimal"/>
      <w:suff w:val="nothing"/>
      <w:lvlText w:val="%1"/>
      <w:lvlJc w:val="right"/>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b/>
        <w:bCs/>
        <w:i w:val="0"/>
        <w:sz w:val="28"/>
        <w:szCs w:val="28"/>
      </w:rPr>
    </w:lvl>
    <w:lvl w:ilvl="2">
      <w:start w:val="1"/>
      <w:numFmt w:val="decimal"/>
      <w:lvlText w:val="%1.%2.%3"/>
      <w:lvlJc w:val="left"/>
      <w:pPr>
        <w:tabs>
          <w:tab w:val="num" w:pos="720"/>
        </w:tabs>
        <w:ind w:left="720" w:hanging="720"/>
      </w:pPr>
      <w:rPr>
        <w:rFonts w:hint="default"/>
        <w:b/>
        <w:bCs/>
        <w:i w:val="0"/>
        <w:sz w:val="24"/>
        <w:szCs w:val="24"/>
      </w:rPr>
    </w:lvl>
    <w:lvl w:ilvl="3">
      <w:start w:val="1"/>
      <w:numFmt w:val="decimal"/>
      <w:lvlText w:val="%1.%2.%3.%4"/>
      <w:lvlJc w:val="left"/>
      <w:pPr>
        <w:ind w:left="1944" w:hanging="864"/>
      </w:pPr>
      <w:rPr>
        <w:rFonts w:hint="default"/>
        <w:b w:val="0"/>
        <w:i w:val="0"/>
        <w:sz w:val="20"/>
        <w:szCs w:val="20"/>
      </w:rPr>
    </w:lvl>
    <w:lvl w:ilvl="4">
      <w:start w:val="1"/>
      <w:numFmt w:val="decimal"/>
      <w:lvlText w:val="%1.%2.%3.%4.%5"/>
      <w:lvlJc w:val="left"/>
      <w:pPr>
        <w:ind w:left="2088" w:hanging="1008"/>
      </w:pPr>
      <w:rPr>
        <w:rFonts w:hint="default"/>
      </w:rPr>
    </w:lvl>
    <w:lvl w:ilvl="5">
      <w:start w:val="1"/>
      <w:numFmt w:val="decimal"/>
      <w:lvlText w:val="%1.%2.%3.%4.%5.%6"/>
      <w:lvlJc w:val="left"/>
      <w:pPr>
        <w:ind w:left="2232" w:hanging="1152"/>
      </w:pPr>
      <w:rPr>
        <w:rFonts w:hint="default"/>
      </w:rPr>
    </w:lvl>
    <w:lvl w:ilvl="6">
      <w:start w:val="1"/>
      <w:numFmt w:val="decimal"/>
      <w:lvlText w:val="%1.%2.%3.%4.%5.%6.%7"/>
      <w:lvlJc w:val="left"/>
      <w:pPr>
        <w:ind w:left="2376" w:hanging="1296"/>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664" w:hanging="1584"/>
      </w:pPr>
      <w:rPr>
        <w:rFonts w:hint="default"/>
      </w:rPr>
    </w:lvl>
  </w:abstractNum>
  <w:abstractNum w:abstractNumId="93" w15:restartNumberingAfterBreak="0">
    <w:nsid w:val="64B25181"/>
    <w:multiLevelType w:val="hybridMultilevel"/>
    <w:tmpl w:val="0240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06717"/>
    <w:multiLevelType w:val="hybridMultilevel"/>
    <w:tmpl w:val="70C4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54D76FB"/>
    <w:multiLevelType w:val="hybridMultilevel"/>
    <w:tmpl w:val="A33A6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658A2E0F"/>
    <w:multiLevelType w:val="hybridMultilevel"/>
    <w:tmpl w:val="31EEDCA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7" w15:restartNumberingAfterBreak="0">
    <w:nsid w:val="67F90A9E"/>
    <w:multiLevelType w:val="hybridMultilevel"/>
    <w:tmpl w:val="DD548928"/>
    <w:lvl w:ilvl="0" w:tplc="4D648A1C">
      <w:start w:val="1"/>
      <w:numFmt w:val="bullet"/>
      <w:pStyle w:val="a2colbul"/>
      <w:lvlText w:val="▪"/>
      <w:lvlJc w:val="left"/>
      <w:pPr>
        <w:ind w:left="720" w:hanging="360"/>
      </w:pPr>
      <w:rPr>
        <w:rFonts w:ascii="Tahoma" w:hAnsi="Tahoma" w:hint="default"/>
        <w:b w:val="0"/>
        <w:i w:val="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8EB5618"/>
    <w:multiLevelType w:val="hybridMultilevel"/>
    <w:tmpl w:val="60C0019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15:restartNumberingAfterBreak="0">
    <w:nsid w:val="69633DE7"/>
    <w:multiLevelType w:val="hybridMultilevel"/>
    <w:tmpl w:val="EFE4C048"/>
    <w:lvl w:ilvl="0" w:tplc="BBD69F96">
      <w:numFmt w:val="bullet"/>
      <w:lvlText w:val=""/>
      <w:lvlJc w:val="left"/>
      <w:pPr>
        <w:ind w:left="360" w:hanging="360"/>
      </w:pPr>
      <w:rPr>
        <w:rFonts w:ascii="Symbol" w:eastAsia="Calibr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0" w15:restartNumberingAfterBreak="0">
    <w:nsid w:val="69CC1408"/>
    <w:multiLevelType w:val="hybridMultilevel"/>
    <w:tmpl w:val="568003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A18604A"/>
    <w:multiLevelType w:val="hybridMultilevel"/>
    <w:tmpl w:val="69E62EFA"/>
    <w:lvl w:ilvl="0" w:tplc="3584933C">
      <w:start w:val="1"/>
      <w:numFmt w:val="bullet"/>
      <w:pStyle w:val="Heading4BulletTex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02" w15:restartNumberingAfterBreak="0">
    <w:nsid w:val="6A24363E"/>
    <w:multiLevelType w:val="hybridMultilevel"/>
    <w:tmpl w:val="7D44190C"/>
    <w:lvl w:ilvl="0" w:tplc="5C7A0F30">
      <w:start w:val="1"/>
      <w:numFmt w:val="bullet"/>
      <w:lvlText w:val="–"/>
      <w:lvlJc w:val="left"/>
      <w:pPr>
        <w:ind w:left="1800" w:hanging="360"/>
      </w:pPr>
      <w:rPr>
        <w:rFonts w:ascii="Arial" w:hAnsi="Arial" w:cs="Arial" w:hint="default"/>
        <w:b w:val="0"/>
        <w:i w:val="0"/>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3" w15:restartNumberingAfterBreak="0">
    <w:nsid w:val="6A8F4AED"/>
    <w:multiLevelType w:val="multilevel"/>
    <w:tmpl w:val="E85EE1EC"/>
    <w:styleLink w:val="NumberedList"/>
    <w:lvl w:ilvl="0">
      <w:start w:val="1"/>
      <w:numFmt w:val="decimal"/>
      <w:lvlText w:val="%1."/>
      <w:lvlJc w:val="left"/>
      <w:pPr>
        <w:tabs>
          <w:tab w:val="num" w:pos="720"/>
        </w:tabs>
        <w:ind w:left="720" w:hanging="360"/>
      </w:pPr>
      <w:rPr>
        <w:rFonts w:ascii="Times New Roman" w:hAnsi="Times New Roman"/>
        <w:bCs/>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6B92164B"/>
    <w:multiLevelType w:val="hybridMultilevel"/>
    <w:tmpl w:val="DFDE0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6BA607C2"/>
    <w:multiLevelType w:val="hybridMultilevel"/>
    <w:tmpl w:val="45E48FD6"/>
    <w:lvl w:ilvl="0" w:tplc="FA5655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15:restartNumberingAfterBreak="0">
    <w:nsid w:val="6C6B116B"/>
    <w:multiLevelType w:val="hybridMultilevel"/>
    <w:tmpl w:val="D256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D0655F8"/>
    <w:multiLevelType w:val="hybridMultilevel"/>
    <w:tmpl w:val="941A1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6DD8529E"/>
    <w:multiLevelType w:val="hybridMultilevel"/>
    <w:tmpl w:val="685275F4"/>
    <w:lvl w:ilvl="0" w:tplc="E468F52E">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9" w15:restartNumberingAfterBreak="0">
    <w:nsid w:val="711B6A5E"/>
    <w:multiLevelType w:val="hybridMultilevel"/>
    <w:tmpl w:val="384C278E"/>
    <w:lvl w:ilvl="0" w:tplc="ECD088B8">
      <w:start w:val="1"/>
      <w:numFmt w:val="bullet"/>
      <w:pStyle w:val="TablebulletLM"/>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1FE624E"/>
    <w:multiLevelType w:val="hybridMultilevel"/>
    <w:tmpl w:val="3FD894F8"/>
    <w:lvl w:ilvl="0" w:tplc="8FB45DD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2FE5139"/>
    <w:multiLevelType w:val="hybridMultilevel"/>
    <w:tmpl w:val="BC826334"/>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2" w15:restartNumberingAfterBreak="0">
    <w:nsid w:val="739861D9"/>
    <w:multiLevelType w:val="hybridMultilevel"/>
    <w:tmpl w:val="D548B31C"/>
    <w:lvl w:ilvl="0" w:tplc="60586E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3" w15:restartNumberingAfterBreak="0">
    <w:nsid w:val="742D4509"/>
    <w:multiLevelType w:val="hybridMultilevel"/>
    <w:tmpl w:val="42F64434"/>
    <w:lvl w:ilvl="0" w:tplc="183C23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6091110"/>
    <w:multiLevelType w:val="multilevel"/>
    <w:tmpl w:val="83A603CA"/>
    <w:styleLink w:val="Heading3BulletText"/>
    <w:lvl w:ilvl="0">
      <w:start w:val="1"/>
      <w:numFmt w:val="bullet"/>
      <w:lvlText w:val=""/>
      <w:lvlJc w:val="left"/>
      <w:pPr>
        <w:tabs>
          <w:tab w:val="num" w:pos="720"/>
        </w:tabs>
        <w:ind w:left="1800" w:hanging="360"/>
      </w:pPr>
      <w:rPr>
        <w:rFonts w:ascii="Symbol" w:hAnsi="Symbol"/>
        <w:sz w:val="22"/>
      </w:rPr>
    </w:lvl>
    <w:lvl w:ilvl="1">
      <w:start w:val="1"/>
      <w:numFmt w:val="bullet"/>
      <w:lvlText w:val="o"/>
      <w:lvlJc w:val="left"/>
      <w:pPr>
        <w:tabs>
          <w:tab w:val="num" w:pos="1440"/>
        </w:tabs>
        <w:ind w:left="2520" w:hanging="360"/>
      </w:pPr>
      <w:rPr>
        <w:rFonts w:ascii="Courier New" w:hAnsi="Courier New" w:cs="Courier New" w:hint="default"/>
      </w:rPr>
    </w:lvl>
    <w:lvl w:ilvl="2">
      <w:start w:val="1"/>
      <w:numFmt w:val="bullet"/>
      <w:lvlText w:val=""/>
      <w:lvlJc w:val="left"/>
      <w:pPr>
        <w:tabs>
          <w:tab w:val="num" w:pos="2160"/>
        </w:tabs>
        <w:ind w:left="3240" w:hanging="360"/>
      </w:pPr>
      <w:rPr>
        <w:rFonts w:ascii="Wingdings" w:hAnsi="Wingdings" w:hint="default"/>
      </w:rPr>
    </w:lvl>
    <w:lvl w:ilvl="3">
      <w:start w:val="1"/>
      <w:numFmt w:val="bullet"/>
      <w:lvlText w:val=""/>
      <w:lvlJc w:val="left"/>
      <w:pPr>
        <w:tabs>
          <w:tab w:val="num" w:pos="2880"/>
        </w:tabs>
        <w:ind w:left="396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763C2E6C"/>
    <w:multiLevelType w:val="hybridMultilevel"/>
    <w:tmpl w:val="55B69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68B7B36"/>
    <w:multiLevelType w:val="multilevel"/>
    <w:tmpl w:val="1390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9F78A9"/>
    <w:multiLevelType w:val="multilevel"/>
    <w:tmpl w:val="079C24CC"/>
    <w:lvl w:ilvl="0">
      <w:start w:val="1"/>
      <w:numFmt w:val="bullet"/>
      <w:pStyle w:val="bullets"/>
      <w:lvlText w:val="•"/>
      <w:lvlJc w:val="left"/>
      <w:pPr>
        <w:ind w:left="720" w:hanging="360"/>
      </w:pPr>
      <w:rPr>
        <w:rFonts w:ascii="Arial" w:hAnsi="Arial" w:hint="default"/>
        <w:sz w:val="22"/>
        <w:szCs w:val="22"/>
        <w:lang w:val="ar-SA" w:eastAsia="ar-SA" w:bidi="ar-SA"/>
      </w:rPr>
    </w:lvl>
    <w:lvl w:ilvl="1">
      <w:start w:val="1"/>
      <w:numFmt w:val="bullet"/>
      <w:pStyle w:val="bullets2nd-level"/>
      <w:lvlText w:val="–"/>
      <w:lvlJc w:val="left"/>
      <w:pPr>
        <w:ind w:left="1080" w:hanging="360"/>
      </w:pPr>
      <w:rPr>
        <w:rFonts w:ascii="Times New Roman" w:hAnsi="Times New Roman" w:cs="Times New Roman" w:hint="default"/>
      </w:rPr>
    </w:lvl>
    <w:lvl w:ilvl="2">
      <w:start w:val="1"/>
      <w:numFmt w:val="bullet"/>
      <w:pStyle w:val="bullets3rd-level"/>
      <w:lvlText w:val="▪"/>
      <w:lvlJc w:val="left"/>
      <w:pPr>
        <w:ind w:left="1440" w:hanging="360"/>
      </w:pPr>
      <w:rPr>
        <w:rFonts w:ascii="Arial" w:eastAsia="Arial Unicode MS" w:hAnsi="Arial" w:cs="Arial" w:hint="default"/>
        <w:b w:val="0"/>
        <w:bCs w:val="0"/>
        <w:i w:val="0"/>
        <w:iCs w:val="0"/>
        <w:caps w:val="0"/>
        <w:smallCaps w:val="0"/>
        <w:strike w:val="0"/>
        <w:dstrike w:val="0"/>
        <w:outline w:val="0"/>
        <w:shadow w:val="0"/>
        <w:emboss w:val="0"/>
        <w:imprint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 w15:restartNumberingAfterBreak="0">
    <w:nsid w:val="77FE0F4D"/>
    <w:multiLevelType w:val="hybridMultilevel"/>
    <w:tmpl w:val="A3F47808"/>
    <w:lvl w:ilvl="0" w:tplc="788CF1E8">
      <w:start w:val="1"/>
      <w:numFmt w:val="bullet"/>
      <w:lvlText w:val="»"/>
      <w:lvlJc w:val="left"/>
      <w:pPr>
        <w:ind w:left="2070" w:hanging="360"/>
      </w:pPr>
      <w:rPr>
        <w:rFonts w:ascii="Calibri" w:hAnsi="Calibri" w:hint="default"/>
      </w:rPr>
    </w:lvl>
    <w:lvl w:ilvl="1" w:tplc="AD2293E4">
      <w:start w:val="1"/>
      <w:numFmt w:val="bullet"/>
      <w:pStyle w:val="textbox-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8605D4E"/>
    <w:multiLevelType w:val="hybridMultilevel"/>
    <w:tmpl w:val="8EF25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7976024D"/>
    <w:multiLevelType w:val="hybridMultilevel"/>
    <w:tmpl w:val="E320FD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1" w15:restartNumberingAfterBreak="0">
    <w:nsid w:val="7BBA51DD"/>
    <w:multiLevelType w:val="hybridMultilevel"/>
    <w:tmpl w:val="A6548F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2" w15:restartNumberingAfterBreak="0">
    <w:nsid w:val="7E512F01"/>
    <w:multiLevelType w:val="singleLevel"/>
    <w:tmpl w:val="E61EB220"/>
    <w:lvl w:ilvl="0">
      <w:start w:val="1997"/>
      <w:numFmt w:val="bullet"/>
      <w:lvlText w:val="-"/>
      <w:lvlJc w:val="left"/>
      <w:pPr>
        <w:tabs>
          <w:tab w:val="num" w:pos="1080"/>
        </w:tabs>
        <w:ind w:left="1080" w:hanging="360"/>
      </w:pPr>
      <w:rPr>
        <w:rFonts w:hint="default"/>
      </w:rPr>
    </w:lvl>
  </w:abstractNum>
  <w:abstractNum w:abstractNumId="123" w15:restartNumberingAfterBreak="0">
    <w:nsid w:val="7E5C5D0F"/>
    <w:multiLevelType w:val="hybridMultilevel"/>
    <w:tmpl w:val="BED43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1519795">
    <w:abstractNumId w:val="48"/>
  </w:num>
  <w:num w:numId="2" w16cid:durableId="2025400775">
    <w:abstractNumId w:val="47"/>
  </w:num>
  <w:num w:numId="3" w16cid:durableId="1753355832">
    <w:abstractNumId w:val="0"/>
  </w:num>
  <w:num w:numId="4" w16cid:durableId="2136218602">
    <w:abstractNumId w:val="45"/>
  </w:num>
  <w:num w:numId="5" w16cid:durableId="1834759079">
    <w:abstractNumId w:val="114"/>
  </w:num>
  <w:num w:numId="6" w16cid:durableId="952859650">
    <w:abstractNumId w:val="101"/>
  </w:num>
  <w:num w:numId="7" w16cid:durableId="368796307">
    <w:abstractNumId w:val="23"/>
  </w:num>
  <w:num w:numId="8" w16cid:durableId="1105879837">
    <w:abstractNumId w:val="79"/>
  </w:num>
  <w:num w:numId="9" w16cid:durableId="2057268332">
    <w:abstractNumId w:val="43"/>
  </w:num>
  <w:num w:numId="10" w16cid:durableId="2087607253">
    <w:abstractNumId w:val="28"/>
  </w:num>
  <w:num w:numId="11" w16cid:durableId="461775970">
    <w:abstractNumId w:val="38"/>
  </w:num>
  <w:num w:numId="12" w16cid:durableId="1177228263">
    <w:abstractNumId w:val="103"/>
  </w:num>
  <w:num w:numId="13" w16cid:durableId="1134758191">
    <w:abstractNumId w:val="4"/>
  </w:num>
  <w:num w:numId="14" w16cid:durableId="182401249">
    <w:abstractNumId w:val="82"/>
  </w:num>
  <w:num w:numId="15" w16cid:durableId="1522360402">
    <w:abstractNumId w:val="65"/>
  </w:num>
  <w:num w:numId="16" w16cid:durableId="1293443613">
    <w:abstractNumId w:val="97"/>
  </w:num>
  <w:num w:numId="17" w16cid:durableId="1205754926">
    <w:abstractNumId w:val="24"/>
  </w:num>
  <w:num w:numId="18" w16cid:durableId="511458555">
    <w:abstractNumId w:val="40"/>
  </w:num>
  <w:num w:numId="19" w16cid:durableId="46852156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04914468">
    <w:abstractNumId w:val="110"/>
  </w:num>
  <w:num w:numId="21" w16cid:durableId="9918033">
    <w:abstractNumId w:val="109"/>
  </w:num>
  <w:num w:numId="22" w16cid:durableId="1493717551">
    <w:abstractNumId w:val="21"/>
  </w:num>
  <w:num w:numId="23" w16cid:durableId="1681732178">
    <w:abstractNumId w:val="73"/>
  </w:num>
  <w:num w:numId="24" w16cid:durableId="1519853990">
    <w:abstractNumId w:val="35"/>
  </w:num>
  <w:num w:numId="25" w16cid:durableId="278994805">
    <w:abstractNumId w:val="34"/>
  </w:num>
  <w:num w:numId="26" w16cid:durableId="648634392">
    <w:abstractNumId w:val="11"/>
  </w:num>
  <w:num w:numId="27" w16cid:durableId="920530010">
    <w:abstractNumId w:val="62"/>
  </w:num>
  <w:num w:numId="28" w16cid:durableId="150756997">
    <w:abstractNumId w:val="74"/>
  </w:num>
  <w:num w:numId="29" w16cid:durableId="1419715567">
    <w:abstractNumId w:val="41"/>
  </w:num>
  <w:num w:numId="30" w16cid:durableId="311370538">
    <w:abstractNumId w:val="13"/>
  </w:num>
  <w:num w:numId="31" w16cid:durableId="410540733">
    <w:abstractNumId w:val="14"/>
  </w:num>
  <w:num w:numId="32" w16cid:durableId="273172251">
    <w:abstractNumId w:val="19"/>
  </w:num>
  <w:num w:numId="33" w16cid:durableId="1847400588">
    <w:abstractNumId w:val="94"/>
  </w:num>
  <w:num w:numId="34" w16cid:durableId="1333336486">
    <w:abstractNumId w:val="78"/>
  </w:num>
  <w:num w:numId="35" w16cid:durableId="1162239227">
    <w:abstractNumId w:val="37"/>
  </w:num>
  <w:num w:numId="36" w16cid:durableId="969240295">
    <w:abstractNumId w:val="60"/>
  </w:num>
  <w:num w:numId="37" w16cid:durableId="37437413">
    <w:abstractNumId w:val="66"/>
  </w:num>
  <w:num w:numId="38" w16cid:durableId="1802336704">
    <w:abstractNumId w:val="123"/>
  </w:num>
  <w:num w:numId="39" w16cid:durableId="636647368">
    <w:abstractNumId w:val="119"/>
  </w:num>
  <w:num w:numId="40" w16cid:durableId="2015718673">
    <w:abstractNumId w:val="98"/>
  </w:num>
  <w:num w:numId="41" w16cid:durableId="1064988373">
    <w:abstractNumId w:val="113"/>
  </w:num>
  <w:num w:numId="42" w16cid:durableId="921378175">
    <w:abstractNumId w:val="27"/>
  </w:num>
  <w:num w:numId="43" w16cid:durableId="1663923649">
    <w:abstractNumId w:val="44"/>
  </w:num>
  <w:num w:numId="44" w16cid:durableId="207230906">
    <w:abstractNumId w:val="106"/>
  </w:num>
  <w:num w:numId="45" w16cid:durableId="963271094">
    <w:abstractNumId w:val="52"/>
  </w:num>
  <w:num w:numId="46" w16cid:durableId="591746986">
    <w:abstractNumId w:val="102"/>
  </w:num>
  <w:num w:numId="47" w16cid:durableId="1604999826">
    <w:abstractNumId w:val="81"/>
  </w:num>
  <w:num w:numId="48" w16cid:durableId="755979574">
    <w:abstractNumId w:val="88"/>
  </w:num>
  <w:num w:numId="49" w16cid:durableId="1647395516">
    <w:abstractNumId w:val="1"/>
    <w:lvlOverride w:ilvl="0">
      <w:lvl w:ilvl="0">
        <w:numFmt w:val="bullet"/>
        <w:pStyle w:val="aboxbulletlast"/>
        <w:lvlText w:val=""/>
        <w:legacy w:legacy="1" w:legacySpace="0" w:legacyIndent="0"/>
        <w:lvlJc w:val="left"/>
        <w:rPr>
          <w:rFonts w:ascii="Symbol" w:hAnsi="Symbol" w:hint="default"/>
        </w:rPr>
      </w:lvl>
    </w:lvlOverride>
  </w:num>
  <w:num w:numId="50" w16cid:durableId="1338993838">
    <w:abstractNumId w:val="117"/>
  </w:num>
  <w:num w:numId="51" w16cid:durableId="118577083">
    <w:abstractNumId w:val="55"/>
  </w:num>
  <w:num w:numId="52" w16cid:durableId="850292104">
    <w:abstractNumId w:val="92"/>
  </w:num>
  <w:num w:numId="53" w16cid:durableId="1241020282">
    <w:abstractNumId w:val="50"/>
  </w:num>
  <w:num w:numId="54" w16cid:durableId="1048258018">
    <w:abstractNumId w:val="118"/>
  </w:num>
  <w:num w:numId="55" w16cid:durableId="753817226">
    <w:abstractNumId w:val="29"/>
  </w:num>
  <w:num w:numId="56" w16cid:durableId="178121580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1148649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00893567">
    <w:abstractNumId w:val="80"/>
  </w:num>
  <w:num w:numId="59" w16cid:durableId="253245128">
    <w:abstractNumId w:val="30"/>
  </w:num>
  <w:num w:numId="60" w16cid:durableId="141237187">
    <w:abstractNumId w:val="112"/>
  </w:num>
  <w:num w:numId="61" w16cid:durableId="2041010665">
    <w:abstractNumId w:val="31"/>
  </w:num>
  <w:num w:numId="62" w16cid:durableId="311372652">
    <w:abstractNumId w:val="46"/>
  </w:num>
  <w:num w:numId="63" w16cid:durableId="1216355053">
    <w:abstractNumId w:val="15"/>
  </w:num>
  <w:num w:numId="64" w16cid:durableId="2093549406">
    <w:abstractNumId w:val="17"/>
  </w:num>
  <w:num w:numId="65" w16cid:durableId="2026321335">
    <w:abstractNumId w:val="20"/>
  </w:num>
  <w:num w:numId="66" w16cid:durableId="1328169093">
    <w:abstractNumId w:val="91"/>
  </w:num>
  <w:num w:numId="67" w16cid:durableId="46686394">
    <w:abstractNumId w:val="39"/>
  </w:num>
  <w:num w:numId="68" w16cid:durableId="814681573">
    <w:abstractNumId w:val="57"/>
  </w:num>
  <w:num w:numId="69" w16cid:durableId="215437196">
    <w:abstractNumId w:val="115"/>
  </w:num>
  <w:num w:numId="70" w16cid:durableId="227620480">
    <w:abstractNumId w:val="90"/>
  </w:num>
  <w:num w:numId="71" w16cid:durableId="763380061">
    <w:abstractNumId w:val="122"/>
  </w:num>
  <w:num w:numId="72" w16cid:durableId="1992129275">
    <w:abstractNumId w:val="51"/>
  </w:num>
  <w:num w:numId="73" w16cid:durableId="1238172672">
    <w:abstractNumId w:val="69"/>
  </w:num>
  <w:num w:numId="74" w16cid:durableId="673414218">
    <w:abstractNumId w:val="18"/>
  </w:num>
  <w:num w:numId="75" w16cid:durableId="1934313209">
    <w:abstractNumId w:val="56"/>
  </w:num>
  <w:num w:numId="76" w16cid:durableId="1836148263">
    <w:abstractNumId w:val="7"/>
  </w:num>
  <w:num w:numId="77" w16cid:durableId="886919495">
    <w:abstractNumId w:val="25"/>
  </w:num>
  <w:num w:numId="78" w16cid:durableId="422458126">
    <w:abstractNumId w:val="36"/>
  </w:num>
  <w:num w:numId="79" w16cid:durableId="1807116574">
    <w:abstractNumId w:val="63"/>
  </w:num>
  <w:num w:numId="80" w16cid:durableId="1375740664">
    <w:abstractNumId w:val="86"/>
  </w:num>
  <w:num w:numId="81" w16cid:durableId="828716795">
    <w:abstractNumId w:val="53"/>
  </w:num>
  <w:num w:numId="82" w16cid:durableId="1851605405">
    <w:abstractNumId w:val="100"/>
  </w:num>
  <w:num w:numId="83" w16cid:durableId="1330717396">
    <w:abstractNumId w:val="42"/>
  </w:num>
  <w:num w:numId="84" w16cid:durableId="1659915918">
    <w:abstractNumId w:val="2"/>
  </w:num>
  <w:num w:numId="85" w16cid:durableId="332143328">
    <w:abstractNumId w:val="76"/>
  </w:num>
  <w:num w:numId="86" w16cid:durableId="989214203">
    <w:abstractNumId w:val="116"/>
  </w:num>
  <w:num w:numId="87" w16cid:durableId="503205987">
    <w:abstractNumId w:val="8"/>
  </w:num>
  <w:num w:numId="88" w16cid:durableId="1184636525">
    <w:abstractNumId w:val="84"/>
  </w:num>
  <w:num w:numId="89" w16cid:durableId="362100968">
    <w:abstractNumId w:val="87"/>
  </w:num>
  <w:num w:numId="90" w16cid:durableId="306715383">
    <w:abstractNumId w:val="27"/>
  </w:num>
  <w:num w:numId="91" w16cid:durableId="2100521274">
    <w:abstractNumId w:val="27"/>
  </w:num>
  <w:num w:numId="92" w16cid:durableId="1081637363">
    <w:abstractNumId w:val="27"/>
  </w:num>
  <w:num w:numId="93" w16cid:durableId="1258059451">
    <w:abstractNumId w:val="27"/>
  </w:num>
  <w:num w:numId="94" w16cid:durableId="1520508937">
    <w:abstractNumId w:val="27"/>
  </w:num>
  <w:num w:numId="95" w16cid:durableId="527528771">
    <w:abstractNumId w:val="27"/>
  </w:num>
  <w:num w:numId="96" w16cid:durableId="299653808">
    <w:abstractNumId w:val="27"/>
  </w:num>
  <w:num w:numId="97" w16cid:durableId="303894128">
    <w:abstractNumId w:val="27"/>
  </w:num>
  <w:num w:numId="98" w16cid:durableId="75515049">
    <w:abstractNumId w:val="12"/>
  </w:num>
  <w:num w:numId="99" w16cid:durableId="1952203619">
    <w:abstractNumId w:val="58"/>
  </w:num>
  <w:num w:numId="100" w16cid:durableId="487794384">
    <w:abstractNumId w:val="77"/>
  </w:num>
  <w:num w:numId="101" w16cid:durableId="1935357671">
    <w:abstractNumId w:val="95"/>
  </w:num>
  <w:num w:numId="102" w16cid:durableId="480654988">
    <w:abstractNumId w:val="83"/>
  </w:num>
  <w:num w:numId="103" w16cid:durableId="1921986767">
    <w:abstractNumId w:val="68"/>
  </w:num>
  <w:num w:numId="104" w16cid:durableId="176697521">
    <w:abstractNumId w:val="120"/>
  </w:num>
  <w:num w:numId="105" w16cid:durableId="2048136039">
    <w:abstractNumId w:val="99"/>
  </w:num>
  <w:num w:numId="106" w16cid:durableId="1449859623">
    <w:abstractNumId w:val="93"/>
  </w:num>
  <w:num w:numId="107" w16cid:durableId="868840362">
    <w:abstractNumId w:val="104"/>
  </w:num>
  <w:num w:numId="108" w16cid:durableId="1694764840">
    <w:abstractNumId w:val="10"/>
  </w:num>
  <w:num w:numId="109" w16cid:durableId="82193353">
    <w:abstractNumId w:val="59"/>
  </w:num>
  <w:num w:numId="110" w16cid:durableId="1542550769">
    <w:abstractNumId w:val="6"/>
  </w:num>
  <w:num w:numId="111" w16cid:durableId="1349328413">
    <w:abstractNumId w:val="64"/>
  </w:num>
  <w:num w:numId="112" w16cid:durableId="520819968">
    <w:abstractNumId w:val="70"/>
  </w:num>
  <w:num w:numId="113" w16cid:durableId="1046758670">
    <w:abstractNumId w:val="67"/>
  </w:num>
  <w:num w:numId="114" w16cid:durableId="840779957">
    <w:abstractNumId w:val="71"/>
  </w:num>
  <w:num w:numId="115" w16cid:durableId="586960869">
    <w:abstractNumId w:val="26"/>
  </w:num>
  <w:num w:numId="116" w16cid:durableId="12769869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667439098">
    <w:abstractNumId w:val="5"/>
  </w:num>
  <w:num w:numId="118" w16cid:durableId="157889083">
    <w:abstractNumId w:val="72"/>
  </w:num>
  <w:num w:numId="119" w16cid:durableId="78638677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602879206">
    <w:abstractNumId w:val="111"/>
  </w:num>
  <w:num w:numId="121" w16cid:durableId="1461655113">
    <w:abstractNumId w:val="75"/>
  </w:num>
  <w:num w:numId="122" w16cid:durableId="522137984">
    <w:abstractNumId w:val="96"/>
  </w:num>
  <w:num w:numId="123" w16cid:durableId="894244767">
    <w:abstractNumId w:val="89"/>
  </w:num>
  <w:num w:numId="124" w16cid:durableId="1239250488">
    <w:abstractNumId w:val="32"/>
  </w:num>
  <w:num w:numId="125" w16cid:durableId="780537459">
    <w:abstractNumId w:val="16"/>
  </w:num>
  <w:num w:numId="126" w16cid:durableId="133377013">
    <w:abstractNumId w:val="3"/>
  </w:num>
  <w:num w:numId="127" w16cid:durableId="593903911">
    <w:abstractNumId w:val="121"/>
  </w:num>
  <w:num w:numId="128" w16cid:durableId="255091440">
    <w:abstractNumId w:val="9"/>
  </w:num>
  <w:num w:numId="129" w16cid:durableId="1369649402">
    <w:abstractNumId w:val="49"/>
  </w:num>
  <w:num w:numId="130" w16cid:durableId="737674415">
    <w:abstractNumId w:val="85"/>
  </w:num>
  <w:num w:numId="131" w16cid:durableId="836386445">
    <w:abstractNumId w:val="22"/>
  </w:num>
  <w:num w:numId="132" w16cid:durableId="411587763">
    <w:abstractNumId w:val="33"/>
  </w:num>
  <w:num w:numId="133" w16cid:durableId="2130006562">
    <w:abstractNumId w:val="107"/>
  </w:num>
  <w:num w:numId="134" w16cid:durableId="250747135">
    <w:abstractNumId w:val="61"/>
  </w:num>
  <w:num w:numId="135" w16cid:durableId="144048868">
    <w:abstractNumId w:val="117"/>
  </w:num>
  <w:num w:numId="136" w16cid:durableId="1836653086">
    <w:abstractNumId w:val="117"/>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8F042F-F67F-4A94-A793-CF8C9AB48ADE}"/>
    <w:docVar w:name="dgnword-eventsink" w:val="475568984"/>
  </w:docVars>
  <w:rsids>
    <w:rsidRoot w:val="00F9675A"/>
    <w:rsid w:val="000000C1"/>
    <w:rsid w:val="000006CD"/>
    <w:rsid w:val="00000F4C"/>
    <w:rsid w:val="000013AD"/>
    <w:rsid w:val="000024A1"/>
    <w:rsid w:val="000026DB"/>
    <w:rsid w:val="00002D74"/>
    <w:rsid w:val="00003074"/>
    <w:rsid w:val="00003452"/>
    <w:rsid w:val="000037E4"/>
    <w:rsid w:val="00003B78"/>
    <w:rsid w:val="00003BF5"/>
    <w:rsid w:val="00004060"/>
    <w:rsid w:val="000047D8"/>
    <w:rsid w:val="000049C7"/>
    <w:rsid w:val="00005151"/>
    <w:rsid w:val="000057C1"/>
    <w:rsid w:val="00005DDE"/>
    <w:rsid w:val="00005F6E"/>
    <w:rsid w:val="00006605"/>
    <w:rsid w:val="000066BD"/>
    <w:rsid w:val="00007760"/>
    <w:rsid w:val="0000788F"/>
    <w:rsid w:val="000078C7"/>
    <w:rsid w:val="00007B60"/>
    <w:rsid w:val="000102DB"/>
    <w:rsid w:val="00010760"/>
    <w:rsid w:val="00010F7A"/>
    <w:rsid w:val="000115E9"/>
    <w:rsid w:val="00011740"/>
    <w:rsid w:val="00011890"/>
    <w:rsid w:val="00011C84"/>
    <w:rsid w:val="000121D6"/>
    <w:rsid w:val="00012286"/>
    <w:rsid w:val="00012481"/>
    <w:rsid w:val="000126A8"/>
    <w:rsid w:val="00012793"/>
    <w:rsid w:val="000128B7"/>
    <w:rsid w:val="00012A2D"/>
    <w:rsid w:val="00013020"/>
    <w:rsid w:val="000130C0"/>
    <w:rsid w:val="000131C8"/>
    <w:rsid w:val="0001322E"/>
    <w:rsid w:val="0001337A"/>
    <w:rsid w:val="00013A14"/>
    <w:rsid w:val="00013B7F"/>
    <w:rsid w:val="00013DBD"/>
    <w:rsid w:val="000145C2"/>
    <w:rsid w:val="00014643"/>
    <w:rsid w:val="00014A51"/>
    <w:rsid w:val="00014B96"/>
    <w:rsid w:val="00017300"/>
    <w:rsid w:val="00017590"/>
    <w:rsid w:val="0001768B"/>
    <w:rsid w:val="00017A14"/>
    <w:rsid w:val="00017FE3"/>
    <w:rsid w:val="00020732"/>
    <w:rsid w:val="00020B39"/>
    <w:rsid w:val="00020EE3"/>
    <w:rsid w:val="00021323"/>
    <w:rsid w:val="0002258E"/>
    <w:rsid w:val="000227F2"/>
    <w:rsid w:val="00022A89"/>
    <w:rsid w:val="00022BF4"/>
    <w:rsid w:val="00022FF8"/>
    <w:rsid w:val="00023287"/>
    <w:rsid w:val="00023762"/>
    <w:rsid w:val="00023CC1"/>
    <w:rsid w:val="000241E2"/>
    <w:rsid w:val="00024AB9"/>
    <w:rsid w:val="00024E8B"/>
    <w:rsid w:val="00025D46"/>
    <w:rsid w:val="000275C8"/>
    <w:rsid w:val="00027C80"/>
    <w:rsid w:val="0003024C"/>
    <w:rsid w:val="00030334"/>
    <w:rsid w:val="00030504"/>
    <w:rsid w:val="00030626"/>
    <w:rsid w:val="00030696"/>
    <w:rsid w:val="0003085D"/>
    <w:rsid w:val="000309EA"/>
    <w:rsid w:val="00030D07"/>
    <w:rsid w:val="00030ED4"/>
    <w:rsid w:val="0003117A"/>
    <w:rsid w:val="00031258"/>
    <w:rsid w:val="00031AC6"/>
    <w:rsid w:val="00031B71"/>
    <w:rsid w:val="00032495"/>
    <w:rsid w:val="00032510"/>
    <w:rsid w:val="00032B7F"/>
    <w:rsid w:val="0003309D"/>
    <w:rsid w:val="00033F25"/>
    <w:rsid w:val="00034C34"/>
    <w:rsid w:val="00034F7D"/>
    <w:rsid w:val="000354FC"/>
    <w:rsid w:val="000356F4"/>
    <w:rsid w:val="00035C94"/>
    <w:rsid w:val="00036E1C"/>
    <w:rsid w:val="00036E64"/>
    <w:rsid w:val="00036EE9"/>
    <w:rsid w:val="00037013"/>
    <w:rsid w:val="00037DB1"/>
    <w:rsid w:val="00037FEC"/>
    <w:rsid w:val="0004046B"/>
    <w:rsid w:val="000407EE"/>
    <w:rsid w:val="0004187E"/>
    <w:rsid w:val="00041987"/>
    <w:rsid w:val="0004205D"/>
    <w:rsid w:val="00042140"/>
    <w:rsid w:val="00042C41"/>
    <w:rsid w:val="00042FB5"/>
    <w:rsid w:val="0004307E"/>
    <w:rsid w:val="0004314B"/>
    <w:rsid w:val="000434E7"/>
    <w:rsid w:val="000436D9"/>
    <w:rsid w:val="00043C1E"/>
    <w:rsid w:val="00044127"/>
    <w:rsid w:val="00044422"/>
    <w:rsid w:val="000444E8"/>
    <w:rsid w:val="00044A36"/>
    <w:rsid w:val="00044B94"/>
    <w:rsid w:val="00044F09"/>
    <w:rsid w:val="00044F97"/>
    <w:rsid w:val="000453A0"/>
    <w:rsid w:val="000456A5"/>
    <w:rsid w:val="000458FC"/>
    <w:rsid w:val="00045A7A"/>
    <w:rsid w:val="00045EBB"/>
    <w:rsid w:val="00046888"/>
    <w:rsid w:val="000469FE"/>
    <w:rsid w:val="00047B5A"/>
    <w:rsid w:val="0005122C"/>
    <w:rsid w:val="00051B48"/>
    <w:rsid w:val="00051BF1"/>
    <w:rsid w:val="00052265"/>
    <w:rsid w:val="00052DB5"/>
    <w:rsid w:val="000533AB"/>
    <w:rsid w:val="00053969"/>
    <w:rsid w:val="00053A1F"/>
    <w:rsid w:val="000549FA"/>
    <w:rsid w:val="000558FE"/>
    <w:rsid w:val="00055CCA"/>
    <w:rsid w:val="00056212"/>
    <w:rsid w:val="0005634F"/>
    <w:rsid w:val="00056C4A"/>
    <w:rsid w:val="00057095"/>
    <w:rsid w:val="0005756A"/>
    <w:rsid w:val="00057D4D"/>
    <w:rsid w:val="00057E04"/>
    <w:rsid w:val="000600B1"/>
    <w:rsid w:val="00060187"/>
    <w:rsid w:val="0006042C"/>
    <w:rsid w:val="000604C7"/>
    <w:rsid w:val="00060713"/>
    <w:rsid w:val="00060F16"/>
    <w:rsid w:val="00061A16"/>
    <w:rsid w:val="000621BB"/>
    <w:rsid w:val="0006221B"/>
    <w:rsid w:val="00062AE1"/>
    <w:rsid w:val="000631F0"/>
    <w:rsid w:val="00063410"/>
    <w:rsid w:val="000637E6"/>
    <w:rsid w:val="00063AEA"/>
    <w:rsid w:val="00063C91"/>
    <w:rsid w:val="00064682"/>
    <w:rsid w:val="00064683"/>
    <w:rsid w:val="00064838"/>
    <w:rsid w:val="00064EAD"/>
    <w:rsid w:val="00065010"/>
    <w:rsid w:val="00065195"/>
    <w:rsid w:val="0006535F"/>
    <w:rsid w:val="0006538A"/>
    <w:rsid w:val="00065881"/>
    <w:rsid w:val="000658AB"/>
    <w:rsid w:val="00065FEC"/>
    <w:rsid w:val="00066671"/>
    <w:rsid w:val="00066EF0"/>
    <w:rsid w:val="000676A2"/>
    <w:rsid w:val="00067BD5"/>
    <w:rsid w:val="00067EE4"/>
    <w:rsid w:val="000705A0"/>
    <w:rsid w:val="00070A20"/>
    <w:rsid w:val="00070EAF"/>
    <w:rsid w:val="00071567"/>
    <w:rsid w:val="00071779"/>
    <w:rsid w:val="000717C7"/>
    <w:rsid w:val="00071B1A"/>
    <w:rsid w:val="00071F52"/>
    <w:rsid w:val="00073300"/>
    <w:rsid w:val="00073767"/>
    <w:rsid w:val="00073B62"/>
    <w:rsid w:val="00073FFF"/>
    <w:rsid w:val="0007409C"/>
    <w:rsid w:val="000745A7"/>
    <w:rsid w:val="000746CC"/>
    <w:rsid w:val="000749D2"/>
    <w:rsid w:val="00074B55"/>
    <w:rsid w:val="00074C1F"/>
    <w:rsid w:val="0007503A"/>
    <w:rsid w:val="000753D0"/>
    <w:rsid w:val="0007615A"/>
    <w:rsid w:val="00076E83"/>
    <w:rsid w:val="00076F3A"/>
    <w:rsid w:val="00077005"/>
    <w:rsid w:val="00077406"/>
    <w:rsid w:val="000776F9"/>
    <w:rsid w:val="000777A0"/>
    <w:rsid w:val="00077AA1"/>
    <w:rsid w:val="00077EC5"/>
    <w:rsid w:val="0008004C"/>
    <w:rsid w:val="00080134"/>
    <w:rsid w:val="00080378"/>
    <w:rsid w:val="00080854"/>
    <w:rsid w:val="0008104D"/>
    <w:rsid w:val="0008129D"/>
    <w:rsid w:val="0008228D"/>
    <w:rsid w:val="000825F2"/>
    <w:rsid w:val="00082773"/>
    <w:rsid w:val="00082867"/>
    <w:rsid w:val="00083334"/>
    <w:rsid w:val="000834B8"/>
    <w:rsid w:val="000839D8"/>
    <w:rsid w:val="00083E83"/>
    <w:rsid w:val="00083F03"/>
    <w:rsid w:val="00083F43"/>
    <w:rsid w:val="00084596"/>
    <w:rsid w:val="0008465D"/>
    <w:rsid w:val="000847CC"/>
    <w:rsid w:val="000848E9"/>
    <w:rsid w:val="00084DD6"/>
    <w:rsid w:val="000851DC"/>
    <w:rsid w:val="000857A7"/>
    <w:rsid w:val="00085D08"/>
    <w:rsid w:val="000874E3"/>
    <w:rsid w:val="000876F5"/>
    <w:rsid w:val="000877A9"/>
    <w:rsid w:val="00087EB7"/>
    <w:rsid w:val="000901D6"/>
    <w:rsid w:val="000902C6"/>
    <w:rsid w:val="000905EB"/>
    <w:rsid w:val="00090BB9"/>
    <w:rsid w:val="000914CE"/>
    <w:rsid w:val="00091D5F"/>
    <w:rsid w:val="00091DE6"/>
    <w:rsid w:val="0009242A"/>
    <w:rsid w:val="00092848"/>
    <w:rsid w:val="000930E0"/>
    <w:rsid w:val="000931DC"/>
    <w:rsid w:val="00093CBF"/>
    <w:rsid w:val="0009407D"/>
    <w:rsid w:val="000947A6"/>
    <w:rsid w:val="00094B0B"/>
    <w:rsid w:val="00094C4E"/>
    <w:rsid w:val="000952AC"/>
    <w:rsid w:val="000959AF"/>
    <w:rsid w:val="00095F82"/>
    <w:rsid w:val="00096B1F"/>
    <w:rsid w:val="00096B29"/>
    <w:rsid w:val="0009778F"/>
    <w:rsid w:val="00097B21"/>
    <w:rsid w:val="00097C23"/>
    <w:rsid w:val="000A005A"/>
    <w:rsid w:val="000A0176"/>
    <w:rsid w:val="000A03B0"/>
    <w:rsid w:val="000A051B"/>
    <w:rsid w:val="000A0A83"/>
    <w:rsid w:val="000A0A89"/>
    <w:rsid w:val="000A0F0B"/>
    <w:rsid w:val="000A1094"/>
    <w:rsid w:val="000A1281"/>
    <w:rsid w:val="000A1A2D"/>
    <w:rsid w:val="000A1D10"/>
    <w:rsid w:val="000A2961"/>
    <w:rsid w:val="000A29A9"/>
    <w:rsid w:val="000A34A3"/>
    <w:rsid w:val="000A3C49"/>
    <w:rsid w:val="000A4117"/>
    <w:rsid w:val="000A44C9"/>
    <w:rsid w:val="000A51D8"/>
    <w:rsid w:val="000A521B"/>
    <w:rsid w:val="000A545C"/>
    <w:rsid w:val="000A55B9"/>
    <w:rsid w:val="000A5DF5"/>
    <w:rsid w:val="000A6225"/>
    <w:rsid w:val="000A7498"/>
    <w:rsid w:val="000A7940"/>
    <w:rsid w:val="000A7E3E"/>
    <w:rsid w:val="000B0443"/>
    <w:rsid w:val="000B165B"/>
    <w:rsid w:val="000B1B4D"/>
    <w:rsid w:val="000B1B91"/>
    <w:rsid w:val="000B1EEF"/>
    <w:rsid w:val="000B20AA"/>
    <w:rsid w:val="000B25F7"/>
    <w:rsid w:val="000B26B7"/>
    <w:rsid w:val="000B2F1E"/>
    <w:rsid w:val="000B32A0"/>
    <w:rsid w:val="000B35EF"/>
    <w:rsid w:val="000B3815"/>
    <w:rsid w:val="000B5075"/>
    <w:rsid w:val="000B52D2"/>
    <w:rsid w:val="000B56AB"/>
    <w:rsid w:val="000B5C35"/>
    <w:rsid w:val="000B6CD3"/>
    <w:rsid w:val="000B724D"/>
    <w:rsid w:val="000B7479"/>
    <w:rsid w:val="000B75E0"/>
    <w:rsid w:val="000B79F5"/>
    <w:rsid w:val="000B7E8B"/>
    <w:rsid w:val="000C005E"/>
    <w:rsid w:val="000C148B"/>
    <w:rsid w:val="000C18B8"/>
    <w:rsid w:val="000C1BF9"/>
    <w:rsid w:val="000C2A10"/>
    <w:rsid w:val="000C2CD8"/>
    <w:rsid w:val="000C2F06"/>
    <w:rsid w:val="000C33C2"/>
    <w:rsid w:val="000C35FA"/>
    <w:rsid w:val="000C373E"/>
    <w:rsid w:val="000C3E6C"/>
    <w:rsid w:val="000C3F86"/>
    <w:rsid w:val="000C3FB1"/>
    <w:rsid w:val="000C462A"/>
    <w:rsid w:val="000C5939"/>
    <w:rsid w:val="000C5A0B"/>
    <w:rsid w:val="000C5DE5"/>
    <w:rsid w:val="000C5F66"/>
    <w:rsid w:val="000C660F"/>
    <w:rsid w:val="000C7179"/>
    <w:rsid w:val="000D0627"/>
    <w:rsid w:val="000D1445"/>
    <w:rsid w:val="000D1A7A"/>
    <w:rsid w:val="000D1F4A"/>
    <w:rsid w:val="000D20FC"/>
    <w:rsid w:val="000D2904"/>
    <w:rsid w:val="000D2A2D"/>
    <w:rsid w:val="000D3D3B"/>
    <w:rsid w:val="000D46BD"/>
    <w:rsid w:val="000D4A85"/>
    <w:rsid w:val="000D52C2"/>
    <w:rsid w:val="000D53D2"/>
    <w:rsid w:val="000D543D"/>
    <w:rsid w:val="000D58B8"/>
    <w:rsid w:val="000D65E9"/>
    <w:rsid w:val="000D6DFA"/>
    <w:rsid w:val="000D7F7B"/>
    <w:rsid w:val="000E0293"/>
    <w:rsid w:val="000E0528"/>
    <w:rsid w:val="000E0595"/>
    <w:rsid w:val="000E0C97"/>
    <w:rsid w:val="000E0E66"/>
    <w:rsid w:val="000E101A"/>
    <w:rsid w:val="000E1340"/>
    <w:rsid w:val="000E1BFF"/>
    <w:rsid w:val="000E23E9"/>
    <w:rsid w:val="000E2ED9"/>
    <w:rsid w:val="000E35A7"/>
    <w:rsid w:val="000E3AF9"/>
    <w:rsid w:val="000E41E2"/>
    <w:rsid w:val="000E4381"/>
    <w:rsid w:val="000E472F"/>
    <w:rsid w:val="000E4880"/>
    <w:rsid w:val="000E49D8"/>
    <w:rsid w:val="000E4E28"/>
    <w:rsid w:val="000E4EBF"/>
    <w:rsid w:val="000E5EF2"/>
    <w:rsid w:val="000E63F8"/>
    <w:rsid w:val="000E696E"/>
    <w:rsid w:val="000E6CDA"/>
    <w:rsid w:val="000E7651"/>
    <w:rsid w:val="000E7ECE"/>
    <w:rsid w:val="000F099A"/>
    <w:rsid w:val="000F0CE7"/>
    <w:rsid w:val="000F102B"/>
    <w:rsid w:val="000F11C2"/>
    <w:rsid w:val="000F2222"/>
    <w:rsid w:val="000F2536"/>
    <w:rsid w:val="000F29AF"/>
    <w:rsid w:val="000F2FB6"/>
    <w:rsid w:val="000F32E7"/>
    <w:rsid w:val="000F4D1A"/>
    <w:rsid w:val="000F4F00"/>
    <w:rsid w:val="000F538B"/>
    <w:rsid w:val="000F59D5"/>
    <w:rsid w:val="000F5E23"/>
    <w:rsid w:val="000F60A9"/>
    <w:rsid w:val="000F688E"/>
    <w:rsid w:val="000F7987"/>
    <w:rsid w:val="00100BAA"/>
    <w:rsid w:val="00100F78"/>
    <w:rsid w:val="00101229"/>
    <w:rsid w:val="001013B9"/>
    <w:rsid w:val="00101634"/>
    <w:rsid w:val="00101864"/>
    <w:rsid w:val="00101A0E"/>
    <w:rsid w:val="00101A8F"/>
    <w:rsid w:val="001021BF"/>
    <w:rsid w:val="00102DA6"/>
    <w:rsid w:val="00103543"/>
    <w:rsid w:val="0010403B"/>
    <w:rsid w:val="00104601"/>
    <w:rsid w:val="00104805"/>
    <w:rsid w:val="00104890"/>
    <w:rsid w:val="00104D8C"/>
    <w:rsid w:val="0010519E"/>
    <w:rsid w:val="00105446"/>
    <w:rsid w:val="001054C9"/>
    <w:rsid w:val="0010564D"/>
    <w:rsid w:val="00105B1C"/>
    <w:rsid w:val="001067D4"/>
    <w:rsid w:val="001068E8"/>
    <w:rsid w:val="00110279"/>
    <w:rsid w:val="00110710"/>
    <w:rsid w:val="001108E9"/>
    <w:rsid w:val="001111DA"/>
    <w:rsid w:val="00111255"/>
    <w:rsid w:val="00111341"/>
    <w:rsid w:val="00111A64"/>
    <w:rsid w:val="00111B32"/>
    <w:rsid w:val="00111D78"/>
    <w:rsid w:val="001123E6"/>
    <w:rsid w:val="00113320"/>
    <w:rsid w:val="00113B6D"/>
    <w:rsid w:val="00114431"/>
    <w:rsid w:val="001146C4"/>
    <w:rsid w:val="00114E9E"/>
    <w:rsid w:val="00115082"/>
    <w:rsid w:val="00115D78"/>
    <w:rsid w:val="00117675"/>
    <w:rsid w:val="00117B76"/>
    <w:rsid w:val="0012008A"/>
    <w:rsid w:val="001200F3"/>
    <w:rsid w:val="001201D8"/>
    <w:rsid w:val="001218FD"/>
    <w:rsid w:val="00121926"/>
    <w:rsid w:val="00121971"/>
    <w:rsid w:val="001223C8"/>
    <w:rsid w:val="001225EF"/>
    <w:rsid w:val="00122991"/>
    <w:rsid w:val="00122DC4"/>
    <w:rsid w:val="0012303F"/>
    <w:rsid w:val="00123A09"/>
    <w:rsid w:val="00123C72"/>
    <w:rsid w:val="00123CBD"/>
    <w:rsid w:val="0012431C"/>
    <w:rsid w:val="001249D6"/>
    <w:rsid w:val="00125108"/>
    <w:rsid w:val="00125226"/>
    <w:rsid w:val="00126548"/>
    <w:rsid w:val="001272FC"/>
    <w:rsid w:val="0012756C"/>
    <w:rsid w:val="00127766"/>
    <w:rsid w:val="0012779D"/>
    <w:rsid w:val="00127A70"/>
    <w:rsid w:val="00127D21"/>
    <w:rsid w:val="001302CB"/>
    <w:rsid w:val="0013055A"/>
    <w:rsid w:val="00130EB4"/>
    <w:rsid w:val="00130F90"/>
    <w:rsid w:val="00131970"/>
    <w:rsid w:val="00132010"/>
    <w:rsid w:val="0013263D"/>
    <w:rsid w:val="00132A14"/>
    <w:rsid w:val="00133662"/>
    <w:rsid w:val="00133776"/>
    <w:rsid w:val="00133CE2"/>
    <w:rsid w:val="00133E86"/>
    <w:rsid w:val="00134572"/>
    <w:rsid w:val="0013532A"/>
    <w:rsid w:val="00135469"/>
    <w:rsid w:val="001356E0"/>
    <w:rsid w:val="001358AD"/>
    <w:rsid w:val="00135D93"/>
    <w:rsid w:val="00135DFD"/>
    <w:rsid w:val="00135E5F"/>
    <w:rsid w:val="00137C94"/>
    <w:rsid w:val="00140311"/>
    <w:rsid w:val="00140423"/>
    <w:rsid w:val="00140F84"/>
    <w:rsid w:val="0014168C"/>
    <w:rsid w:val="0014210B"/>
    <w:rsid w:val="0014246F"/>
    <w:rsid w:val="001428A4"/>
    <w:rsid w:val="001432A3"/>
    <w:rsid w:val="0014339F"/>
    <w:rsid w:val="00143578"/>
    <w:rsid w:val="001437BE"/>
    <w:rsid w:val="0014397B"/>
    <w:rsid w:val="001439DA"/>
    <w:rsid w:val="00143A14"/>
    <w:rsid w:val="00144DC8"/>
    <w:rsid w:val="0014613A"/>
    <w:rsid w:val="0014637E"/>
    <w:rsid w:val="0014687F"/>
    <w:rsid w:val="00146C1F"/>
    <w:rsid w:val="00146E2B"/>
    <w:rsid w:val="00146EF5"/>
    <w:rsid w:val="0014720B"/>
    <w:rsid w:val="00147ADF"/>
    <w:rsid w:val="00147C3E"/>
    <w:rsid w:val="00147FBF"/>
    <w:rsid w:val="00150772"/>
    <w:rsid w:val="00150AA1"/>
    <w:rsid w:val="00151423"/>
    <w:rsid w:val="00152366"/>
    <w:rsid w:val="001523FE"/>
    <w:rsid w:val="00152A6E"/>
    <w:rsid w:val="00152D1F"/>
    <w:rsid w:val="00152E64"/>
    <w:rsid w:val="00152EB0"/>
    <w:rsid w:val="0015353A"/>
    <w:rsid w:val="001535B1"/>
    <w:rsid w:val="0015476A"/>
    <w:rsid w:val="001549BB"/>
    <w:rsid w:val="00154A23"/>
    <w:rsid w:val="00155077"/>
    <w:rsid w:val="00155DE3"/>
    <w:rsid w:val="00155E04"/>
    <w:rsid w:val="00156ABF"/>
    <w:rsid w:val="00157CDC"/>
    <w:rsid w:val="00157D4F"/>
    <w:rsid w:val="00157FC1"/>
    <w:rsid w:val="00160041"/>
    <w:rsid w:val="00160D9E"/>
    <w:rsid w:val="00160E16"/>
    <w:rsid w:val="001617A2"/>
    <w:rsid w:val="00162322"/>
    <w:rsid w:val="00162725"/>
    <w:rsid w:val="00162753"/>
    <w:rsid w:val="001627DC"/>
    <w:rsid w:val="001627E9"/>
    <w:rsid w:val="00162D7A"/>
    <w:rsid w:val="001631A9"/>
    <w:rsid w:val="001632BC"/>
    <w:rsid w:val="00163911"/>
    <w:rsid w:val="00163BD2"/>
    <w:rsid w:val="00163E7F"/>
    <w:rsid w:val="00163F8E"/>
    <w:rsid w:val="001640F4"/>
    <w:rsid w:val="00164247"/>
    <w:rsid w:val="0016447C"/>
    <w:rsid w:val="00164B87"/>
    <w:rsid w:val="00164C10"/>
    <w:rsid w:val="001652FE"/>
    <w:rsid w:val="00165302"/>
    <w:rsid w:val="001659C3"/>
    <w:rsid w:val="0016657D"/>
    <w:rsid w:val="001667B8"/>
    <w:rsid w:val="00167207"/>
    <w:rsid w:val="001676C9"/>
    <w:rsid w:val="00167CF4"/>
    <w:rsid w:val="00167DF3"/>
    <w:rsid w:val="00171004"/>
    <w:rsid w:val="001713AB"/>
    <w:rsid w:val="00171875"/>
    <w:rsid w:val="00172195"/>
    <w:rsid w:val="0017263C"/>
    <w:rsid w:val="001726F6"/>
    <w:rsid w:val="00172737"/>
    <w:rsid w:val="001729FC"/>
    <w:rsid w:val="00172ECE"/>
    <w:rsid w:val="00172FFB"/>
    <w:rsid w:val="0017315A"/>
    <w:rsid w:val="00173235"/>
    <w:rsid w:val="001733A0"/>
    <w:rsid w:val="00173D8F"/>
    <w:rsid w:val="00173DDB"/>
    <w:rsid w:val="00173E8E"/>
    <w:rsid w:val="001740FE"/>
    <w:rsid w:val="0017410A"/>
    <w:rsid w:val="0017433A"/>
    <w:rsid w:val="0017464D"/>
    <w:rsid w:val="001747D6"/>
    <w:rsid w:val="001748B5"/>
    <w:rsid w:val="00174B6C"/>
    <w:rsid w:val="00174D00"/>
    <w:rsid w:val="00175588"/>
    <w:rsid w:val="00175717"/>
    <w:rsid w:val="00175878"/>
    <w:rsid w:val="001760F2"/>
    <w:rsid w:val="00176145"/>
    <w:rsid w:val="00176ACE"/>
    <w:rsid w:val="001773C6"/>
    <w:rsid w:val="0017777A"/>
    <w:rsid w:val="00177E58"/>
    <w:rsid w:val="00180022"/>
    <w:rsid w:val="001800A7"/>
    <w:rsid w:val="0018038F"/>
    <w:rsid w:val="00180BC9"/>
    <w:rsid w:val="0018110C"/>
    <w:rsid w:val="00181408"/>
    <w:rsid w:val="00181549"/>
    <w:rsid w:val="00181A1E"/>
    <w:rsid w:val="00181D7B"/>
    <w:rsid w:val="00182C1C"/>
    <w:rsid w:val="00182DE0"/>
    <w:rsid w:val="00182F3E"/>
    <w:rsid w:val="00183429"/>
    <w:rsid w:val="001836C6"/>
    <w:rsid w:val="00183C81"/>
    <w:rsid w:val="0018430C"/>
    <w:rsid w:val="00185B8C"/>
    <w:rsid w:val="00185D15"/>
    <w:rsid w:val="00185E0C"/>
    <w:rsid w:val="00185ED8"/>
    <w:rsid w:val="00185F67"/>
    <w:rsid w:val="001860AD"/>
    <w:rsid w:val="001868E8"/>
    <w:rsid w:val="001868F8"/>
    <w:rsid w:val="00186A9A"/>
    <w:rsid w:val="001870E0"/>
    <w:rsid w:val="0019025E"/>
    <w:rsid w:val="001904AF"/>
    <w:rsid w:val="001908AA"/>
    <w:rsid w:val="001908C8"/>
    <w:rsid w:val="00190913"/>
    <w:rsid w:val="001914C1"/>
    <w:rsid w:val="001918E7"/>
    <w:rsid w:val="00191F25"/>
    <w:rsid w:val="00192FFA"/>
    <w:rsid w:val="00193477"/>
    <w:rsid w:val="001936B6"/>
    <w:rsid w:val="00194250"/>
    <w:rsid w:val="00195730"/>
    <w:rsid w:val="00195D24"/>
    <w:rsid w:val="00195EC6"/>
    <w:rsid w:val="0019675F"/>
    <w:rsid w:val="00196ED2"/>
    <w:rsid w:val="00196FE0"/>
    <w:rsid w:val="00197083"/>
    <w:rsid w:val="00197141"/>
    <w:rsid w:val="001974B9"/>
    <w:rsid w:val="00197575"/>
    <w:rsid w:val="00197DD0"/>
    <w:rsid w:val="001A0AF0"/>
    <w:rsid w:val="001A13A3"/>
    <w:rsid w:val="001A17E6"/>
    <w:rsid w:val="001A1EF2"/>
    <w:rsid w:val="001A2882"/>
    <w:rsid w:val="001A2FEE"/>
    <w:rsid w:val="001A4228"/>
    <w:rsid w:val="001A4C10"/>
    <w:rsid w:val="001A4C28"/>
    <w:rsid w:val="001A5261"/>
    <w:rsid w:val="001A53EC"/>
    <w:rsid w:val="001A5821"/>
    <w:rsid w:val="001A5ED6"/>
    <w:rsid w:val="001A64FC"/>
    <w:rsid w:val="001A756F"/>
    <w:rsid w:val="001A77FB"/>
    <w:rsid w:val="001B16FB"/>
    <w:rsid w:val="001B1C34"/>
    <w:rsid w:val="001B1EBB"/>
    <w:rsid w:val="001B1ECF"/>
    <w:rsid w:val="001B29D3"/>
    <w:rsid w:val="001B2B6C"/>
    <w:rsid w:val="001B2CDC"/>
    <w:rsid w:val="001B32E4"/>
    <w:rsid w:val="001B39F3"/>
    <w:rsid w:val="001B3B82"/>
    <w:rsid w:val="001B3C17"/>
    <w:rsid w:val="001B42D8"/>
    <w:rsid w:val="001B4BC0"/>
    <w:rsid w:val="001B68C5"/>
    <w:rsid w:val="001B70D2"/>
    <w:rsid w:val="001B718D"/>
    <w:rsid w:val="001B78A7"/>
    <w:rsid w:val="001B799E"/>
    <w:rsid w:val="001C0168"/>
    <w:rsid w:val="001C0967"/>
    <w:rsid w:val="001C09EB"/>
    <w:rsid w:val="001C16C3"/>
    <w:rsid w:val="001C16F9"/>
    <w:rsid w:val="001C1813"/>
    <w:rsid w:val="001C18DF"/>
    <w:rsid w:val="001C1BC0"/>
    <w:rsid w:val="001C21D1"/>
    <w:rsid w:val="001C232D"/>
    <w:rsid w:val="001C29D9"/>
    <w:rsid w:val="001C316A"/>
    <w:rsid w:val="001C3812"/>
    <w:rsid w:val="001C3BD7"/>
    <w:rsid w:val="001C3BFF"/>
    <w:rsid w:val="001C3C3D"/>
    <w:rsid w:val="001C3D7F"/>
    <w:rsid w:val="001C401F"/>
    <w:rsid w:val="001C425C"/>
    <w:rsid w:val="001C51C1"/>
    <w:rsid w:val="001C5624"/>
    <w:rsid w:val="001C5BB2"/>
    <w:rsid w:val="001C6253"/>
    <w:rsid w:val="001C627C"/>
    <w:rsid w:val="001C66D9"/>
    <w:rsid w:val="001C693B"/>
    <w:rsid w:val="001C6EEB"/>
    <w:rsid w:val="001D022B"/>
    <w:rsid w:val="001D066B"/>
    <w:rsid w:val="001D0CDD"/>
    <w:rsid w:val="001D16EE"/>
    <w:rsid w:val="001D1C17"/>
    <w:rsid w:val="001D1CE9"/>
    <w:rsid w:val="001D2137"/>
    <w:rsid w:val="001D2247"/>
    <w:rsid w:val="001D24FF"/>
    <w:rsid w:val="001D25A3"/>
    <w:rsid w:val="001D399D"/>
    <w:rsid w:val="001D3A27"/>
    <w:rsid w:val="001D3DB0"/>
    <w:rsid w:val="001D4417"/>
    <w:rsid w:val="001D46F8"/>
    <w:rsid w:val="001D5048"/>
    <w:rsid w:val="001D5225"/>
    <w:rsid w:val="001D5477"/>
    <w:rsid w:val="001D56CA"/>
    <w:rsid w:val="001D59EA"/>
    <w:rsid w:val="001D65E1"/>
    <w:rsid w:val="001D68CB"/>
    <w:rsid w:val="001D6DDF"/>
    <w:rsid w:val="001D7541"/>
    <w:rsid w:val="001D7DA5"/>
    <w:rsid w:val="001E01F7"/>
    <w:rsid w:val="001E0325"/>
    <w:rsid w:val="001E055E"/>
    <w:rsid w:val="001E067D"/>
    <w:rsid w:val="001E0B69"/>
    <w:rsid w:val="001E0E43"/>
    <w:rsid w:val="001E0FBD"/>
    <w:rsid w:val="001E12BF"/>
    <w:rsid w:val="001E2EBA"/>
    <w:rsid w:val="001E4C37"/>
    <w:rsid w:val="001E52A6"/>
    <w:rsid w:val="001E56F8"/>
    <w:rsid w:val="001E5C70"/>
    <w:rsid w:val="001E5D6E"/>
    <w:rsid w:val="001E5DDB"/>
    <w:rsid w:val="001E6541"/>
    <w:rsid w:val="001E70FE"/>
    <w:rsid w:val="001E7290"/>
    <w:rsid w:val="001E72AF"/>
    <w:rsid w:val="001E756F"/>
    <w:rsid w:val="001E7A8A"/>
    <w:rsid w:val="001E7AFE"/>
    <w:rsid w:val="001F00F9"/>
    <w:rsid w:val="001F0352"/>
    <w:rsid w:val="001F05D9"/>
    <w:rsid w:val="001F07E3"/>
    <w:rsid w:val="001F11C8"/>
    <w:rsid w:val="001F151D"/>
    <w:rsid w:val="001F164A"/>
    <w:rsid w:val="001F1FDB"/>
    <w:rsid w:val="001F2421"/>
    <w:rsid w:val="001F29C9"/>
    <w:rsid w:val="001F2BB0"/>
    <w:rsid w:val="001F3686"/>
    <w:rsid w:val="001F3E0F"/>
    <w:rsid w:val="001F42E0"/>
    <w:rsid w:val="001F4AF9"/>
    <w:rsid w:val="001F5C39"/>
    <w:rsid w:val="001F5E95"/>
    <w:rsid w:val="001F604C"/>
    <w:rsid w:val="001F6517"/>
    <w:rsid w:val="001F681C"/>
    <w:rsid w:val="001F69F9"/>
    <w:rsid w:val="001F7477"/>
    <w:rsid w:val="001F7E55"/>
    <w:rsid w:val="0020020A"/>
    <w:rsid w:val="00200CEC"/>
    <w:rsid w:val="002012D4"/>
    <w:rsid w:val="00201567"/>
    <w:rsid w:val="0020193F"/>
    <w:rsid w:val="002019E4"/>
    <w:rsid w:val="00201A81"/>
    <w:rsid w:val="00201EF7"/>
    <w:rsid w:val="00202132"/>
    <w:rsid w:val="0020227C"/>
    <w:rsid w:val="00202CFC"/>
    <w:rsid w:val="00202EA8"/>
    <w:rsid w:val="00202EF9"/>
    <w:rsid w:val="00202FD2"/>
    <w:rsid w:val="002032FA"/>
    <w:rsid w:val="0020356D"/>
    <w:rsid w:val="00203A9E"/>
    <w:rsid w:val="00203B83"/>
    <w:rsid w:val="00203F69"/>
    <w:rsid w:val="002041CB"/>
    <w:rsid w:val="00204929"/>
    <w:rsid w:val="00204C3E"/>
    <w:rsid w:val="002052F9"/>
    <w:rsid w:val="0020592A"/>
    <w:rsid w:val="00205FC0"/>
    <w:rsid w:val="002063C2"/>
    <w:rsid w:val="00206496"/>
    <w:rsid w:val="002067FD"/>
    <w:rsid w:val="0020688F"/>
    <w:rsid w:val="002068EA"/>
    <w:rsid w:val="00206B73"/>
    <w:rsid w:val="00206C24"/>
    <w:rsid w:val="00206E10"/>
    <w:rsid w:val="002073A5"/>
    <w:rsid w:val="002107CF"/>
    <w:rsid w:val="002110F8"/>
    <w:rsid w:val="002115D8"/>
    <w:rsid w:val="00211A75"/>
    <w:rsid w:val="00211FB2"/>
    <w:rsid w:val="002123F9"/>
    <w:rsid w:val="00212915"/>
    <w:rsid w:val="002130ED"/>
    <w:rsid w:val="0021333C"/>
    <w:rsid w:val="002133FE"/>
    <w:rsid w:val="00213EA7"/>
    <w:rsid w:val="00215942"/>
    <w:rsid w:val="00216D41"/>
    <w:rsid w:val="00216E97"/>
    <w:rsid w:val="00217131"/>
    <w:rsid w:val="00217E27"/>
    <w:rsid w:val="00220333"/>
    <w:rsid w:val="0022034F"/>
    <w:rsid w:val="00220A43"/>
    <w:rsid w:val="002217D2"/>
    <w:rsid w:val="00221CDC"/>
    <w:rsid w:val="00221D62"/>
    <w:rsid w:val="0022251A"/>
    <w:rsid w:val="00222A5D"/>
    <w:rsid w:val="00222B4D"/>
    <w:rsid w:val="00222C81"/>
    <w:rsid w:val="00222DA5"/>
    <w:rsid w:val="002234A6"/>
    <w:rsid w:val="002238CC"/>
    <w:rsid w:val="002239EB"/>
    <w:rsid w:val="00223C7B"/>
    <w:rsid w:val="00223E19"/>
    <w:rsid w:val="00225436"/>
    <w:rsid w:val="00225518"/>
    <w:rsid w:val="00225C28"/>
    <w:rsid w:val="002262A2"/>
    <w:rsid w:val="00226FFF"/>
    <w:rsid w:val="00227524"/>
    <w:rsid w:val="00227B6D"/>
    <w:rsid w:val="00230215"/>
    <w:rsid w:val="002302C0"/>
    <w:rsid w:val="00231784"/>
    <w:rsid w:val="00231915"/>
    <w:rsid w:val="00231E1D"/>
    <w:rsid w:val="00232CDB"/>
    <w:rsid w:val="00233267"/>
    <w:rsid w:val="00233A91"/>
    <w:rsid w:val="00234432"/>
    <w:rsid w:val="00234C2D"/>
    <w:rsid w:val="00234E1F"/>
    <w:rsid w:val="002352C1"/>
    <w:rsid w:val="00235511"/>
    <w:rsid w:val="00235BB7"/>
    <w:rsid w:val="002365F5"/>
    <w:rsid w:val="002371E8"/>
    <w:rsid w:val="00237798"/>
    <w:rsid w:val="002379D0"/>
    <w:rsid w:val="00237A92"/>
    <w:rsid w:val="00240FB8"/>
    <w:rsid w:val="00241514"/>
    <w:rsid w:val="002420A5"/>
    <w:rsid w:val="002427B2"/>
    <w:rsid w:val="00243249"/>
    <w:rsid w:val="0024336C"/>
    <w:rsid w:val="0024344F"/>
    <w:rsid w:val="0024349A"/>
    <w:rsid w:val="002434E9"/>
    <w:rsid w:val="0024390B"/>
    <w:rsid w:val="002439AB"/>
    <w:rsid w:val="00243B4A"/>
    <w:rsid w:val="00243B72"/>
    <w:rsid w:val="00243BD3"/>
    <w:rsid w:val="00245172"/>
    <w:rsid w:val="002456E3"/>
    <w:rsid w:val="00245A67"/>
    <w:rsid w:val="00246183"/>
    <w:rsid w:val="00246611"/>
    <w:rsid w:val="0024693E"/>
    <w:rsid w:val="00246C10"/>
    <w:rsid w:val="00246CFE"/>
    <w:rsid w:val="0025057D"/>
    <w:rsid w:val="00250597"/>
    <w:rsid w:val="002508FD"/>
    <w:rsid w:val="00251045"/>
    <w:rsid w:val="002519CF"/>
    <w:rsid w:val="00252235"/>
    <w:rsid w:val="002528EE"/>
    <w:rsid w:val="00252A60"/>
    <w:rsid w:val="0025307C"/>
    <w:rsid w:val="00253576"/>
    <w:rsid w:val="00253A89"/>
    <w:rsid w:val="00253D2E"/>
    <w:rsid w:val="002545D8"/>
    <w:rsid w:val="00254872"/>
    <w:rsid w:val="002548FF"/>
    <w:rsid w:val="00254979"/>
    <w:rsid w:val="00254BF5"/>
    <w:rsid w:val="00254D47"/>
    <w:rsid w:val="00255262"/>
    <w:rsid w:val="00255E71"/>
    <w:rsid w:val="0025605E"/>
    <w:rsid w:val="002567FE"/>
    <w:rsid w:val="0025690A"/>
    <w:rsid w:val="00257C25"/>
    <w:rsid w:val="00260522"/>
    <w:rsid w:val="002633C4"/>
    <w:rsid w:val="00263499"/>
    <w:rsid w:val="002638D8"/>
    <w:rsid w:val="00263E13"/>
    <w:rsid w:val="002643ED"/>
    <w:rsid w:val="002645A4"/>
    <w:rsid w:val="00264763"/>
    <w:rsid w:val="0026548F"/>
    <w:rsid w:val="00265E2F"/>
    <w:rsid w:val="00265E5B"/>
    <w:rsid w:val="0026658A"/>
    <w:rsid w:val="00266643"/>
    <w:rsid w:val="00266F27"/>
    <w:rsid w:val="0026725E"/>
    <w:rsid w:val="00267D0B"/>
    <w:rsid w:val="00270931"/>
    <w:rsid w:val="0027098B"/>
    <w:rsid w:val="00270C17"/>
    <w:rsid w:val="00270EAE"/>
    <w:rsid w:val="00271265"/>
    <w:rsid w:val="00271837"/>
    <w:rsid w:val="002718E1"/>
    <w:rsid w:val="00271B3E"/>
    <w:rsid w:val="00271D5B"/>
    <w:rsid w:val="00272960"/>
    <w:rsid w:val="00272964"/>
    <w:rsid w:val="00272A92"/>
    <w:rsid w:val="00272AC3"/>
    <w:rsid w:val="00273131"/>
    <w:rsid w:val="002734D8"/>
    <w:rsid w:val="00273981"/>
    <w:rsid w:val="00273DAC"/>
    <w:rsid w:val="0027415F"/>
    <w:rsid w:val="0027449B"/>
    <w:rsid w:val="00274FBF"/>
    <w:rsid w:val="0027501B"/>
    <w:rsid w:val="002767FE"/>
    <w:rsid w:val="00276AB1"/>
    <w:rsid w:val="00276CD8"/>
    <w:rsid w:val="002772A3"/>
    <w:rsid w:val="00277402"/>
    <w:rsid w:val="002776EC"/>
    <w:rsid w:val="00277C34"/>
    <w:rsid w:val="00277DA4"/>
    <w:rsid w:val="00277E26"/>
    <w:rsid w:val="002801C9"/>
    <w:rsid w:val="002809BD"/>
    <w:rsid w:val="00280EAF"/>
    <w:rsid w:val="00281746"/>
    <w:rsid w:val="002821B3"/>
    <w:rsid w:val="00282401"/>
    <w:rsid w:val="00282727"/>
    <w:rsid w:val="00282BFF"/>
    <w:rsid w:val="00283243"/>
    <w:rsid w:val="002843D5"/>
    <w:rsid w:val="002849A1"/>
    <w:rsid w:val="00284E02"/>
    <w:rsid w:val="00284FEF"/>
    <w:rsid w:val="002850BB"/>
    <w:rsid w:val="002856A6"/>
    <w:rsid w:val="002858E6"/>
    <w:rsid w:val="00285A54"/>
    <w:rsid w:val="00286798"/>
    <w:rsid w:val="00286DD6"/>
    <w:rsid w:val="00286E0C"/>
    <w:rsid w:val="002872B4"/>
    <w:rsid w:val="00287409"/>
    <w:rsid w:val="00290097"/>
    <w:rsid w:val="00290221"/>
    <w:rsid w:val="002902F6"/>
    <w:rsid w:val="00290933"/>
    <w:rsid w:val="00291046"/>
    <w:rsid w:val="00291196"/>
    <w:rsid w:val="00291711"/>
    <w:rsid w:val="00291755"/>
    <w:rsid w:val="00291952"/>
    <w:rsid w:val="00291B63"/>
    <w:rsid w:val="0029202E"/>
    <w:rsid w:val="00292638"/>
    <w:rsid w:val="00292681"/>
    <w:rsid w:val="00295D77"/>
    <w:rsid w:val="002961E2"/>
    <w:rsid w:val="00296333"/>
    <w:rsid w:val="0029636B"/>
    <w:rsid w:val="0029679D"/>
    <w:rsid w:val="00296A08"/>
    <w:rsid w:val="00296C78"/>
    <w:rsid w:val="00297851"/>
    <w:rsid w:val="002979AB"/>
    <w:rsid w:val="00297A23"/>
    <w:rsid w:val="002A10BA"/>
    <w:rsid w:val="002A13F1"/>
    <w:rsid w:val="002A15A4"/>
    <w:rsid w:val="002A1688"/>
    <w:rsid w:val="002A18B3"/>
    <w:rsid w:val="002A2293"/>
    <w:rsid w:val="002A22F0"/>
    <w:rsid w:val="002A30E3"/>
    <w:rsid w:val="002A3B03"/>
    <w:rsid w:val="002A4241"/>
    <w:rsid w:val="002A4341"/>
    <w:rsid w:val="002A4B4C"/>
    <w:rsid w:val="002A4CE9"/>
    <w:rsid w:val="002A540E"/>
    <w:rsid w:val="002A60AA"/>
    <w:rsid w:val="002A7C1B"/>
    <w:rsid w:val="002A7FFE"/>
    <w:rsid w:val="002B044F"/>
    <w:rsid w:val="002B05BC"/>
    <w:rsid w:val="002B08C8"/>
    <w:rsid w:val="002B0A33"/>
    <w:rsid w:val="002B0CD7"/>
    <w:rsid w:val="002B13F8"/>
    <w:rsid w:val="002B15B3"/>
    <w:rsid w:val="002B15E6"/>
    <w:rsid w:val="002B1B7B"/>
    <w:rsid w:val="002B2330"/>
    <w:rsid w:val="002B260E"/>
    <w:rsid w:val="002B2A0B"/>
    <w:rsid w:val="002B3BA8"/>
    <w:rsid w:val="002B3EF9"/>
    <w:rsid w:val="002B471A"/>
    <w:rsid w:val="002B4D8C"/>
    <w:rsid w:val="002B4E3C"/>
    <w:rsid w:val="002B5033"/>
    <w:rsid w:val="002B573F"/>
    <w:rsid w:val="002B61B5"/>
    <w:rsid w:val="002B62C7"/>
    <w:rsid w:val="002B72A3"/>
    <w:rsid w:val="002B773F"/>
    <w:rsid w:val="002C1B0C"/>
    <w:rsid w:val="002C1B91"/>
    <w:rsid w:val="002C1D52"/>
    <w:rsid w:val="002C1DB2"/>
    <w:rsid w:val="002C21F2"/>
    <w:rsid w:val="002C2504"/>
    <w:rsid w:val="002C2EB1"/>
    <w:rsid w:val="002C31FB"/>
    <w:rsid w:val="002C39C8"/>
    <w:rsid w:val="002C3B63"/>
    <w:rsid w:val="002C496F"/>
    <w:rsid w:val="002C4CEC"/>
    <w:rsid w:val="002C5104"/>
    <w:rsid w:val="002C5CED"/>
    <w:rsid w:val="002C5FF5"/>
    <w:rsid w:val="002C6044"/>
    <w:rsid w:val="002C6FF0"/>
    <w:rsid w:val="002C7155"/>
    <w:rsid w:val="002C716F"/>
    <w:rsid w:val="002C718B"/>
    <w:rsid w:val="002C732F"/>
    <w:rsid w:val="002C7762"/>
    <w:rsid w:val="002C7E13"/>
    <w:rsid w:val="002D047E"/>
    <w:rsid w:val="002D05DA"/>
    <w:rsid w:val="002D072E"/>
    <w:rsid w:val="002D08B9"/>
    <w:rsid w:val="002D0C48"/>
    <w:rsid w:val="002D114E"/>
    <w:rsid w:val="002D1587"/>
    <w:rsid w:val="002D1A11"/>
    <w:rsid w:val="002D2065"/>
    <w:rsid w:val="002D2417"/>
    <w:rsid w:val="002D27B5"/>
    <w:rsid w:val="002D2BE8"/>
    <w:rsid w:val="002D31B9"/>
    <w:rsid w:val="002D3390"/>
    <w:rsid w:val="002D3451"/>
    <w:rsid w:val="002D35F0"/>
    <w:rsid w:val="002D3A8B"/>
    <w:rsid w:val="002D3EA6"/>
    <w:rsid w:val="002D3FE7"/>
    <w:rsid w:val="002D4945"/>
    <w:rsid w:val="002D4D78"/>
    <w:rsid w:val="002D5489"/>
    <w:rsid w:val="002D5536"/>
    <w:rsid w:val="002D55BF"/>
    <w:rsid w:val="002D5734"/>
    <w:rsid w:val="002D5AB9"/>
    <w:rsid w:val="002D6031"/>
    <w:rsid w:val="002D6088"/>
    <w:rsid w:val="002D61D6"/>
    <w:rsid w:val="002D6918"/>
    <w:rsid w:val="002D6BAF"/>
    <w:rsid w:val="002D6FBF"/>
    <w:rsid w:val="002D7237"/>
    <w:rsid w:val="002D7A6D"/>
    <w:rsid w:val="002E0FEB"/>
    <w:rsid w:val="002E12DB"/>
    <w:rsid w:val="002E1662"/>
    <w:rsid w:val="002E24C4"/>
    <w:rsid w:val="002E2E7B"/>
    <w:rsid w:val="002E3206"/>
    <w:rsid w:val="002E39FF"/>
    <w:rsid w:val="002E47C0"/>
    <w:rsid w:val="002E4FCF"/>
    <w:rsid w:val="002E522C"/>
    <w:rsid w:val="002E58BA"/>
    <w:rsid w:val="002E5FA8"/>
    <w:rsid w:val="002E640B"/>
    <w:rsid w:val="002E692E"/>
    <w:rsid w:val="002F03F2"/>
    <w:rsid w:val="002F04A6"/>
    <w:rsid w:val="002F0926"/>
    <w:rsid w:val="002F0A83"/>
    <w:rsid w:val="002F0F6B"/>
    <w:rsid w:val="002F0FEF"/>
    <w:rsid w:val="002F19AA"/>
    <w:rsid w:val="002F20AA"/>
    <w:rsid w:val="002F2DBD"/>
    <w:rsid w:val="002F2DFF"/>
    <w:rsid w:val="002F3641"/>
    <w:rsid w:val="002F3E40"/>
    <w:rsid w:val="002F4785"/>
    <w:rsid w:val="002F4E8C"/>
    <w:rsid w:val="002F52B1"/>
    <w:rsid w:val="002F57B1"/>
    <w:rsid w:val="002F7661"/>
    <w:rsid w:val="002F772C"/>
    <w:rsid w:val="002F7BC4"/>
    <w:rsid w:val="0030099C"/>
    <w:rsid w:val="0030099E"/>
    <w:rsid w:val="00301556"/>
    <w:rsid w:val="00301E65"/>
    <w:rsid w:val="0030229C"/>
    <w:rsid w:val="003022F0"/>
    <w:rsid w:val="0030287D"/>
    <w:rsid w:val="00302D1A"/>
    <w:rsid w:val="0030334F"/>
    <w:rsid w:val="003043C4"/>
    <w:rsid w:val="00304427"/>
    <w:rsid w:val="003044B5"/>
    <w:rsid w:val="0030492C"/>
    <w:rsid w:val="00305959"/>
    <w:rsid w:val="00305B07"/>
    <w:rsid w:val="00305F57"/>
    <w:rsid w:val="00306032"/>
    <w:rsid w:val="0030612F"/>
    <w:rsid w:val="0030628C"/>
    <w:rsid w:val="00306BA5"/>
    <w:rsid w:val="00306D17"/>
    <w:rsid w:val="00306F3D"/>
    <w:rsid w:val="00310622"/>
    <w:rsid w:val="003110A0"/>
    <w:rsid w:val="003111D1"/>
    <w:rsid w:val="0031157C"/>
    <w:rsid w:val="003115FA"/>
    <w:rsid w:val="0031186A"/>
    <w:rsid w:val="00311B81"/>
    <w:rsid w:val="00311D67"/>
    <w:rsid w:val="00311F4C"/>
    <w:rsid w:val="003123E1"/>
    <w:rsid w:val="003123E7"/>
    <w:rsid w:val="00312561"/>
    <w:rsid w:val="003126E6"/>
    <w:rsid w:val="00312A44"/>
    <w:rsid w:val="00312B0A"/>
    <w:rsid w:val="003130E1"/>
    <w:rsid w:val="0031344D"/>
    <w:rsid w:val="00313519"/>
    <w:rsid w:val="0031356D"/>
    <w:rsid w:val="00313FDE"/>
    <w:rsid w:val="003141A3"/>
    <w:rsid w:val="00314A32"/>
    <w:rsid w:val="00314F44"/>
    <w:rsid w:val="00314F59"/>
    <w:rsid w:val="0031551B"/>
    <w:rsid w:val="00316377"/>
    <w:rsid w:val="003172A8"/>
    <w:rsid w:val="003173E1"/>
    <w:rsid w:val="003179F5"/>
    <w:rsid w:val="00317ECD"/>
    <w:rsid w:val="003200B3"/>
    <w:rsid w:val="003200C0"/>
    <w:rsid w:val="003209CF"/>
    <w:rsid w:val="003213D4"/>
    <w:rsid w:val="003216B0"/>
    <w:rsid w:val="0032181A"/>
    <w:rsid w:val="00321DDC"/>
    <w:rsid w:val="003231E0"/>
    <w:rsid w:val="00323334"/>
    <w:rsid w:val="003234EE"/>
    <w:rsid w:val="003240A4"/>
    <w:rsid w:val="00324178"/>
    <w:rsid w:val="003242DE"/>
    <w:rsid w:val="00325BEF"/>
    <w:rsid w:val="003263A8"/>
    <w:rsid w:val="00326A9A"/>
    <w:rsid w:val="003272B2"/>
    <w:rsid w:val="00327508"/>
    <w:rsid w:val="003275A0"/>
    <w:rsid w:val="00327618"/>
    <w:rsid w:val="0032783D"/>
    <w:rsid w:val="00327D6E"/>
    <w:rsid w:val="00327DCF"/>
    <w:rsid w:val="003305F0"/>
    <w:rsid w:val="00330DD5"/>
    <w:rsid w:val="00330F9A"/>
    <w:rsid w:val="0033112B"/>
    <w:rsid w:val="00331136"/>
    <w:rsid w:val="003311E5"/>
    <w:rsid w:val="003313E6"/>
    <w:rsid w:val="0033157C"/>
    <w:rsid w:val="00331863"/>
    <w:rsid w:val="00331A65"/>
    <w:rsid w:val="00331D47"/>
    <w:rsid w:val="0033226C"/>
    <w:rsid w:val="00332708"/>
    <w:rsid w:val="003329CB"/>
    <w:rsid w:val="00332F25"/>
    <w:rsid w:val="0033310A"/>
    <w:rsid w:val="00333328"/>
    <w:rsid w:val="003334BD"/>
    <w:rsid w:val="0033501B"/>
    <w:rsid w:val="00335039"/>
    <w:rsid w:val="00335647"/>
    <w:rsid w:val="00336032"/>
    <w:rsid w:val="00336493"/>
    <w:rsid w:val="00336A12"/>
    <w:rsid w:val="00336B49"/>
    <w:rsid w:val="003376F9"/>
    <w:rsid w:val="00337B04"/>
    <w:rsid w:val="00337E10"/>
    <w:rsid w:val="00340567"/>
    <w:rsid w:val="003405D2"/>
    <w:rsid w:val="00341245"/>
    <w:rsid w:val="003416FC"/>
    <w:rsid w:val="003419A0"/>
    <w:rsid w:val="00341BB4"/>
    <w:rsid w:val="003421DA"/>
    <w:rsid w:val="003425B3"/>
    <w:rsid w:val="00342859"/>
    <w:rsid w:val="00342CCE"/>
    <w:rsid w:val="00343191"/>
    <w:rsid w:val="003434E6"/>
    <w:rsid w:val="0034370B"/>
    <w:rsid w:val="003455CB"/>
    <w:rsid w:val="00345B56"/>
    <w:rsid w:val="00345BEA"/>
    <w:rsid w:val="00345F85"/>
    <w:rsid w:val="00346106"/>
    <w:rsid w:val="003463CF"/>
    <w:rsid w:val="00346A51"/>
    <w:rsid w:val="00346AF4"/>
    <w:rsid w:val="00346C53"/>
    <w:rsid w:val="00346E4B"/>
    <w:rsid w:val="00347385"/>
    <w:rsid w:val="0034743D"/>
    <w:rsid w:val="0034796C"/>
    <w:rsid w:val="00347CE5"/>
    <w:rsid w:val="00350072"/>
    <w:rsid w:val="00350AE3"/>
    <w:rsid w:val="00350FDF"/>
    <w:rsid w:val="0035188B"/>
    <w:rsid w:val="00351BF9"/>
    <w:rsid w:val="00352015"/>
    <w:rsid w:val="00352567"/>
    <w:rsid w:val="00353679"/>
    <w:rsid w:val="00353B87"/>
    <w:rsid w:val="003543ED"/>
    <w:rsid w:val="0035462E"/>
    <w:rsid w:val="00354915"/>
    <w:rsid w:val="00354D5A"/>
    <w:rsid w:val="0035504E"/>
    <w:rsid w:val="00355087"/>
    <w:rsid w:val="00355196"/>
    <w:rsid w:val="0035569A"/>
    <w:rsid w:val="00355A80"/>
    <w:rsid w:val="00355F51"/>
    <w:rsid w:val="0035661C"/>
    <w:rsid w:val="0035665C"/>
    <w:rsid w:val="00356AFD"/>
    <w:rsid w:val="00356CA8"/>
    <w:rsid w:val="00356CD1"/>
    <w:rsid w:val="0035710B"/>
    <w:rsid w:val="003574AD"/>
    <w:rsid w:val="00357558"/>
    <w:rsid w:val="003575C5"/>
    <w:rsid w:val="003578D3"/>
    <w:rsid w:val="003606F4"/>
    <w:rsid w:val="00360A54"/>
    <w:rsid w:val="00361E93"/>
    <w:rsid w:val="00362508"/>
    <w:rsid w:val="00362BFD"/>
    <w:rsid w:val="00362D95"/>
    <w:rsid w:val="00362EFD"/>
    <w:rsid w:val="003635B6"/>
    <w:rsid w:val="003640BB"/>
    <w:rsid w:val="003647BA"/>
    <w:rsid w:val="0036498C"/>
    <w:rsid w:val="00364D3A"/>
    <w:rsid w:val="00364E51"/>
    <w:rsid w:val="003652AF"/>
    <w:rsid w:val="003664E2"/>
    <w:rsid w:val="003668EA"/>
    <w:rsid w:val="00366982"/>
    <w:rsid w:val="00366B12"/>
    <w:rsid w:val="00366E47"/>
    <w:rsid w:val="00367425"/>
    <w:rsid w:val="00367EDD"/>
    <w:rsid w:val="003704FF"/>
    <w:rsid w:val="003709D4"/>
    <w:rsid w:val="00371DD5"/>
    <w:rsid w:val="0037226E"/>
    <w:rsid w:val="00372336"/>
    <w:rsid w:val="0037250E"/>
    <w:rsid w:val="00372902"/>
    <w:rsid w:val="00373054"/>
    <w:rsid w:val="00374826"/>
    <w:rsid w:val="003749D4"/>
    <w:rsid w:val="00374BB5"/>
    <w:rsid w:val="003755DE"/>
    <w:rsid w:val="00375725"/>
    <w:rsid w:val="0037683A"/>
    <w:rsid w:val="00376AA6"/>
    <w:rsid w:val="00376BD3"/>
    <w:rsid w:val="00377361"/>
    <w:rsid w:val="00377506"/>
    <w:rsid w:val="00377B16"/>
    <w:rsid w:val="00377D6F"/>
    <w:rsid w:val="00380314"/>
    <w:rsid w:val="00380357"/>
    <w:rsid w:val="0038035A"/>
    <w:rsid w:val="003812FE"/>
    <w:rsid w:val="00381734"/>
    <w:rsid w:val="00381DBC"/>
    <w:rsid w:val="00381DF5"/>
    <w:rsid w:val="00381FDA"/>
    <w:rsid w:val="00382160"/>
    <w:rsid w:val="003829DE"/>
    <w:rsid w:val="00382E75"/>
    <w:rsid w:val="00383725"/>
    <w:rsid w:val="00383994"/>
    <w:rsid w:val="00383F10"/>
    <w:rsid w:val="00384747"/>
    <w:rsid w:val="00384921"/>
    <w:rsid w:val="003850FD"/>
    <w:rsid w:val="003853BD"/>
    <w:rsid w:val="00385ECA"/>
    <w:rsid w:val="00385F0B"/>
    <w:rsid w:val="00386689"/>
    <w:rsid w:val="00386741"/>
    <w:rsid w:val="0038741F"/>
    <w:rsid w:val="00387E7C"/>
    <w:rsid w:val="003906F2"/>
    <w:rsid w:val="0039083A"/>
    <w:rsid w:val="00390F07"/>
    <w:rsid w:val="0039199F"/>
    <w:rsid w:val="0039284B"/>
    <w:rsid w:val="00392F70"/>
    <w:rsid w:val="003932E1"/>
    <w:rsid w:val="003935D5"/>
    <w:rsid w:val="00393709"/>
    <w:rsid w:val="00393B0F"/>
    <w:rsid w:val="00393D22"/>
    <w:rsid w:val="00393DE0"/>
    <w:rsid w:val="00394C81"/>
    <w:rsid w:val="00395104"/>
    <w:rsid w:val="00395CD8"/>
    <w:rsid w:val="003961B9"/>
    <w:rsid w:val="00396868"/>
    <w:rsid w:val="0039692A"/>
    <w:rsid w:val="00396E2D"/>
    <w:rsid w:val="00397148"/>
    <w:rsid w:val="003A05D6"/>
    <w:rsid w:val="003A1640"/>
    <w:rsid w:val="003A1B80"/>
    <w:rsid w:val="003A1D0E"/>
    <w:rsid w:val="003A228F"/>
    <w:rsid w:val="003A2C29"/>
    <w:rsid w:val="003A2C44"/>
    <w:rsid w:val="003A3C1C"/>
    <w:rsid w:val="003A3DA4"/>
    <w:rsid w:val="003A493E"/>
    <w:rsid w:val="003A4F9A"/>
    <w:rsid w:val="003A50AF"/>
    <w:rsid w:val="003A5EFD"/>
    <w:rsid w:val="003A6616"/>
    <w:rsid w:val="003A665A"/>
    <w:rsid w:val="003A6A1B"/>
    <w:rsid w:val="003A6F65"/>
    <w:rsid w:val="003A77D6"/>
    <w:rsid w:val="003A7C21"/>
    <w:rsid w:val="003A7DD9"/>
    <w:rsid w:val="003B0AFE"/>
    <w:rsid w:val="003B0CE1"/>
    <w:rsid w:val="003B1BA3"/>
    <w:rsid w:val="003B2171"/>
    <w:rsid w:val="003B2A48"/>
    <w:rsid w:val="003B2CB2"/>
    <w:rsid w:val="003B2DE8"/>
    <w:rsid w:val="003B2ED2"/>
    <w:rsid w:val="003B34FC"/>
    <w:rsid w:val="003B35DA"/>
    <w:rsid w:val="003B471F"/>
    <w:rsid w:val="003B477C"/>
    <w:rsid w:val="003B4C45"/>
    <w:rsid w:val="003B4CC4"/>
    <w:rsid w:val="003B55E4"/>
    <w:rsid w:val="003B5DA9"/>
    <w:rsid w:val="003B5DBE"/>
    <w:rsid w:val="003B629D"/>
    <w:rsid w:val="003B633D"/>
    <w:rsid w:val="003B688B"/>
    <w:rsid w:val="003B72C8"/>
    <w:rsid w:val="003B74F6"/>
    <w:rsid w:val="003B7583"/>
    <w:rsid w:val="003B78B0"/>
    <w:rsid w:val="003C0361"/>
    <w:rsid w:val="003C087D"/>
    <w:rsid w:val="003C0B84"/>
    <w:rsid w:val="003C15CC"/>
    <w:rsid w:val="003C17A5"/>
    <w:rsid w:val="003C17EC"/>
    <w:rsid w:val="003C1C53"/>
    <w:rsid w:val="003C250F"/>
    <w:rsid w:val="003C3507"/>
    <w:rsid w:val="003C3F81"/>
    <w:rsid w:val="003C4BDF"/>
    <w:rsid w:val="003C4D26"/>
    <w:rsid w:val="003C4F43"/>
    <w:rsid w:val="003C5B36"/>
    <w:rsid w:val="003C5F1D"/>
    <w:rsid w:val="003C6F2F"/>
    <w:rsid w:val="003C74A9"/>
    <w:rsid w:val="003C7FB1"/>
    <w:rsid w:val="003D0AC6"/>
    <w:rsid w:val="003D1200"/>
    <w:rsid w:val="003D21DB"/>
    <w:rsid w:val="003D22BD"/>
    <w:rsid w:val="003D250A"/>
    <w:rsid w:val="003D259F"/>
    <w:rsid w:val="003D2E1D"/>
    <w:rsid w:val="003D3688"/>
    <w:rsid w:val="003D4A92"/>
    <w:rsid w:val="003D4BF5"/>
    <w:rsid w:val="003D54BF"/>
    <w:rsid w:val="003D5BB0"/>
    <w:rsid w:val="003D5E03"/>
    <w:rsid w:val="003D625E"/>
    <w:rsid w:val="003D673C"/>
    <w:rsid w:val="003D6854"/>
    <w:rsid w:val="003D68E3"/>
    <w:rsid w:val="003D6A7B"/>
    <w:rsid w:val="003D6B91"/>
    <w:rsid w:val="003D76AF"/>
    <w:rsid w:val="003D7783"/>
    <w:rsid w:val="003D77F5"/>
    <w:rsid w:val="003D7B09"/>
    <w:rsid w:val="003D7FBB"/>
    <w:rsid w:val="003E024C"/>
    <w:rsid w:val="003E092A"/>
    <w:rsid w:val="003E0C2B"/>
    <w:rsid w:val="003E17D2"/>
    <w:rsid w:val="003E1AAB"/>
    <w:rsid w:val="003E27DE"/>
    <w:rsid w:val="003E29CE"/>
    <w:rsid w:val="003E3480"/>
    <w:rsid w:val="003E3604"/>
    <w:rsid w:val="003E3E95"/>
    <w:rsid w:val="003E3EA2"/>
    <w:rsid w:val="003E4A72"/>
    <w:rsid w:val="003E4C73"/>
    <w:rsid w:val="003E4DE1"/>
    <w:rsid w:val="003E5BF2"/>
    <w:rsid w:val="003E6E3B"/>
    <w:rsid w:val="003E712C"/>
    <w:rsid w:val="003E7242"/>
    <w:rsid w:val="003E758F"/>
    <w:rsid w:val="003E77E3"/>
    <w:rsid w:val="003E7863"/>
    <w:rsid w:val="003E7DDB"/>
    <w:rsid w:val="003F0026"/>
    <w:rsid w:val="003F0A3A"/>
    <w:rsid w:val="003F17F9"/>
    <w:rsid w:val="003F1D82"/>
    <w:rsid w:val="003F27A6"/>
    <w:rsid w:val="003F28FC"/>
    <w:rsid w:val="003F2A74"/>
    <w:rsid w:val="003F3153"/>
    <w:rsid w:val="003F34F0"/>
    <w:rsid w:val="003F3B8D"/>
    <w:rsid w:val="003F3BE6"/>
    <w:rsid w:val="003F3F0B"/>
    <w:rsid w:val="003F425A"/>
    <w:rsid w:val="003F4561"/>
    <w:rsid w:val="003F4A2B"/>
    <w:rsid w:val="003F4B94"/>
    <w:rsid w:val="003F4FEC"/>
    <w:rsid w:val="003F504F"/>
    <w:rsid w:val="003F509C"/>
    <w:rsid w:val="003F5166"/>
    <w:rsid w:val="003F54A1"/>
    <w:rsid w:val="003F562F"/>
    <w:rsid w:val="003F5D4E"/>
    <w:rsid w:val="003F5E16"/>
    <w:rsid w:val="003F5E80"/>
    <w:rsid w:val="003F629E"/>
    <w:rsid w:val="003F6C86"/>
    <w:rsid w:val="003F6CBD"/>
    <w:rsid w:val="003F6DD9"/>
    <w:rsid w:val="003F71DC"/>
    <w:rsid w:val="003F7255"/>
    <w:rsid w:val="003F7B3A"/>
    <w:rsid w:val="00400316"/>
    <w:rsid w:val="0040067B"/>
    <w:rsid w:val="00400F8A"/>
    <w:rsid w:val="0040111E"/>
    <w:rsid w:val="00401569"/>
    <w:rsid w:val="004019EB"/>
    <w:rsid w:val="00401CFF"/>
    <w:rsid w:val="00402612"/>
    <w:rsid w:val="004031A5"/>
    <w:rsid w:val="004032CA"/>
    <w:rsid w:val="004032E6"/>
    <w:rsid w:val="0040331E"/>
    <w:rsid w:val="00403662"/>
    <w:rsid w:val="004037F7"/>
    <w:rsid w:val="00403A50"/>
    <w:rsid w:val="00403A6F"/>
    <w:rsid w:val="00404248"/>
    <w:rsid w:val="004045C1"/>
    <w:rsid w:val="00404892"/>
    <w:rsid w:val="00404A80"/>
    <w:rsid w:val="00404ABB"/>
    <w:rsid w:val="00404E1F"/>
    <w:rsid w:val="00404E57"/>
    <w:rsid w:val="00405022"/>
    <w:rsid w:val="00405F06"/>
    <w:rsid w:val="004064AA"/>
    <w:rsid w:val="00407109"/>
    <w:rsid w:val="00407383"/>
    <w:rsid w:val="0040749C"/>
    <w:rsid w:val="00407C00"/>
    <w:rsid w:val="0041047F"/>
    <w:rsid w:val="00410B4E"/>
    <w:rsid w:val="00410C67"/>
    <w:rsid w:val="00411A89"/>
    <w:rsid w:val="00411B69"/>
    <w:rsid w:val="00411C9E"/>
    <w:rsid w:val="00411FCB"/>
    <w:rsid w:val="00412020"/>
    <w:rsid w:val="00412046"/>
    <w:rsid w:val="004121D3"/>
    <w:rsid w:val="004122B0"/>
    <w:rsid w:val="004123DE"/>
    <w:rsid w:val="0041266D"/>
    <w:rsid w:val="004126EA"/>
    <w:rsid w:val="0041284C"/>
    <w:rsid w:val="00412975"/>
    <w:rsid w:val="00412FA5"/>
    <w:rsid w:val="0041333B"/>
    <w:rsid w:val="00413355"/>
    <w:rsid w:val="00413B66"/>
    <w:rsid w:val="00413D83"/>
    <w:rsid w:val="00413E8E"/>
    <w:rsid w:val="004143D5"/>
    <w:rsid w:val="00414424"/>
    <w:rsid w:val="00415D81"/>
    <w:rsid w:val="00416FF6"/>
    <w:rsid w:val="00417099"/>
    <w:rsid w:val="004171ED"/>
    <w:rsid w:val="004172D5"/>
    <w:rsid w:val="00417711"/>
    <w:rsid w:val="00417FF7"/>
    <w:rsid w:val="004200F1"/>
    <w:rsid w:val="0042022E"/>
    <w:rsid w:val="0042048A"/>
    <w:rsid w:val="004208DB"/>
    <w:rsid w:val="004211A0"/>
    <w:rsid w:val="00421B70"/>
    <w:rsid w:val="00421F01"/>
    <w:rsid w:val="0042292F"/>
    <w:rsid w:val="00422DF8"/>
    <w:rsid w:val="00423066"/>
    <w:rsid w:val="0042348D"/>
    <w:rsid w:val="004238DA"/>
    <w:rsid w:val="004238FC"/>
    <w:rsid w:val="00423A91"/>
    <w:rsid w:val="00423AE7"/>
    <w:rsid w:val="00423E52"/>
    <w:rsid w:val="00423E5B"/>
    <w:rsid w:val="00423FA0"/>
    <w:rsid w:val="0042449A"/>
    <w:rsid w:val="00424B82"/>
    <w:rsid w:val="00424BC2"/>
    <w:rsid w:val="004256B8"/>
    <w:rsid w:val="00425A60"/>
    <w:rsid w:val="004263BF"/>
    <w:rsid w:val="00426778"/>
    <w:rsid w:val="00426BB2"/>
    <w:rsid w:val="00427844"/>
    <w:rsid w:val="00427B68"/>
    <w:rsid w:val="004300B5"/>
    <w:rsid w:val="00430486"/>
    <w:rsid w:val="00430AE3"/>
    <w:rsid w:val="00430CB7"/>
    <w:rsid w:val="00430FA6"/>
    <w:rsid w:val="004312C7"/>
    <w:rsid w:val="00431567"/>
    <w:rsid w:val="004315DD"/>
    <w:rsid w:val="00431F38"/>
    <w:rsid w:val="0043256F"/>
    <w:rsid w:val="004329E7"/>
    <w:rsid w:val="00432A4A"/>
    <w:rsid w:val="00432AFF"/>
    <w:rsid w:val="004333D0"/>
    <w:rsid w:val="0043448D"/>
    <w:rsid w:val="00435125"/>
    <w:rsid w:val="004368C2"/>
    <w:rsid w:val="00437690"/>
    <w:rsid w:val="00437F53"/>
    <w:rsid w:val="004405E0"/>
    <w:rsid w:val="00440950"/>
    <w:rsid w:val="00440B44"/>
    <w:rsid w:val="00440F7B"/>
    <w:rsid w:val="00440F83"/>
    <w:rsid w:val="00441E72"/>
    <w:rsid w:val="004423AD"/>
    <w:rsid w:val="0044303B"/>
    <w:rsid w:val="00443159"/>
    <w:rsid w:val="00443422"/>
    <w:rsid w:val="0044411D"/>
    <w:rsid w:val="0044484C"/>
    <w:rsid w:val="00444D8B"/>
    <w:rsid w:val="00445E51"/>
    <w:rsid w:val="0044633A"/>
    <w:rsid w:val="0044675D"/>
    <w:rsid w:val="00446DA7"/>
    <w:rsid w:val="00446F05"/>
    <w:rsid w:val="0044755B"/>
    <w:rsid w:val="004475E0"/>
    <w:rsid w:val="004478B9"/>
    <w:rsid w:val="00450206"/>
    <w:rsid w:val="00450A5C"/>
    <w:rsid w:val="00450EB3"/>
    <w:rsid w:val="00451182"/>
    <w:rsid w:val="0045136E"/>
    <w:rsid w:val="00451F8F"/>
    <w:rsid w:val="00451FC5"/>
    <w:rsid w:val="004521DC"/>
    <w:rsid w:val="00452362"/>
    <w:rsid w:val="0045278C"/>
    <w:rsid w:val="00452C62"/>
    <w:rsid w:val="00452FCA"/>
    <w:rsid w:val="00453769"/>
    <w:rsid w:val="00453A67"/>
    <w:rsid w:val="00453A85"/>
    <w:rsid w:val="00454517"/>
    <w:rsid w:val="00454D22"/>
    <w:rsid w:val="00455022"/>
    <w:rsid w:val="00455271"/>
    <w:rsid w:val="00455538"/>
    <w:rsid w:val="00455720"/>
    <w:rsid w:val="00456CCE"/>
    <w:rsid w:val="00456D7A"/>
    <w:rsid w:val="00457514"/>
    <w:rsid w:val="0045767A"/>
    <w:rsid w:val="004579CC"/>
    <w:rsid w:val="00457B93"/>
    <w:rsid w:val="00457E7C"/>
    <w:rsid w:val="00457ECB"/>
    <w:rsid w:val="00457F86"/>
    <w:rsid w:val="00460345"/>
    <w:rsid w:val="004619A4"/>
    <w:rsid w:val="00461B97"/>
    <w:rsid w:val="0046286B"/>
    <w:rsid w:val="004628B4"/>
    <w:rsid w:val="004628B6"/>
    <w:rsid w:val="00462A06"/>
    <w:rsid w:val="00462E40"/>
    <w:rsid w:val="00463463"/>
    <w:rsid w:val="004634D5"/>
    <w:rsid w:val="00463C0E"/>
    <w:rsid w:val="004640DC"/>
    <w:rsid w:val="00464261"/>
    <w:rsid w:val="00464A57"/>
    <w:rsid w:val="00465235"/>
    <w:rsid w:val="004658CE"/>
    <w:rsid w:val="004659B2"/>
    <w:rsid w:val="00465FBE"/>
    <w:rsid w:val="00466436"/>
    <w:rsid w:val="004664E2"/>
    <w:rsid w:val="0046661C"/>
    <w:rsid w:val="00466676"/>
    <w:rsid w:val="00466886"/>
    <w:rsid w:val="00466A3B"/>
    <w:rsid w:val="004675F1"/>
    <w:rsid w:val="00470F0A"/>
    <w:rsid w:val="00470F6F"/>
    <w:rsid w:val="0047153C"/>
    <w:rsid w:val="00471625"/>
    <w:rsid w:val="00471786"/>
    <w:rsid w:val="00471B99"/>
    <w:rsid w:val="00471F66"/>
    <w:rsid w:val="004724AB"/>
    <w:rsid w:val="0047276F"/>
    <w:rsid w:val="0047304A"/>
    <w:rsid w:val="00473E99"/>
    <w:rsid w:val="004742C2"/>
    <w:rsid w:val="0047486E"/>
    <w:rsid w:val="00474DD8"/>
    <w:rsid w:val="00474FB8"/>
    <w:rsid w:val="004750D9"/>
    <w:rsid w:val="004756B1"/>
    <w:rsid w:val="004764CE"/>
    <w:rsid w:val="004765C3"/>
    <w:rsid w:val="004766F8"/>
    <w:rsid w:val="00476C10"/>
    <w:rsid w:val="00476CDB"/>
    <w:rsid w:val="00477129"/>
    <w:rsid w:val="00477CC2"/>
    <w:rsid w:val="00477E9F"/>
    <w:rsid w:val="0048025E"/>
    <w:rsid w:val="0048027A"/>
    <w:rsid w:val="00480F48"/>
    <w:rsid w:val="00482725"/>
    <w:rsid w:val="0048272D"/>
    <w:rsid w:val="00482EFB"/>
    <w:rsid w:val="004837AB"/>
    <w:rsid w:val="004839F5"/>
    <w:rsid w:val="00483C3E"/>
    <w:rsid w:val="00484F02"/>
    <w:rsid w:val="00485245"/>
    <w:rsid w:val="00485584"/>
    <w:rsid w:val="004857F3"/>
    <w:rsid w:val="00485C2D"/>
    <w:rsid w:val="00485F50"/>
    <w:rsid w:val="00486575"/>
    <w:rsid w:val="004866EB"/>
    <w:rsid w:val="004868AA"/>
    <w:rsid w:val="004870BC"/>
    <w:rsid w:val="0048711F"/>
    <w:rsid w:val="00487676"/>
    <w:rsid w:val="004906B9"/>
    <w:rsid w:val="00490C73"/>
    <w:rsid w:val="004913F0"/>
    <w:rsid w:val="00491645"/>
    <w:rsid w:val="004917F4"/>
    <w:rsid w:val="00492301"/>
    <w:rsid w:val="004928A9"/>
    <w:rsid w:val="00492AD3"/>
    <w:rsid w:val="00492AD9"/>
    <w:rsid w:val="00492D44"/>
    <w:rsid w:val="0049301A"/>
    <w:rsid w:val="00493267"/>
    <w:rsid w:val="00493485"/>
    <w:rsid w:val="004936F4"/>
    <w:rsid w:val="00493815"/>
    <w:rsid w:val="00493B6B"/>
    <w:rsid w:val="004941D6"/>
    <w:rsid w:val="00494237"/>
    <w:rsid w:val="00494449"/>
    <w:rsid w:val="00494783"/>
    <w:rsid w:val="0049551D"/>
    <w:rsid w:val="00496727"/>
    <w:rsid w:val="004969F3"/>
    <w:rsid w:val="00496A24"/>
    <w:rsid w:val="004A0514"/>
    <w:rsid w:val="004A0993"/>
    <w:rsid w:val="004A0B1F"/>
    <w:rsid w:val="004A0C7E"/>
    <w:rsid w:val="004A0CD2"/>
    <w:rsid w:val="004A1CE5"/>
    <w:rsid w:val="004A2510"/>
    <w:rsid w:val="004A25C7"/>
    <w:rsid w:val="004A2C23"/>
    <w:rsid w:val="004A3340"/>
    <w:rsid w:val="004A3874"/>
    <w:rsid w:val="004A399C"/>
    <w:rsid w:val="004A436D"/>
    <w:rsid w:val="004A43EF"/>
    <w:rsid w:val="004A4A0D"/>
    <w:rsid w:val="004A4FCD"/>
    <w:rsid w:val="004A5508"/>
    <w:rsid w:val="004A58C5"/>
    <w:rsid w:val="004A59AB"/>
    <w:rsid w:val="004A5B11"/>
    <w:rsid w:val="004A6817"/>
    <w:rsid w:val="004A6FAB"/>
    <w:rsid w:val="004A7356"/>
    <w:rsid w:val="004A7BDE"/>
    <w:rsid w:val="004A7EC8"/>
    <w:rsid w:val="004B02D0"/>
    <w:rsid w:val="004B0344"/>
    <w:rsid w:val="004B0404"/>
    <w:rsid w:val="004B0904"/>
    <w:rsid w:val="004B0E22"/>
    <w:rsid w:val="004B1256"/>
    <w:rsid w:val="004B14F7"/>
    <w:rsid w:val="004B178A"/>
    <w:rsid w:val="004B1882"/>
    <w:rsid w:val="004B19F2"/>
    <w:rsid w:val="004B23B7"/>
    <w:rsid w:val="004B28CE"/>
    <w:rsid w:val="004B386C"/>
    <w:rsid w:val="004B43CD"/>
    <w:rsid w:val="004B5006"/>
    <w:rsid w:val="004B5507"/>
    <w:rsid w:val="004B56FD"/>
    <w:rsid w:val="004B5876"/>
    <w:rsid w:val="004B5D94"/>
    <w:rsid w:val="004B611B"/>
    <w:rsid w:val="004B65C2"/>
    <w:rsid w:val="004B6642"/>
    <w:rsid w:val="004B6D14"/>
    <w:rsid w:val="004B77E6"/>
    <w:rsid w:val="004B78C8"/>
    <w:rsid w:val="004B7B67"/>
    <w:rsid w:val="004C0029"/>
    <w:rsid w:val="004C0056"/>
    <w:rsid w:val="004C0D5C"/>
    <w:rsid w:val="004C0DCB"/>
    <w:rsid w:val="004C1441"/>
    <w:rsid w:val="004C1616"/>
    <w:rsid w:val="004C18AB"/>
    <w:rsid w:val="004C2409"/>
    <w:rsid w:val="004C24B9"/>
    <w:rsid w:val="004C2E75"/>
    <w:rsid w:val="004C31A8"/>
    <w:rsid w:val="004C372A"/>
    <w:rsid w:val="004C3AD0"/>
    <w:rsid w:val="004C3AFD"/>
    <w:rsid w:val="004C4675"/>
    <w:rsid w:val="004C4683"/>
    <w:rsid w:val="004C54E2"/>
    <w:rsid w:val="004C5555"/>
    <w:rsid w:val="004C5DF4"/>
    <w:rsid w:val="004C63AE"/>
    <w:rsid w:val="004C6FAB"/>
    <w:rsid w:val="004C6FE1"/>
    <w:rsid w:val="004C7275"/>
    <w:rsid w:val="004C799A"/>
    <w:rsid w:val="004C7D64"/>
    <w:rsid w:val="004C7E61"/>
    <w:rsid w:val="004C7F0F"/>
    <w:rsid w:val="004D05BA"/>
    <w:rsid w:val="004D06BD"/>
    <w:rsid w:val="004D0E45"/>
    <w:rsid w:val="004D0E6E"/>
    <w:rsid w:val="004D1648"/>
    <w:rsid w:val="004D17F8"/>
    <w:rsid w:val="004D1DA7"/>
    <w:rsid w:val="004D2AAC"/>
    <w:rsid w:val="004D2BB6"/>
    <w:rsid w:val="004D2D6C"/>
    <w:rsid w:val="004D3044"/>
    <w:rsid w:val="004D449B"/>
    <w:rsid w:val="004D4823"/>
    <w:rsid w:val="004D4F41"/>
    <w:rsid w:val="004D5317"/>
    <w:rsid w:val="004D5D6E"/>
    <w:rsid w:val="004E05FE"/>
    <w:rsid w:val="004E081E"/>
    <w:rsid w:val="004E0BDC"/>
    <w:rsid w:val="004E0EA6"/>
    <w:rsid w:val="004E0F15"/>
    <w:rsid w:val="004E1057"/>
    <w:rsid w:val="004E1277"/>
    <w:rsid w:val="004E146A"/>
    <w:rsid w:val="004E1824"/>
    <w:rsid w:val="004E20A4"/>
    <w:rsid w:val="004E25C0"/>
    <w:rsid w:val="004E2903"/>
    <w:rsid w:val="004E29CC"/>
    <w:rsid w:val="004E2AC7"/>
    <w:rsid w:val="004E3548"/>
    <w:rsid w:val="004E36E5"/>
    <w:rsid w:val="004E37F8"/>
    <w:rsid w:val="004E3C05"/>
    <w:rsid w:val="004E3C0D"/>
    <w:rsid w:val="004E3F6F"/>
    <w:rsid w:val="004E3FFE"/>
    <w:rsid w:val="004E4053"/>
    <w:rsid w:val="004E4738"/>
    <w:rsid w:val="004E4876"/>
    <w:rsid w:val="004E4E45"/>
    <w:rsid w:val="004E4E6F"/>
    <w:rsid w:val="004E5175"/>
    <w:rsid w:val="004E5193"/>
    <w:rsid w:val="004E531B"/>
    <w:rsid w:val="004E5A29"/>
    <w:rsid w:val="004E5D32"/>
    <w:rsid w:val="004E5E0C"/>
    <w:rsid w:val="004E648A"/>
    <w:rsid w:val="004E6824"/>
    <w:rsid w:val="004E69C6"/>
    <w:rsid w:val="004E6B39"/>
    <w:rsid w:val="004E6F0B"/>
    <w:rsid w:val="004E704F"/>
    <w:rsid w:val="004E7359"/>
    <w:rsid w:val="004E7667"/>
    <w:rsid w:val="004F008D"/>
    <w:rsid w:val="004F060B"/>
    <w:rsid w:val="004F0CBC"/>
    <w:rsid w:val="004F144F"/>
    <w:rsid w:val="004F159F"/>
    <w:rsid w:val="004F1890"/>
    <w:rsid w:val="004F1BF3"/>
    <w:rsid w:val="004F263F"/>
    <w:rsid w:val="004F3309"/>
    <w:rsid w:val="004F3326"/>
    <w:rsid w:val="004F39E5"/>
    <w:rsid w:val="004F42DD"/>
    <w:rsid w:val="004F4325"/>
    <w:rsid w:val="004F4D3C"/>
    <w:rsid w:val="004F4DAD"/>
    <w:rsid w:val="004F4F8B"/>
    <w:rsid w:val="004F4FF8"/>
    <w:rsid w:val="004F5093"/>
    <w:rsid w:val="004F5105"/>
    <w:rsid w:val="004F5A19"/>
    <w:rsid w:val="004F650B"/>
    <w:rsid w:val="004F6973"/>
    <w:rsid w:val="004F6B4A"/>
    <w:rsid w:val="004F6F7F"/>
    <w:rsid w:val="004F7397"/>
    <w:rsid w:val="004F763D"/>
    <w:rsid w:val="004F7908"/>
    <w:rsid w:val="005004A1"/>
    <w:rsid w:val="0050103F"/>
    <w:rsid w:val="005011B2"/>
    <w:rsid w:val="00501B6F"/>
    <w:rsid w:val="0050283F"/>
    <w:rsid w:val="00502AD9"/>
    <w:rsid w:val="00502EFC"/>
    <w:rsid w:val="005032A2"/>
    <w:rsid w:val="00505119"/>
    <w:rsid w:val="00505191"/>
    <w:rsid w:val="00505546"/>
    <w:rsid w:val="00505A11"/>
    <w:rsid w:val="00506AE6"/>
    <w:rsid w:val="00506DAE"/>
    <w:rsid w:val="00507D9C"/>
    <w:rsid w:val="00507DB1"/>
    <w:rsid w:val="00507FD9"/>
    <w:rsid w:val="005101DA"/>
    <w:rsid w:val="0051025E"/>
    <w:rsid w:val="00510CF4"/>
    <w:rsid w:val="005111EE"/>
    <w:rsid w:val="005115A9"/>
    <w:rsid w:val="00511939"/>
    <w:rsid w:val="0051278E"/>
    <w:rsid w:val="00512A62"/>
    <w:rsid w:val="00512CD5"/>
    <w:rsid w:val="005131E9"/>
    <w:rsid w:val="0051324A"/>
    <w:rsid w:val="005132EB"/>
    <w:rsid w:val="00513B3C"/>
    <w:rsid w:val="00513C2B"/>
    <w:rsid w:val="00513E78"/>
    <w:rsid w:val="00513E84"/>
    <w:rsid w:val="00513F54"/>
    <w:rsid w:val="00514FF9"/>
    <w:rsid w:val="0051507E"/>
    <w:rsid w:val="0051528A"/>
    <w:rsid w:val="00515786"/>
    <w:rsid w:val="0051580A"/>
    <w:rsid w:val="0051588F"/>
    <w:rsid w:val="00515BBD"/>
    <w:rsid w:val="00515DB3"/>
    <w:rsid w:val="0051662A"/>
    <w:rsid w:val="00516AEE"/>
    <w:rsid w:val="00516B07"/>
    <w:rsid w:val="00517950"/>
    <w:rsid w:val="00517FB2"/>
    <w:rsid w:val="0052053B"/>
    <w:rsid w:val="0052067C"/>
    <w:rsid w:val="00520A9F"/>
    <w:rsid w:val="00520FB2"/>
    <w:rsid w:val="005219A0"/>
    <w:rsid w:val="00521CD2"/>
    <w:rsid w:val="00521CEC"/>
    <w:rsid w:val="00522056"/>
    <w:rsid w:val="005220C4"/>
    <w:rsid w:val="0052356A"/>
    <w:rsid w:val="00524B72"/>
    <w:rsid w:val="00524EF1"/>
    <w:rsid w:val="005267A4"/>
    <w:rsid w:val="00527013"/>
    <w:rsid w:val="0052727A"/>
    <w:rsid w:val="0052733B"/>
    <w:rsid w:val="00527C5D"/>
    <w:rsid w:val="00527EFB"/>
    <w:rsid w:val="0053012A"/>
    <w:rsid w:val="00530849"/>
    <w:rsid w:val="00530C3F"/>
    <w:rsid w:val="00531E32"/>
    <w:rsid w:val="00532998"/>
    <w:rsid w:val="00532D13"/>
    <w:rsid w:val="00533A37"/>
    <w:rsid w:val="00533E5C"/>
    <w:rsid w:val="00533EA6"/>
    <w:rsid w:val="00534325"/>
    <w:rsid w:val="0053444F"/>
    <w:rsid w:val="00534934"/>
    <w:rsid w:val="00534C35"/>
    <w:rsid w:val="005358F8"/>
    <w:rsid w:val="005360A4"/>
    <w:rsid w:val="00537290"/>
    <w:rsid w:val="00537321"/>
    <w:rsid w:val="00537C7B"/>
    <w:rsid w:val="00537C95"/>
    <w:rsid w:val="00540C07"/>
    <w:rsid w:val="00540CE8"/>
    <w:rsid w:val="00540DB0"/>
    <w:rsid w:val="005419F0"/>
    <w:rsid w:val="00542A89"/>
    <w:rsid w:val="00542B70"/>
    <w:rsid w:val="00542CC5"/>
    <w:rsid w:val="005439F1"/>
    <w:rsid w:val="00544AAA"/>
    <w:rsid w:val="00544F5F"/>
    <w:rsid w:val="00545634"/>
    <w:rsid w:val="005456F8"/>
    <w:rsid w:val="00545963"/>
    <w:rsid w:val="00545C1A"/>
    <w:rsid w:val="00546739"/>
    <w:rsid w:val="00546CA4"/>
    <w:rsid w:val="00547204"/>
    <w:rsid w:val="00547BB1"/>
    <w:rsid w:val="00547C04"/>
    <w:rsid w:val="0055059A"/>
    <w:rsid w:val="00551043"/>
    <w:rsid w:val="005514D3"/>
    <w:rsid w:val="00551AB0"/>
    <w:rsid w:val="0055266E"/>
    <w:rsid w:val="00552757"/>
    <w:rsid w:val="00552936"/>
    <w:rsid w:val="005529AD"/>
    <w:rsid w:val="00552E28"/>
    <w:rsid w:val="005541AB"/>
    <w:rsid w:val="0055450B"/>
    <w:rsid w:val="00554D7E"/>
    <w:rsid w:val="0055504C"/>
    <w:rsid w:val="0055578A"/>
    <w:rsid w:val="00555A08"/>
    <w:rsid w:val="00556316"/>
    <w:rsid w:val="005565F7"/>
    <w:rsid w:val="0055698E"/>
    <w:rsid w:val="00557475"/>
    <w:rsid w:val="00557885"/>
    <w:rsid w:val="00557EF8"/>
    <w:rsid w:val="00560783"/>
    <w:rsid w:val="005608DE"/>
    <w:rsid w:val="00560D67"/>
    <w:rsid w:val="00560E67"/>
    <w:rsid w:val="00561F02"/>
    <w:rsid w:val="00561FF0"/>
    <w:rsid w:val="005620B5"/>
    <w:rsid w:val="005624D9"/>
    <w:rsid w:val="00562B99"/>
    <w:rsid w:val="0056362E"/>
    <w:rsid w:val="005639F5"/>
    <w:rsid w:val="00564293"/>
    <w:rsid w:val="005642FC"/>
    <w:rsid w:val="0056459F"/>
    <w:rsid w:val="00564814"/>
    <w:rsid w:val="00564BB4"/>
    <w:rsid w:val="00564BBF"/>
    <w:rsid w:val="0056504B"/>
    <w:rsid w:val="005651B4"/>
    <w:rsid w:val="00565359"/>
    <w:rsid w:val="005659D5"/>
    <w:rsid w:val="005659F1"/>
    <w:rsid w:val="00565FA5"/>
    <w:rsid w:val="00566061"/>
    <w:rsid w:val="0056643E"/>
    <w:rsid w:val="005667FE"/>
    <w:rsid w:val="00566A51"/>
    <w:rsid w:val="00566B2F"/>
    <w:rsid w:val="005701E9"/>
    <w:rsid w:val="005706A6"/>
    <w:rsid w:val="00571A9C"/>
    <w:rsid w:val="00571E65"/>
    <w:rsid w:val="005723BC"/>
    <w:rsid w:val="00572741"/>
    <w:rsid w:val="00572D60"/>
    <w:rsid w:val="00573388"/>
    <w:rsid w:val="005736A0"/>
    <w:rsid w:val="0057426D"/>
    <w:rsid w:val="00574B79"/>
    <w:rsid w:val="00574D13"/>
    <w:rsid w:val="0057512A"/>
    <w:rsid w:val="0057625F"/>
    <w:rsid w:val="00576393"/>
    <w:rsid w:val="00576438"/>
    <w:rsid w:val="00576BDD"/>
    <w:rsid w:val="00577F13"/>
    <w:rsid w:val="005800A2"/>
    <w:rsid w:val="005802FC"/>
    <w:rsid w:val="00580BD3"/>
    <w:rsid w:val="00580E3C"/>
    <w:rsid w:val="00581CC3"/>
    <w:rsid w:val="00581EB7"/>
    <w:rsid w:val="00582170"/>
    <w:rsid w:val="00582C74"/>
    <w:rsid w:val="00582E4C"/>
    <w:rsid w:val="005837B0"/>
    <w:rsid w:val="0058399B"/>
    <w:rsid w:val="005841C1"/>
    <w:rsid w:val="005854AA"/>
    <w:rsid w:val="00585BD6"/>
    <w:rsid w:val="00585F11"/>
    <w:rsid w:val="00586402"/>
    <w:rsid w:val="005872DC"/>
    <w:rsid w:val="00587F56"/>
    <w:rsid w:val="0059004C"/>
    <w:rsid w:val="00590160"/>
    <w:rsid w:val="0059034A"/>
    <w:rsid w:val="00590439"/>
    <w:rsid w:val="0059051F"/>
    <w:rsid w:val="005908A5"/>
    <w:rsid w:val="00591511"/>
    <w:rsid w:val="00591D09"/>
    <w:rsid w:val="00592338"/>
    <w:rsid w:val="005925A5"/>
    <w:rsid w:val="00592DC9"/>
    <w:rsid w:val="00593008"/>
    <w:rsid w:val="005931E4"/>
    <w:rsid w:val="0059338E"/>
    <w:rsid w:val="005937FA"/>
    <w:rsid w:val="00593AA0"/>
    <w:rsid w:val="00593F65"/>
    <w:rsid w:val="00594796"/>
    <w:rsid w:val="0059492E"/>
    <w:rsid w:val="00594A4E"/>
    <w:rsid w:val="00595259"/>
    <w:rsid w:val="0059556A"/>
    <w:rsid w:val="00595F0E"/>
    <w:rsid w:val="00596242"/>
    <w:rsid w:val="005962C7"/>
    <w:rsid w:val="0059641D"/>
    <w:rsid w:val="005966CE"/>
    <w:rsid w:val="00596883"/>
    <w:rsid w:val="00596E29"/>
    <w:rsid w:val="00596FC0"/>
    <w:rsid w:val="005977BF"/>
    <w:rsid w:val="00597915"/>
    <w:rsid w:val="005A034F"/>
    <w:rsid w:val="005A07B5"/>
    <w:rsid w:val="005A0BA1"/>
    <w:rsid w:val="005A0C94"/>
    <w:rsid w:val="005A14DF"/>
    <w:rsid w:val="005A1781"/>
    <w:rsid w:val="005A1A56"/>
    <w:rsid w:val="005A1C6B"/>
    <w:rsid w:val="005A2741"/>
    <w:rsid w:val="005A3530"/>
    <w:rsid w:val="005A3904"/>
    <w:rsid w:val="005A3F20"/>
    <w:rsid w:val="005A3F3A"/>
    <w:rsid w:val="005A4192"/>
    <w:rsid w:val="005A491F"/>
    <w:rsid w:val="005A527B"/>
    <w:rsid w:val="005A5DD9"/>
    <w:rsid w:val="005A60B7"/>
    <w:rsid w:val="005A6C09"/>
    <w:rsid w:val="005A6FA7"/>
    <w:rsid w:val="005A72BA"/>
    <w:rsid w:val="005B07DE"/>
    <w:rsid w:val="005B0C76"/>
    <w:rsid w:val="005B11F1"/>
    <w:rsid w:val="005B144B"/>
    <w:rsid w:val="005B1EB2"/>
    <w:rsid w:val="005B2338"/>
    <w:rsid w:val="005B2DEB"/>
    <w:rsid w:val="005B2FEA"/>
    <w:rsid w:val="005B356A"/>
    <w:rsid w:val="005B3583"/>
    <w:rsid w:val="005B363C"/>
    <w:rsid w:val="005B3673"/>
    <w:rsid w:val="005B3902"/>
    <w:rsid w:val="005B3C01"/>
    <w:rsid w:val="005B3EFB"/>
    <w:rsid w:val="005B3FDF"/>
    <w:rsid w:val="005B40C6"/>
    <w:rsid w:val="005B4275"/>
    <w:rsid w:val="005B4486"/>
    <w:rsid w:val="005B5BB1"/>
    <w:rsid w:val="005B5DB2"/>
    <w:rsid w:val="005B5E89"/>
    <w:rsid w:val="005B669E"/>
    <w:rsid w:val="005B67A7"/>
    <w:rsid w:val="005B6B0D"/>
    <w:rsid w:val="005B6C6C"/>
    <w:rsid w:val="005B6CE0"/>
    <w:rsid w:val="005B72E5"/>
    <w:rsid w:val="005B7458"/>
    <w:rsid w:val="005C0A04"/>
    <w:rsid w:val="005C1212"/>
    <w:rsid w:val="005C134D"/>
    <w:rsid w:val="005C14AC"/>
    <w:rsid w:val="005C151F"/>
    <w:rsid w:val="005C1AC3"/>
    <w:rsid w:val="005C2232"/>
    <w:rsid w:val="005C2391"/>
    <w:rsid w:val="005C3434"/>
    <w:rsid w:val="005C34F0"/>
    <w:rsid w:val="005C36F6"/>
    <w:rsid w:val="005C4059"/>
    <w:rsid w:val="005C4971"/>
    <w:rsid w:val="005C58E8"/>
    <w:rsid w:val="005C592A"/>
    <w:rsid w:val="005C5EF1"/>
    <w:rsid w:val="005C60EE"/>
    <w:rsid w:val="005C64C8"/>
    <w:rsid w:val="005C64F9"/>
    <w:rsid w:val="005C6623"/>
    <w:rsid w:val="005C697E"/>
    <w:rsid w:val="005C6C6D"/>
    <w:rsid w:val="005C6D50"/>
    <w:rsid w:val="005C76E6"/>
    <w:rsid w:val="005D01FB"/>
    <w:rsid w:val="005D0380"/>
    <w:rsid w:val="005D0D08"/>
    <w:rsid w:val="005D0E46"/>
    <w:rsid w:val="005D1238"/>
    <w:rsid w:val="005D14F2"/>
    <w:rsid w:val="005D1C01"/>
    <w:rsid w:val="005D2084"/>
    <w:rsid w:val="005D22F8"/>
    <w:rsid w:val="005D269E"/>
    <w:rsid w:val="005D2DDF"/>
    <w:rsid w:val="005D3315"/>
    <w:rsid w:val="005D3B59"/>
    <w:rsid w:val="005D3F35"/>
    <w:rsid w:val="005D412F"/>
    <w:rsid w:val="005D4795"/>
    <w:rsid w:val="005D4CDF"/>
    <w:rsid w:val="005D562C"/>
    <w:rsid w:val="005D569E"/>
    <w:rsid w:val="005D57B7"/>
    <w:rsid w:val="005D5E86"/>
    <w:rsid w:val="005D624B"/>
    <w:rsid w:val="005D64F9"/>
    <w:rsid w:val="005D6557"/>
    <w:rsid w:val="005D660E"/>
    <w:rsid w:val="005D67C5"/>
    <w:rsid w:val="005D695D"/>
    <w:rsid w:val="005D75FC"/>
    <w:rsid w:val="005D7B0A"/>
    <w:rsid w:val="005D7BDC"/>
    <w:rsid w:val="005E0459"/>
    <w:rsid w:val="005E0DE4"/>
    <w:rsid w:val="005E0FDA"/>
    <w:rsid w:val="005E1079"/>
    <w:rsid w:val="005E1343"/>
    <w:rsid w:val="005E160D"/>
    <w:rsid w:val="005E1614"/>
    <w:rsid w:val="005E176D"/>
    <w:rsid w:val="005E1927"/>
    <w:rsid w:val="005E1D82"/>
    <w:rsid w:val="005E2167"/>
    <w:rsid w:val="005E239A"/>
    <w:rsid w:val="005E24D1"/>
    <w:rsid w:val="005E2780"/>
    <w:rsid w:val="005E27ED"/>
    <w:rsid w:val="005E354D"/>
    <w:rsid w:val="005E35F6"/>
    <w:rsid w:val="005E36CC"/>
    <w:rsid w:val="005E3AEE"/>
    <w:rsid w:val="005E3DBF"/>
    <w:rsid w:val="005E3DFB"/>
    <w:rsid w:val="005E411B"/>
    <w:rsid w:val="005E4138"/>
    <w:rsid w:val="005E4931"/>
    <w:rsid w:val="005E4BAA"/>
    <w:rsid w:val="005E5A45"/>
    <w:rsid w:val="005E5E36"/>
    <w:rsid w:val="005E65AB"/>
    <w:rsid w:val="005E686A"/>
    <w:rsid w:val="005E6985"/>
    <w:rsid w:val="005E69BC"/>
    <w:rsid w:val="005E6A4B"/>
    <w:rsid w:val="005E77FE"/>
    <w:rsid w:val="005F023D"/>
    <w:rsid w:val="005F0646"/>
    <w:rsid w:val="005F0ACA"/>
    <w:rsid w:val="005F108D"/>
    <w:rsid w:val="005F1375"/>
    <w:rsid w:val="005F1860"/>
    <w:rsid w:val="005F23DA"/>
    <w:rsid w:val="005F2467"/>
    <w:rsid w:val="005F2A08"/>
    <w:rsid w:val="005F2C2F"/>
    <w:rsid w:val="005F2CBF"/>
    <w:rsid w:val="005F3142"/>
    <w:rsid w:val="005F32E6"/>
    <w:rsid w:val="005F37C0"/>
    <w:rsid w:val="005F5249"/>
    <w:rsid w:val="005F529A"/>
    <w:rsid w:val="005F56A9"/>
    <w:rsid w:val="005F5EBA"/>
    <w:rsid w:val="005F5F61"/>
    <w:rsid w:val="005F6572"/>
    <w:rsid w:val="005F67A4"/>
    <w:rsid w:val="005F68B9"/>
    <w:rsid w:val="005F6C4C"/>
    <w:rsid w:val="005F6CFF"/>
    <w:rsid w:val="005F7362"/>
    <w:rsid w:val="005F7749"/>
    <w:rsid w:val="005F791D"/>
    <w:rsid w:val="006004C2"/>
    <w:rsid w:val="00600CF5"/>
    <w:rsid w:val="00601350"/>
    <w:rsid w:val="0060135D"/>
    <w:rsid w:val="00601944"/>
    <w:rsid w:val="006022F3"/>
    <w:rsid w:val="006026D1"/>
    <w:rsid w:val="00603B91"/>
    <w:rsid w:val="00603E69"/>
    <w:rsid w:val="0060415E"/>
    <w:rsid w:val="006050CB"/>
    <w:rsid w:val="00605B1F"/>
    <w:rsid w:val="00605BC4"/>
    <w:rsid w:val="00605D7C"/>
    <w:rsid w:val="00606ABE"/>
    <w:rsid w:val="00606BC7"/>
    <w:rsid w:val="006072EC"/>
    <w:rsid w:val="00607538"/>
    <w:rsid w:val="006077B6"/>
    <w:rsid w:val="00607849"/>
    <w:rsid w:val="00607A25"/>
    <w:rsid w:val="006100C0"/>
    <w:rsid w:val="00610364"/>
    <w:rsid w:val="00610414"/>
    <w:rsid w:val="0061129C"/>
    <w:rsid w:val="006114B1"/>
    <w:rsid w:val="00611ECE"/>
    <w:rsid w:val="006130E7"/>
    <w:rsid w:val="00613100"/>
    <w:rsid w:val="00613A54"/>
    <w:rsid w:val="00613C37"/>
    <w:rsid w:val="00613D5E"/>
    <w:rsid w:val="0061409A"/>
    <w:rsid w:val="00614401"/>
    <w:rsid w:val="00614444"/>
    <w:rsid w:val="00614692"/>
    <w:rsid w:val="00614924"/>
    <w:rsid w:val="00614A7D"/>
    <w:rsid w:val="00614CAD"/>
    <w:rsid w:val="00614D3E"/>
    <w:rsid w:val="00615BF4"/>
    <w:rsid w:val="00615CAE"/>
    <w:rsid w:val="00615DF7"/>
    <w:rsid w:val="006160BC"/>
    <w:rsid w:val="0061623E"/>
    <w:rsid w:val="006166E4"/>
    <w:rsid w:val="00616A4C"/>
    <w:rsid w:val="00617286"/>
    <w:rsid w:val="006175D7"/>
    <w:rsid w:val="006177A7"/>
    <w:rsid w:val="00617BB8"/>
    <w:rsid w:val="00620076"/>
    <w:rsid w:val="006202C4"/>
    <w:rsid w:val="0062055C"/>
    <w:rsid w:val="00620642"/>
    <w:rsid w:val="006206C8"/>
    <w:rsid w:val="006219A7"/>
    <w:rsid w:val="00622326"/>
    <w:rsid w:val="0062249B"/>
    <w:rsid w:val="006227B8"/>
    <w:rsid w:val="006228B8"/>
    <w:rsid w:val="00622BFF"/>
    <w:rsid w:val="00623E02"/>
    <w:rsid w:val="006242B6"/>
    <w:rsid w:val="00624837"/>
    <w:rsid w:val="00624F23"/>
    <w:rsid w:val="00625274"/>
    <w:rsid w:val="00625AA5"/>
    <w:rsid w:val="00625D41"/>
    <w:rsid w:val="00625FE5"/>
    <w:rsid w:val="00625FF7"/>
    <w:rsid w:val="00626113"/>
    <w:rsid w:val="006262F9"/>
    <w:rsid w:val="00627D1E"/>
    <w:rsid w:val="00630271"/>
    <w:rsid w:val="00630C8D"/>
    <w:rsid w:val="0063132B"/>
    <w:rsid w:val="006314EA"/>
    <w:rsid w:val="00632468"/>
    <w:rsid w:val="00632BAC"/>
    <w:rsid w:val="00632D38"/>
    <w:rsid w:val="006330C4"/>
    <w:rsid w:val="0063324F"/>
    <w:rsid w:val="00633533"/>
    <w:rsid w:val="00633A43"/>
    <w:rsid w:val="00633C83"/>
    <w:rsid w:val="00634355"/>
    <w:rsid w:val="00634D60"/>
    <w:rsid w:val="00634E3A"/>
    <w:rsid w:val="00634F58"/>
    <w:rsid w:val="00635312"/>
    <w:rsid w:val="0063675F"/>
    <w:rsid w:val="00637335"/>
    <w:rsid w:val="0063741F"/>
    <w:rsid w:val="00637441"/>
    <w:rsid w:val="00640311"/>
    <w:rsid w:val="006403E6"/>
    <w:rsid w:val="00640CF0"/>
    <w:rsid w:val="00640DC1"/>
    <w:rsid w:val="00641266"/>
    <w:rsid w:val="0064146C"/>
    <w:rsid w:val="00641D1C"/>
    <w:rsid w:val="00642646"/>
    <w:rsid w:val="006428AA"/>
    <w:rsid w:val="00642B7C"/>
    <w:rsid w:val="00642D19"/>
    <w:rsid w:val="0064375E"/>
    <w:rsid w:val="00643B47"/>
    <w:rsid w:val="00643CC5"/>
    <w:rsid w:val="006444EC"/>
    <w:rsid w:val="00644E8B"/>
    <w:rsid w:val="0064581A"/>
    <w:rsid w:val="00645898"/>
    <w:rsid w:val="0064613A"/>
    <w:rsid w:val="006465AB"/>
    <w:rsid w:val="00646E58"/>
    <w:rsid w:val="00650AE2"/>
    <w:rsid w:val="00650FF1"/>
    <w:rsid w:val="006515D2"/>
    <w:rsid w:val="006517CD"/>
    <w:rsid w:val="0065208D"/>
    <w:rsid w:val="00652993"/>
    <w:rsid w:val="00652A78"/>
    <w:rsid w:val="00652C15"/>
    <w:rsid w:val="00652EC4"/>
    <w:rsid w:val="006531A7"/>
    <w:rsid w:val="006532D4"/>
    <w:rsid w:val="0065351E"/>
    <w:rsid w:val="00653DC6"/>
    <w:rsid w:val="0065623F"/>
    <w:rsid w:val="006562FC"/>
    <w:rsid w:val="00656531"/>
    <w:rsid w:val="00656BA4"/>
    <w:rsid w:val="00656CB1"/>
    <w:rsid w:val="00657BAF"/>
    <w:rsid w:val="00657D86"/>
    <w:rsid w:val="00660128"/>
    <w:rsid w:val="006605BE"/>
    <w:rsid w:val="00660BEE"/>
    <w:rsid w:val="006610A1"/>
    <w:rsid w:val="00661319"/>
    <w:rsid w:val="00661A91"/>
    <w:rsid w:val="006621A6"/>
    <w:rsid w:val="006621C6"/>
    <w:rsid w:val="006628E8"/>
    <w:rsid w:val="00662A42"/>
    <w:rsid w:val="006634C0"/>
    <w:rsid w:val="00663E22"/>
    <w:rsid w:val="006644D8"/>
    <w:rsid w:val="00664C12"/>
    <w:rsid w:val="00664E3A"/>
    <w:rsid w:val="00665109"/>
    <w:rsid w:val="00665734"/>
    <w:rsid w:val="00665E7B"/>
    <w:rsid w:val="00666072"/>
    <w:rsid w:val="006660E6"/>
    <w:rsid w:val="00666296"/>
    <w:rsid w:val="006663FF"/>
    <w:rsid w:val="00666DC3"/>
    <w:rsid w:val="00666FE6"/>
    <w:rsid w:val="0066732F"/>
    <w:rsid w:val="006679A8"/>
    <w:rsid w:val="00667A76"/>
    <w:rsid w:val="00667F64"/>
    <w:rsid w:val="006702BB"/>
    <w:rsid w:val="006704B6"/>
    <w:rsid w:val="006710FF"/>
    <w:rsid w:val="00671D43"/>
    <w:rsid w:val="0067274B"/>
    <w:rsid w:val="0067308D"/>
    <w:rsid w:val="0067323E"/>
    <w:rsid w:val="00673242"/>
    <w:rsid w:val="00673537"/>
    <w:rsid w:val="0067374F"/>
    <w:rsid w:val="006738E6"/>
    <w:rsid w:val="0067423C"/>
    <w:rsid w:val="0067432A"/>
    <w:rsid w:val="006744BB"/>
    <w:rsid w:val="006745B4"/>
    <w:rsid w:val="00674E62"/>
    <w:rsid w:val="00675241"/>
    <w:rsid w:val="006754AC"/>
    <w:rsid w:val="00675BCA"/>
    <w:rsid w:val="00676358"/>
    <w:rsid w:val="00676E3B"/>
    <w:rsid w:val="006770CE"/>
    <w:rsid w:val="006776D1"/>
    <w:rsid w:val="006779F7"/>
    <w:rsid w:val="00677DBC"/>
    <w:rsid w:val="006800A3"/>
    <w:rsid w:val="00680727"/>
    <w:rsid w:val="00680ABB"/>
    <w:rsid w:val="006824BF"/>
    <w:rsid w:val="00682863"/>
    <w:rsid w:val="00682E78"/>
    <w:rsid w:val="006837A9"/>
    <w:rsid w:val="006837F2"/>
    <w:rsid w:val="00684881"/>
    <w:rsid w:val="0068596B"/>
    <w:rsid w:val="00685B73"/>
    <w:rsid w:val="00685CD1"/>
    <w:rsid w:val="00686A37"/>
    <w:rsid w:val="00686ADE"/>
    <w:rsid w:val="00686DB0"/>
    <w:rsid w:val="006874B0"/>
    <w:rsid w:val="00687FC5"/>
    <w:rsid w:val="0069040C"/>
    <w:rsid w:val="00690598"/>
    <w:rsid w:val="00690932"/>
    <w:rsid w:val="00691384"/>
    <w:rsid w:val="00691A4B"/>
    <w:rsid w:val="00691A6F"/>
    <w:rsid w:val="00691EA6"/>
    <w:rsid w:val="0069213A"/>
    <w:rsid w:val="00692322"/>
    <w:rsid w:val="00692761"/>
    <w:rsid w:val="0069292F"/>
    <w:rsid w:val="00692B07"/>
    <w:rsid w:val="00692D57"/>
    <w:rsid w:val="006934EE"/>
    <w:rsid w:val="006939F0"/>
    <w:rsid w:val="00693DD4"/>
    <w:rsid w:val="00694175"/>
    <w:rsid w:val="006941D5"/>
    <w:rsid w:val="006942F5"/>
    <w:rsid w:val="0069479F"/>
    <w:rsid w:val="00694963"/>
    <w:rsid w:val="00694B77"/>
    <w:rsid w:val="0069564F"/>
    <w:rsid w:val="00695955"/>
    <w:rsid w:val="00695BFB"/>
    <w:rsid w:val="00695C79"/>
    <w:rsid w:val="00695CD2"/>
    <w:rsid w:val="00695FAA"/>
    <w:rsid w:val="006961E4"/>
    <w:rsid w:val="00696582"/>
    <w:rsid w:val="00696B9B"/>
    <w:rsid w:val="00696E6C"/>
    <w:rsid w:val="0069755C"/>
    <w:rsid w:val="006977F3"/>
    <w:rsid w:val="00697C71"/>
    <w:rsid w:val="00697C90"/>
    <w:rsid w:val="00697DB2"/>
    <w:rsid w:val="00697F29"/>
    <w:rsid w:val="006A019C"/>
    <w:rsid w:val="006A1542"/>
    <w:rsid w:val="006A19FB"/>
    <w:rsid w:val="006A1CDD"/>
    <w:rsid w:val="006A2DC6"/>
    <w:rsid w:val="006A2FD1"/>
    <w:rsid w:val="006A31E9"/>
    <w:rsid w:val="006A323A"/>
    <w:rsid w:val="006A3498"/>
    <w:rsid w:val="006A3715"/>
    <w:rsid w:val="006A3C2A"/>
    <w:rsid w:val="006A3D99"/>
    <w:rsid w:val="006A3DB5"/>
    <w:rsid w:val="006A4A31"/>
    <w:rsid w:val="006A5372"/>
    <w:rsid w:val="006A6995"/>
    <w:rsid w:val="006A6D34"/>
    <w:rsid w:val="006A6E08"/>
    <w:rsid w:val="006A6F29"/>
    <w:rsid w:val="006A7075"/>
    <w:rsid w:val="006A717E"/>
    <w:rsid w:val="006A72C9"/>
    <w:rsid w:val="006A7741"/>
    <w:rsid w:val="006A77CE"/>
    <w:rsid w:val="006B077E"/>
    <w:rsid w:val="006B0DBB"/>
    <w:rsid w:val="006B1B5E"/>
    <w:rsid w:val="006B1C61"/>
    <w:rsid w:val="006B202B"/>
    <w:rsid w:val="006B204A"/>
    <w:rsid w:val="006B21FE"/>
    <w:rsid w:val="006B257E"/>
    <w:rsid w:val="006B30EC"/>
    <w:rsid w:val="006B4687"/>
    <w:rsid w:val="006B4780"/>
    <w:rsid w:val="006B4CAF"/>
    <w:rsid w:val="006B528F"/>
    <w:rsid w:val="006B53A9"/>
    <w:rsid w:val="006B6D95"/>
    <w:rsid w:val="006B702C"/>
    <w:rsid w:val="006B784B"/>
    <w:rsid w:val="006B794B"/>
    <w:rsid w:val="006C027C"/>
    <w:rsid w:val="006C0D59"/>
    <w:rsid w:val="006C12BA"/>
    <w:rsid w:val="006C1D11"/>
    <w:rsid w:val="006C1DD4"/>
    <w:rsid w:val="006C210D"/>
    <w:rsid w:val="006C21A5"/>
    <w:rsid w:val="006C2235"/>
    <w:rsid w:val="006C280C"/>
    <w:rsid w:val="006C2E33"/>
    <w:rsid w:val="006C30EC"/>
    <w:rsid w:val="006C31B5"/>
    <w:rsid w:val="006C323E"/>
    <w:rsid w:val="006C383F"/>
    <w:rsid w:val="006C3BB9"/>
    <w:rsid w:val="006C3D26"/>
    <w:rsid w:val="006C4060"/>
    <w:rsid w:val="006C4589"/>
    <w:rsid w:val="006C465A"/>
    <w:rsid w:val="006C56B5"/>
    <w:rsid w:val="006C5D2C"/>
    <w:rsid w:val="006C60B1"/>
    <w:rsid w:val="006C60ED"/>
    <w:rsid w:val="006C62E1"/>
    <w:rsid w:val="006C6416"/>
    <w:rsid w:val="006C6848"/>
    <w:rsid w:val="006C688C"/>
    <w:rsid w:val="006C6E50"/>
    <w:rsid w:val="006C6E90"/>
    <w:rsid w:val="006C6EBE"/>
    <w:rsid w:val="006C6EC8"/>
    <w:rsid w:val="006C7BD9"/>
    <w:rsid w:val="006D00F9"/>
    <w:rsid w:val="006D05AA"/>
    <w:rsid w:val="006D1FB7"/>
    <w:rsid w:val="006D223C"/>
    <w:rsid w:val="006D251F"/>
    <w:rsid w:val="006D276B"/>
    <w:rsid w:val="006D282D"/>
    <w:rsid w:val="006D2961"/>
    <w:rsid w:val="006D2D89"/>
    <w:rsid w:val="006D3192"/>
    <w:rsid w:val="006D3D4D"/>
    <w:rsid w:val="006D45D5"/>
    <w:rsid w:val="006D4B8B"/>
    <w:rsid w:val="006D4DFF"/>
    <w:rsid w:val="006D5722"/>
    <w:rsid w:val="006D5978"/>
    <w:rsid w:val="006D5C76"/>
    <w:rsid w:val="006D5EA7"/>
    <w:rsid w:val="006D6DB2"/>
    <w:rsid w:val="006D6F73"/>
    <w:rsid w:val="006D70BF"/>
    <w:rsid w:val="006D770D"/>
    <w:rsid w:val="006D7DEE"/>
    <w:rsid w:val="006E014C"/>
    <w:rsid w:val="006E04AB"/>
    <w:rsid w:val="006E04BF"/>
    <w:rsid w:val="006E0728"/>
    <w:rsid w:val="006E122D"/>
    <w:rsid w:val="006E1821"/>
    <w:rsid w:val="006E1C2E"/>
    <w:rsid w:val="006E1C3C"/>
    <w:rsid w:val="006E2652"/>
    <w:rsid w:val="006E28B8"/>
    <w:rsid w:val="006E33F4"/>
    <w:rsid w:val="006E3444"/>
    <w:rsid w:val="006E39D9"/>
    <w:rsid w:val="006E4110"/>
    <w:rsid w:val="006E4217"/>
    <w:rsid w:val="006E467A"/>
    <w:rsid w:val="006E49CD"/>
    <w:rsid w:val="006E4A57"/>
    <w:rsid w:val="006E5399"/>
    <w:rsid w:val="006E59F3"/>
    <w:rsid w:val="006E63C7"/>
    <w:rsid w:val="006E662C"/>
    <w:rsid w:val="006E6F81"/>
    <w:rsid w:val="006E71B7"/>
    <w:rsid w:val="006E7490"/>
    <w:rsid w:val="006F0111"/>
    <w:rsid w:val="006F0869"/>
    <w:rsid w:val="006F0F9B"/>
    <w:rsid w:val="006F139B"/>
    <w:rsid w:val="006F14D5"/>
    <w:rsid w:val="006F166D"/>
    <w:rsid w:val="006F16AC"/>
    <w:rsid w:val="006F198A"/>
    <w:rsid w:val="006F1EED"/>
    <w:rsid w:val="006F1F57"/>
    <w:rsid w:val="006F23FC"/>
    <w:rsid w:val="006F2755"/>
    <w:rsid w:val="006F28D3"/>
    <w:rsid w:val="006F2971"/>
    <w:rsid w:val="006F2B70"/>
    <w:rsid w:val="006F2BBD"/>
    <w:rsid w:val="006F34C9"/>
    <w:rsid w:val="006F3872"/>
    <w:rsid w:val="006F412F"/>
    <w:rsid w:val="006F42D2"/>
    <w:rsid w:val="006F436C"/>
    <w:rsid w:val="006F4AE3"/>
    <w:rsid w:val="006F5101"/>
    <w:rsid w:val="006F5AC9"/>
    <w:rsid w:val="006F6C55"/>
    <w:rsid w:val="006F72FA"/>
    <w:rsid w:val="006F7901"/>
    <w:rsid w:val="006F7D58"/>
    <w:rsid w:val="006F7D97"/>
    <w:rsid w:val="007001F0"/>
    <w:rsid w:val="007005F9"/>
    <w:rsid w:val="00700A26"/>
    <w:rsid w:val="00700BF1"/>
    <w:rsid w:val="00700D17"/>
    <w:rsid w:val="00700D84"/>
    <w:rsid w:val="00700F32"/>
    <w:rsid w:val="00701DD0"/>
    <w:rsid w:val="00701E2E"/>
    <w:rsid w:val="0070205E"/>
    <w:rsid w:val="0070327C"/>
    <w:rsid w:val="00703881"/>
    <w:rsid w:val="00703A7E"/>
    <w:rsid w:val="00704611"/>
    <w:rsid w:val="00704B32"/>
    <w:rsid w:val="00704DAE"/>
    <w:rsid w:val="00704E4D"/>
    <w:rsid w:val="0070548D"/>
    <w:rsid w:val="007055C4"/>
    <w:rsid w:val="00705B56"/>
    <w:rsid w:val="00705D32"/>
    <w:rsid w:val="00705D5F"/>
    <w:rsid w:val="00706721"/>
    <w:rsid w:val="00706BA2"/>
    <w:rsid w:val="00706D69"/>
    <w:rsid w:val="00706E4D"/>
    <w:rsid w:val="00706FDF"/>
    <w:rsid w:val="0070773D"/>
    <w:rsid w:val="00707D11"/>
    <w:rsid w:val="007104F6"/>
    <w:rsid w:val="00711026"/>
    <w:rsid w:val="007110C2"/>
    <w:rsid w:val="007110F8"/>
    <w:rsid w:val="00712312"/>
    <w:rsid w:val="00712379"/>
    <w:rsid w:val="007127B0"/>
    <w:rsid w:val="00712A6E"/>
    <w:rsid w:val="00713145"/>
    <w:rsid w:val="00714196"/>
    <w:rsid w:val="00714209"/>
    <w:rsid w:val="00714235"/>
    <w:rsid w:val="00715249"/>
    <w:rsid w:val="00715253"/>
    <w:rsid w:val="00715765"/>
    <w:rsid w:val="007157FA"/>
    <w:rsid w:val="007158F7"/>
    <w:rsid w:val="00715B19"/>
    <w:rsid w:val="00715FB5"/>
    <w:rsid w:val="007162A0"/>
    <w:rsid w:val="00716590"/>
    <w:rsid w:val="0071735A"/>
    <w:rsid w:val="007177F2"/>
    <w:rsid w:val="00717A1B"/>
    <w:rsid w:val="00717F0A"/>
    <w:rsid w:val="007201B4"/>
    <w:rsid w:val="00720408"/>
    <w:rsid w:val="00720556"/>
    <w:rsid w:val="00720566"/>
    <w:rsid w:val="0072147A"/>
    <w:rsid w:val="00722131"/>
    <w:rsid w:val="0072213E"/>
    <w:rsid w:val="00723BB8"/>
    <w:rsid w:val="007240D7"/>
    <w:rsid w:val="007244B5"/>
    <w:rsid w:val="00725048"/>
    <w:rsid w:val="007254A9"/>
    <w:rsid w:val="007256AA"/>
    <w:rsid w:val="007258E9"/>
    <w:rsid w:val="00725F0A"/>
    <w:rsid w:val="00726262"/>
    <w:rsid w:val="007266AC"/>
    <w:rsid w:val="00726E02"/>
    <w:rsid w:val="00727045"/>
    <w:rsid w:val="00727200"/>
    <w:rsid w:val="007272AD"/>
    <w:rsid w:val="0072779C"/>
    <w:rsid w:val="00727BB7"/>
    <w:rsid w:val="00727D74"/>
    <w:rsid w:val="00727E62"/>
    <w:rsid w:val="00730799"/>
    <w:rsid w:val="00730A40"/>
    <w:rsid w:val="00730B69"/>
    <w:rsid w:val="00730CD9"/>
    <w:rsid w:val="007319EC"/>
    <w:rsid w:val="00731C36"/>
    <w:rsid w:val="00731E0F"/>
    <w:rsid w:val="007321AC"/>
    <w:rsid w:val="00732283"/>
    <w:rsid w:val="007324A4"/>
    <w:rsid w:val="007347D6"/>
    <w:rsid w:val="00734B66"/>
    <w:rsid w:val="00734B6F"/>
    <w:rsid w:val="00734C4B"/>
    <w:rsid w:val="0073551D"/>
    <w:rsid w:val="00736175"/>
    <w:rsid w:val="0073675E"/>
    <w:rsid w:val="007369A3"/>
    <w:rsid w:val="00736C71"/>
    <w:rsid w:val="00736CEC"/>
    <w:rsid w:val="00737342"/>
    <w:rsid w:val="0073765B"/>
    <w:rsid w:val="00737B8A"/>
    <w:rsid w:val="00737BB1"/>
    <w:rsid w:val="007400BA"/>
    <w:rsid w:val="00741541"/>
    <w:rsid w:val="00741696"/>
    <w:rsid w:val="007417F0"/>
    <w:rsid w:val="007421C4"/>
    <w:rsid w:val="007421CE"/>
    <w:rsid w:val="00742291"/>
    <w:rsid w:val="00742A37"/>
    <w:rsid w:val="00742FC1"/>
    <w:rsid w:val="00743327"/>
    <w:rsid w:val="00743769"/>
    <w:rsid w:val="00743DDB"/>
    <w:rsid w:val="0074473F"/>
    <w:rsid w:val="007448DA"/>
    <w:rsid w:val="00744AEE"/>
    <w:rsid w:val="007458E6"/>
    <w:rsid w:val="00745E04"/>
    <w:rsid w:val="0074608C"/>
    <w:rsid w:val="00747168"/>
    <w:rsid w:val="0074769C"/>
    <w:rsid w:val="007478C4"/>
    <w:rsid w:val="00747E82"/>
    <w:rsid w:val="0075008A"/>
    <w:rsid w:val="0075069D"/>
    <w:rsid w:val="00750B69"/>
    <w:rsid w:val="00750CF9"/>
    <w:rsid w:val="00751399"/>
    <w:rsid w:val="0075196D"/>
    <w:rsid w:val="00751B15"/>
    <w:rsid w:val="00752213"/>
    <w:rsid w:val="0075276E"/>
    <w:rsid w:val="00753135"/>
    <w:rsid w:val="007533C1"/>
    <w:rsid w:val="00753916"/>
    <w:rsid w:val="00753BAC"/>
    <w:rsid w:val="00755098"/>
    <w:rsid w:val="00755D18"/>
    <w:rsid w:val="00755EC5"/>
    <w:rsid w:val="00756042"/>
    <w:rsid w:val="00756177"/>
    <w:rsid w:val="007564AE"/>
    <w:rsid w:val="00756C8E"/>
    <w:rsid w:val="007571D3"/>
    <w:rsid w:val="00757315"/>
    <w:rsid w:val="0075792C"/>
    <w:rsid w:val="00757AAC"/>
    <w:rsid w:val="00757C01"/>
    <w:rsid w:val="00760CA2"/>
    <w:rsid w:val="00760EAA"/>
    <w:rsid w:val="0076103C"/>
    <w:rsid w:val="00761DB6"/>
    <w:rsid w:val="00761DEB"/>
    <w:rsid w:val="00761E0E"/>
    <w:rsid w:val="00761F90"/>
    <w:rsid w:val="00762893"/>
    <w:rsid w:val="00762CBD"/>
    <w:rsid w:val="00762D68"/>
    <w:rsid w:val="00762F43"/>
    <w:rsid w:val="00762FC2"/>
    <w:rsid w:val="00763040"/>
    <w:rsid w:val="007633AF"/>
    <w:rsid w:val="00763BA6"/>
    <w:rsid w:val="00763FD8"/>
    <w:rsid w:val="00763FDA"/>
    <w:rsid w:val="007643F4"/>
    <w:rsid w:val="00764467"/>
    <w:rsid w:val="00764552"/>
    <w:rsid w:val="00764676"/>
    <w:rsid w:val="00764F85"/>
    <w:rsid w:val="00765083"/>
    <w:rsid w:val="00765F91"/>
    <w:rsid w:val="00766316"/>
    <w:rsid w:val="00767D3A"/>
    <w:rsid w:val="00770165"/>
    <w:rsid w:val="00770C3D"/>
    <w:rsid w:val="00770DB1"/>
    <w:rsid w:val="00771151"/>
    <w:rsid w:val="00771BD5"/>
    <w:rsid w:val="007726FF"/>
    <w:rsid w:val="00772C33"/>
    <w:rsid w:val="00772DA4"/>
    <w:rsid w:val="00772ECB"/>
    <w:rsid w:val="00773CBF"/>
    <w:rsid w:val="00773D48"/>
    <w:rsid w:val="00774612"/>
    <w:rsid w:val="00774DB8"/>
    <w:rsid w:val="00774E5D"/>
    <w:rsid w:val="00774F3B"/>
    <w:rsid w:val="00774FB1"/>
    <w:rsid w:val="0077548F"/>
    <w:rsid w:val="0077577A"/>
    <w:rsid w:val="00775D8B"/>
    <w:rsid w:val="00775EEE"/>
    <w:rsid w:val="007769E7"/>
    <w:rsid w:val="007774E2"/>
    <w:rsid w:val="00777B7A"/>
    <w:rsid w:val="0078032E"/>
    <w:rsid w:val="007806C4"/>
    <w:rsid w:val="00780758"/>
    <w:rsid w:val="00781278"/>
    <w:rsid w:val="007813AC"/>
    <w:rsid w:val="007820DB"/>
    <w:rsid w:val="0078276B"/>
    <w:rsid w:val="00782BBA"/>
    <w:rsid w:val="00782FFF"/>
    <w:rsid w:val="007833D4"/>
    <w:rsid w:val="00783747"/>
    <w:rsid w:val="00783750"/>
    <w:rsid w:val="007837A3"/>
    <w:rsid w:val="00784916"/>
    <w:rsid w:val="00784963"/>
    <w:rsid w:val="00784D3A"/>
    <w:rsid w:val="0078701C"/>
    <w:rsid w:val="00787C2F"/>
    <w:rsid w:val="00787D0C"/>
    <w:rsid w:val="007900AB"/>
    <w:rsid w:val="007902F9"/>
    <w:rsid w:val="0079076D"/>
    <w:rsid w:val="0079118D"/>
    <w:rsid w:val="007912E1"/>
    <w:rsid w:val="0079167C"/>
    <w:rsid w:val="00791CEC"/>
    <w:rsid w:val="00791D92"/>
    <w:rsid w:val="007920E6"/>
    <w:rsid w:val="0079211D"/>
    <w:rsid w:val="00792846"/>
    <w:rsid w:val="00793070"/>
    <w:rsid w:val="00793113"/>
    <w:rsid w:val="0079498D"/>
    <w:rsid w:val="00795142"/>
    <w:rsid w:val="007954EA"/>
    <w:rsid w:val="00795FFB"/>
    <w:rsid w:val="007963FF"/>
    <w:rsid w:val="007965CC"/>
    <w:rsid w:val="007966A0"/>
    <w:rsid w:val="00797CC7"/>
    <w:rsid w:val="00797F05"/>
    <w:rsid w:val="007A023B"/>
    <w:rsid w:val="007A02E1"/>
    <w:rsid w:val="007A032F"/>
    <w:rsid w:val="007A0952"/>
    <w:rsid w:val="007A119E"/>
    <w:rsid w:val="007A13B7"/>
    <w:rsid w:val="007A16F6"/>
    <w:rsid w:val="007A1BA7"/>
    <w:rsid w:val="007A2375"/>
    <w:rsid w:val="007A245F"/>
    <w:rsid w:val="007A2527"/>
    <w:rsid w:val="007A2832"/>
    <w:rsid w:val="007A2CAE"/>
    <w:rsid w:val="007A2E81"/>
    <w:rsid w:val="007A315B"/>
    <w:rsid w:val="007A339A"/>
    <w:rsid w:val="007A38AF"/>
    <w:rsid w:val="007A475B"/>
    <w:rsid w:val="007A4CF4"/>
    <w:rsid w:val="007A51BF"/>
    <w:rsid w:val="007A52B2"/>
    <w:rsid w:val="007A5337"/>
    <w:rsid w:val="007A56FB"/>
    <w:rsid w:val="007A58F9"/>
    <w:rsid w:val="007A7231"/>
    <w:rsid w:val="007A7848"/>
    <w:rsid w:val="007A790D"/>
    <w:rsid w:val="007A7A16"/>
    <w:rsid w:val="007A7CD5"/>
    <w:rsid w:val="007A7D46"/>
    <w:rsid w:val="007A7D6C"/>
    <w:rsid w:val="007B00AF"/>
    <w:rsid w:val="007B0519"/>
    <w:rsid w:val="007B05F7"/>
    <w:rsid w:val="007B071E"/>
    <w:rsid w:val="007B0D9C"/>
    <w:rsid w:val="007B1860"/>
    <w:rsid w:val="007B1935"/>
    <w:rsid w:val="007B19FD"/>
    <w:rsid w:val="007B1E5E"/>
    <w:rsid w:val="007B1EFB"/>
    <w:rsid w:val="007B2879"/>
    <w:rsid w:val="007B2904"/>
    <w:rsid w:val="007B34C1"/>
    <w:rsid w:val="007B3D00"/>
    <w:rsid w:val="007B405A"/>
    <w:rsid w:val="007B4104"/>
    <w:rsid w:val="007B4372"/>
    <w:rsid w:val="007B50A2"/>
    <w:rsid w:val="007B5191"/>
    <w:rsid w:val="007B5221"/>
    <w:rsid w:val="007B5503"/>
    <w:rsid w:val="007B56A1"/>
    <w:rsid w:val="007B57D9"/>
    <w:rsid w:val="007B58C4"/>
    <w:rsid w:val="007B5BB2"/>
    <w:rsid w:val="007B5D61"/>
    <w:rsid w:val="007B6638"/>
    <w:rsid w:val="007B66C6"/>
    <w:rsid w:val="007B6F5C"/>
    <w:rsid w:val="007B79FC"/>
    <w:rsid w:val="007C1028"/>
    <w:rsid w:val="007C2416"/>
    <w:rsid w:val="007C2462"/>
    <w:rsid w:val="007C25C2"/>
    <w:rsid w:val="007C28F2"/>
    <w:rsid w:val="007C2F36"/>
    <w:rsid w:val="007C31EB"/>
    <w:rsid w:val="007C3601"/>
    <w:rsid w:val="007C3833"/>
    <w:rsid w:val="007C3E78"/>
    <w:rsid w:val="007C47BF"/>
    <w:rsid w:val="007C4E56"/>
    <w:rsid w:val="007C537C"/>
    <w:rsid w:val="007C5624"/>
    <w:rsid w:val="007C56BA"/>
    <w:rsid w:val="007C61F3"/>
    <w:rsid w:val="007C66D8"/>
    <w:rsid w:val="007C6C84"/>
    <w:rsid w:val="007D04F9"/>
    <w:rsid w:val="007D0638"/>
    <w:rsid w:val="007D0B48"/>
    <w:rsid w:val="007D1850"/>
    <w:rsid w:val="007D1E26"/>
    <w:rsid w:val="007D1E2F"/>
    <w:rsid w:val="007D1F32"/>
    <w:rsid w:val="007D2597"/>
    <w:rsid w:val="007D28BC"/>
    <w:rsid w:val="007D297C"/>
    <w:rsid w:val="007D2C6B"/>
    <w:rsid w:val="007D2D75"/>
    <w:rsid w:val="007D36E8"/>
    <w:rsid w:val="007D3E06"/>
    <w:rsid w:val="007D3EEB"/>
    <w:rsid w:val="007D4722"/>
    <w:rsid w:val="007D5A7A"/>
    <w:rsid w:val="007D5C40"/>
    <w:rsid w:val="007D5EB7"/>
    <w:rsid w:val="007D69C9"/>
    <w:rsid w:val="007D739D"/>
    <w:rsid w:val="007D78B4"/>
    <w:rsid w:val="007D7E4C"/>
    <w:rsid w:val="007E02AD"/>
    <w:rsid w:val="007E0BE3"/>
    <w:rsid w:val="007E0CF0"/>
    <w:rsid w:val="007E123B"/>
    <w:rsid w:val="007E12EC"/>
    <w:rsid w:val="007E13AC"/>
    <w:rsid w:val="007E1403"/>
    <w:rsid w:val="007E1AE1"/>
    <w:rsid w:val="007E338F"/>
    <w:rsid w:val="007E361F"/>
    <w:rsid w:val="007E37A8"/>
    <w:rsid w:val="007E4393"/>
    <w:rsid w:val="007E4456"/>
    <w:rsid w:val="007E498F"/>
    <w:rsid w:val="007E591E"/>
    <w:rsid w:val="007E5D02"/>
    <w:rsid w:val="007E6128"/>
    <w:rsid w:val="007E6392"/>
    <w:rsid w:val="007E6ED2"/>
    <w:rsid w:val="007E6F95"/>
    <w:rsid w:val="007E7049"/>
    <w:rsid w:val="007E734D"/>
    <w:rsid w:val="007E74A5"/>
    <w:rsid w:val="007E7D8F"/>
    <w:rsid w:val="007F0900"/>
    <w:rsid w:val="007F0EC9"/>
    <w:rsid w:val="007F1297"/>
    <w:rsid w:val="007F1AC0"/>
    <w:rsid w:val="007F1DBC"/>
    <w:rsid w:val="007F1F81"/>
    <w:rsid w:val="007F25E7"/>
    <w:rsid w:val="007F2ADC"/>
    <w:rsid w:val="007F2C62"/>
    <w:rsid w:val="007F3352"/>
    <w:rsid w:val="007F3A7D"/>
    <w:rsid w:val="007F3D37"/>
    <w:rsid w:val="007F4144"/>
    <w:rsid w:val="007F466F"/>
    <w:rsid w:val="007F51A8"/>
    <w:rsid w:val="007F533B"/>
    <w:rsid w:val="007F577A"/>
    <w:rsid w:val="007F5DC8"/>
    <w:rsid w:val="007F5EDF"/>
    <w:rsid w:val="007F5FED"/>
    <w:rsid w:val="007F624E"/>
    <w:rsid w:val="007F6468"/>
    <w:rsid w:val="007F6975"/>
    <w:rsid w:val="007F7011"/>
    <w:rsid w:val="007F7068"/>
    <w:rsid w:val="007F7310"/>
    <w:rsid w:val="007F7B6C"/>
    <w:rsid w:val="007F7E7B"/>
    <w:rsid w:val="00801307"/>
    <w:rsid w:val="008016E6"/>
    <w:rsid w:val="00802AA7"/>
    <w:rsid w:val="00802B1B"/>
    <w:rsid w:val="00802C22"/>
    <w:rsid w:val="00802F28"/>
    <w:rsid w:val="00802F89"/>
    <w:rsid w:val="00802FC9"/>
    <w:rsid w:val="0080307A"/>
    <w:rsid w:val="0080333A"/>
    <w:rsid w:val="00803A5E"/>
    <w:rsid w:val="00803D7E"/>
    <w:rsid w:val="00804195"/>
    <w:rsid w:val="00804326"/>
    <w:rsid w:val="0080493C"/>
    <w:rsid w:val="00804E37"/>
    <w:rsid w:val="008050DA"/>
    <w:rsid w:val="00805237"/>
    <w:rsid w:val="0080566B"/>
    <w:rsid w:val="00805F4C"/>
    <w:rsid w:val="0080600C"/>
    <w:rsid w:val="0080634E"/>
    <w:rsid w:val="00806895"/>
    <w:rsid w:val="00806947"/>
    <w:rsid w:val="00806B9A"/>
    <w:rsid w:val="0080798B"/>
    <w:rsid w:val="0081093D"/>
    <w:rsid w:val="0081095F"/>
    <w:rsid w:val="00810D62"/>
    <w:rsid w:val="008111AA"/>
    <w:rsid w:val="008118C0"/>
    <w:rsid w:val="00811C6D"/>
    <w:rsid w:val="00813357"/>
    <w:rsid w:val="00813604"/>
    <w:rsid w:val="00813973"/>
    <w:rsid w:val="00813A0E"/>
    <w:rsid w:val="00813C7D"/>
    <w:rsid w:val="00813E19"/>
    <w:rsid w:val="00813FB5"/>
    <w:rsid w:val="008157E9"/>
    <w:rsid w:val="00816019"/>
    <w:rsid w:val="0081618F"/>
    <w:rsid w:val="008164E7"/>
    <w:rsid w:val="00817245"/>
    <w:rsid w:val="00817289"/>
    <w:rsid w:val="008200EC"/>
    <w:rsid w:val="00820252"/>
    <w:rsid w:val="00820714"/>
    <w:rsid w:val="008208A5"/>
    <w:rsid w:val="008208A9"/>
    <w:rsid w:val="008208B3"/>
    <w:rsid w:val="00820B22"/>
    <w:rsid w:val="00820FDD"/>
    <w:rsid w:val="008215FF"/>
    <w:rsid w:val="008224E5"/>
    <w:rsid w:val="0082253E"/>
    <w:rsid w:val="00822588"/>
    <w:rsid w:val="0082294B"/>
    <w:rsid w:val="008231D9"/>
    <w:rsid w:val="00823306"/>
    <w:rsid w:val="00823667"/>
    <w:rsid w:val="00823E71"/>
    <w:rsid w:val="00824628"/>
    <w:rsid w:val="00824A68"/>
    <w:rsid w:val="00825A7F"/>
    <w:rsid w:val="00826444"/>
    <w:rsid w:val="00827AEC"/>
    <w:rsid w:val="00830154"/>
    <w:rsid w:val="00830D36"/>
    <w:rsid w:val="00830FA0"/>
    <w:rsid w:val="00831050"/>
    <w:rsid w:val="0083220A"/>
    <w:rsid w:val="00832717"/>
    <w:rsid w:val="00832AE3"/>
    <w:rsid w:val="008346E7"/>
    <w:rsid w:val="00835274"/>
    <w:rsid w:val="00835722"/>
    <w:rsid w:val="008359DD"/>
    <w:rsid w:val="0083655E"/>
    <w:rsid w:val="00836A29"/>
    <w:rsid w:val="00836A38"/>
    <w:rsid w:val="00836B99"/>
    <w:rsid w:val="00836C55"/>
    <w:rsid w:val="00837211"/>
    <w:rsid w:val="00837397"/>
    <w:rsid w:val="0083792E"/>
    <w:rsid w:val="00837C7A"/>
    <w:rsid w:val="00837C88"/>
    <w:rsid w:val="00840883"/>
    <w:rsid w:val="008413C3"/>
    <w:rsid w:val="00841A5D"/>
    <w:rsid w:val="00841BEE"/>
    <w:rsid w:val="00841BF6"/>
    <w:rsid w:val="00841D82"/>
    <w:rsid w:val="0084235F"/>
    <w:rsid w:val="00842BDB"/>
    <w:rsid w:val="008434DF"/>
    <w:rsid w:val="00843569"/>
    <w:rsid w:val="0084365A"/>
    <w:rsid w:val="00843CDE"/>
    <w:rsid w:val="00844208"/>
    <w:rsid w:val="00844389"/>
    <w:rsid w:val="008444B3"/>
    <w:rsid w:val="00845102"/>
    <w:rsid w:val="00845119"/>
    <w:rsid w:val="00845847"/>
    <w:rsid w:val="00845CCD"/>
    <w:rsid w:val="00846428"/>
    <w:rsid w:val="00846A84"/>
    <w:rsid w:val="00846C4B"/>
    <w:rsid w:val="00846D2B"/>
    <w:rsid w:val="00846F6C"/>
    <w:rsid w:val="0084734C"/>
    <w:rsid w:val="00847C25"/>
    <w:rsid w:val="008500EC"/>
    <w:rsid w:val="00850163"/>
    <w:rsid w:val="008501A7"/>
    <w:rsid w:val="008501DF"/>
    <w:rsid w:val="00850303"/>
    <w:rsid w:val="0085066B"/>
    <w:rsid w:val="008510DE"/>
    <w:rsid w:val="008512DA"/>
    <w:rsid w:val="00851457"/>
    <w:rsid w:val="00851E2C"/>
    <w:rsid w:val="0085259A"/>
    <w:rsid w:val="00852660"/>
    <w:rsid w:val="00852E10"/>
    <w:rsid w:val="008533A6"/>
    <w:rsid w:val="008538EC"/>
    <w:rsid w:val="008543B3"/>
    <w:rsid w:val="008543F6"/>
    <w:rsid w:val="008545A8"/>
    <w:rsid w:val="00854F71"/>
    <w:rsid w:val="00855634"/>
    <w:rsid w:val="008563A4"/>
    <w:rsid w:val="0085653F"/>
    <w:rsid w:val="00856E5D"/>
    <w:rsid w:val="00856FFE"/>
    <w:rsid w:val="0085763A"/>
    <w:rsid w:val="008600CE"/>
    <w:rsid w:val="00860D15"/>
    <w:rsid w:val="00860DEC"/>
    <w:rsid w:val="0086122E"/>
    <w:rsid w:val="00861825"/>
    <w:rsid w:val="008619DE"/>
    <w:rsid w:val="00862CF0"/>
    <w:rsid w:val="00863230"/>
    <w:rsid w:val="00863445"/>
    <w:rsid w:val="00863A16"/>
    <w:rsid w:val="00863BB5"/>
    <w:rsid w:val="0086402A"/>
    <w:rsid w:val="0086435E"/>
    <w:rsid w:val="008643B0"/>
    <w:rsid w:val="008645A1"/>
    <w:rsid w:val="00864A78"/>
    <w:rsid w:val="00864BDB"/>
    <w:rsid w:val="00864E53"/>
    <w:rsid w:val="00864FCF"/>
    <w:rsid w:val="00865126"/>
    <w:rsid w:val="008652DE"/>
    <w:rsid w:val="00865850"/>
    <w:rsid w:val="00865B2E"/>
    <w:rsid w:val="00866B11"/>
    <w:rsid w:val="00866BD4"/>
    <w:rsid w:val="00866D23"/>
    <w:rsid w:val="00867733"/>
    <w:rsid w:val="00867971"/>
    <w:rsid w:val="00867B3C"/>
    <w:rsid w:val="00867B7E"/>
    <w:rsid w:val="00867DAB"/>
    <w:rsid w:val="00870606"/>
    <w:rsid w:val="00870B2E"/>
    <w:rsid w:val="008710A1"/>
    <w:rsid w:val="00872039"/>
    <w:rsid w:val="008721C3"/>
    <w:rsid w:val="00872219"/>
    <w:rsid w:val="008723C5"/>
    <w:rsid w:val="00872569"/>
    <w:rsid w:val="00872C2F"/>
    <w:rsid w:val="00872DCF"/>
    <w:rsid w:val="00873529"/>
    <w:rsid w:val="00873E3B"/>
    <w:rsid w:val="00873F36"/>
    <w:rsid w:val="008753F3"/>
    <w:rsid w:val="0087566D"/>
    <w:rsid w:val="008757A7"/>
    <w:rsid w:val="0087616D"/>
    <w:rsid w:val="00876668"/>
    <w:rsid w:val="0087694C"/>
    <w:rsid w:val="00876A89"/>
    <w:rsid w:val="00876D27"/>
    <w:rsid w:val="008774C7"/>
    <w:rsid w:val="00877727"/>
    <w:rsid w:val="00877CAF"/>
    <w:rsid w:val="00877EEF"/>
    <w:rsid w:val="008802E6"/>
    <w:rsid w:val="008809AD"/>
    <w:rsid w:val="00880DAC"/>
    <w:rsid w:val="00880EF1"/>
    <w:rsid w:val="00880FA5"/>
    <w:rsid w:val="00881081"/>
    <w:rsid w:val="008810D1"/>
    <w:rsid w:val="0088157B"/>
    <w:rsid w:val="00882418"/>
    <w:rsid w:val="00882E61"/>
    <w:rsid w:val="00883BEF"/>
    <w:rsid w:val="00884A0A"/>
    <w:rsid w:val="00884ADA"/>
    <w:rsid w:val="00884CA9"/>
    <w:rsid w:val="00885115"/>
    <w:rsid w:val="0088554C"/>
    <w:rsid w:val="008858AD"/>
    <w:rsid w:val="008862CA"/>
    <w:rsid w:val="008871C6"/>
    <w:rsid w:val="00887373"/>
    <w:rsid w:val="00887395"/>
    <w:rsid w:val="008874D1"/>
    <w:rsid w:val="00887923"/>
    <w:rsid w:val="00887F48"/>
    <w:rsid w:val="00890218"/>
    <w:rsid w:val="00890396"/>
    <w:rsid w:val="00890425"/>
    <w:rsid w:val="008906BD"/>
    <w:rsid w:val="0089091B"/>
    <w:rsid w:val="00890AAB"/>
    <w:rsid w:val="00890C09"/>
    <w:rsid w:val="00891B01"/>
    <w:rsid w:val="00891B60"/>
    <w:rsid w:val="00891C02"/>
    <w:rsid w:val="00891C3F"/>
    <w:rsid w:val="00892244"/>
    <w:rsid w:val="008927B7"/>
    <w:rsid w:val="008928BF"/>
    <w:rsid w:val="00892D2F"/>
    <w:rsid w:val="00892E6C"/>
    <w:rsid w:val="008938BE"/>
    <w:rsid w:val="00893EE6"/>
    <w:rsid w:val="00894897"/>
    <w:rsid w:val="00894F5C"/>
    <w:rsid w:val="008951A8"/>
    <w:rsid w:val="00895553"/>
    <w:rsid w:val="00895B80"/>
    <w:rsid w:val="00895DBF"/>
    <w:rsid w:val="00895E47"/>
    <w:rsid w:val="00896374"/>
    <w:rsid w:val="00896730"/>
    <w:rsid w:val="00896FF1"/>
    <w:rsid w:val="008971BE"/>
    <w:rsid w:val="00897804"/>
    <w:rsid w:val="00897887"/>
    <w:rsid w:val="00897B95"/>
    <w:rsid w:val="00897F70"/>
    <w:rsid w:val="008A02FB"/>
    <w:rsid w:val="008A0E87"/>
    <w:rsid w:val="008A1094"/>
    <w:rsid w:val="008A111D"/>
    <w:rsid w:val="008A13A6"/>
    <w:rsid w:val="008A1495"/>
    <w:rsid w:val="008A14B4"/>
    <w:rsid w:val="008A18AC"/>
    <w:rsid w:val="008A19B6"/>
    <w:rsid w:val="008A19E5"/>
    <w:rsid w:val="008A2103"/>
    <w:rsid w:val="008A21A0"/>
    <w:rsid w:val="008A2626"/>
    <w:rsid w:val="008A2912"/>
    <w:rsid w:val="008A2968"/>
    <w:rsid w:val="008A2BBA"/>
    <w:rsid w:val="008A32B7"/>
    <w:rsid w:val="008A3711"/>
    <w:rsid w:val="008A3C9F"/>
    <w:rsid w:val="008A400E"/>
    <w:rsid w:val="008A4972"/>
    <w:rsid w:val="008A4F51"/>
    <w:rsid w:val="008A53BC"/>
    <w:rsid w:val="008A55D8"/>
    <w:rsid w:val="008A57E9"/>
    <w:rsid w:val="008A5A8C"/>
    <w:rsid w:val="008A686B"/>
    <w:rsid w:val="008A6D82"/>
    <w:rsid w:val="008A74C7"/>
    <w:rsid w:val="008A75D4"/>
    <w:rsid w:val="008A77C8"/>
    <w:rsid w:val="008A7929"/>
    <w:rsid w:val="008A7D96"/>
    <w:rsid w:val="008B0399"/>
    <w:rsid w:val="008B03A5"/>
    <w:rsid w:val="008B0C34"/>
    <w:rsid w:val="008B0D1E"/>
    <w:rsid w:val="008B12AF"/>
    <w:rsid w:val="008B12BD"/>
    <w:rsid w:val="008B1A71"/>
    <w:rsid w:val="008B1AC4"/>
    <w:rsid w:val="008B1B23"/>
    <w:rsid w:val="008B1DEC"/>
    <w:rsid w:val="008B2EBF"/>
    <w:rsid w:val="008B44A0"/>
    <w:rsid w:val="008B4A6E"/>
    <w:rsid w:val="008B4FC4"/>
    <w:rsid w:val="008B55AF"/>
    <w:rsid w:val="008B5A04"/>
    <w:rsid w:val="008B5A8E"/>
    <w:rsid w:val="008B5E0E"/>
    <w:rsid w:val="008B5EB2"/>
    <w:rsid w:val="008B6A51"/>
    <w:rsid w:val="008B6D74"/>
    <w:rsid w:val="008B6F8D"/>
    <w:rsid w:val="008B70C5"/>
    <w:rsid w:val="008B74A8"/>
    <w:rsid w:val="008B7679"/>
    <w:rsid w:val="008B7801"/>
    <w:rsid w:val="008B7A28"/>
    <w:rsid w:val="008C05E5"/>
    <w:rsid w:val="008C0EFF"/>
    <w:rsid w:val="008C13A6"/>
    <w:rsid w:val="008C15C7"/>
    <w:rsid w:val="008C1627"/>
    <w:rsid w:val="008C215E"/>
    <w:rsid w:val="008C2517"/>
    <w:rsid w:val="008C28AA"/>
    <w:rsid w:val="008C2C53"/>
    <w:rsid w:val="008C2FEC"/>
    <w:rsid w:val="008C36B3"/>
    <w:rsid w:val="008C3D5E"/>
    <w:rsid w:val="008C40C3"/>
    <w:rsid w:val="008C4B96"/>
    <w:rsid w:val="008C660F"/>
    <w:rsid w:val="008C6979"/>
    <w:rsid w:val="008C6BD2"/>
    <w:rsid w:val="008C6EDE"/>
    <w:rsid w:val="008C78D5"/>
    <w:rsid w:val="008C7D03"/>
    <w:rsid w:val="008C7E53"/>
    <w:rsid w:val="008C7ECF"/>
    <w:rsid w:val="008C7F98"/>
    <w:rsid w:val="008D0B44"/>
    <w:rsid w:val="008D0B50"/>
    <w:rsid w:val="008D0D92"/>
    <w:rsid w:val="008D0F45"/>
    <w:rsid w:val="008D0F4F"/>
    <w:rsid w:val="008D1168"/>
    <w:rsid w:val="008D168B"/>
    <w:rsid w:val="008D18EC"/>
    <w:rsid w:val="008D1CF6"/>
    <w:rsid w:val="008D243B"/>
    <w:rsid w:val="008D265F"/>
    <w:rsid w:val="008D266A"/>
    <w:rsid w:val="008D27DD"/>
    <w:rsid w:val="008D323A"/>
    <w:rsid w:val="008D3311"/>
    <w:rsid w:val="008D3C52"/>
    <w:rsid w:val="008D3CD4"/>
    <w:rsid w:val="008D3FC2"/>
    <w:rsid w:val="008D40B1"/>
    <w:rsid w:val="008D43DE"/>
    <w:rsid w:val="008D4450"/>
    <w:rsid w:val="008D4CED"/>
    <w:rsid w:val="008D4DAA"/>
    <w:rsid w:val="008D51E1"/>
    <w:rsid w:val="008D5208"/>
    <w:rsid w:val="008D54A5"/>
    <w:rsid w:val="008D57CB"/>
    <w:rsid w:val="008D5863"/>
    <w:rsid w:val="008D5A84"/>
    <w:rsid w:val="008D5BF7"/>
    <w:rsid w:val="008D5C6C"/>
    <w:rsid w:val="008D5FCD"/>
    <w:rsid w:val="008D65BA"/>
    <w:rsid w:val="008D664B"/>
    <w:rsid w:val="008D6AF5"/>
    <w:rsid w:val="008D7AD2"/>
    <w:rsid w:val="008E01FF"/>
    <w:rsid w:val="008E0219"/>
    <w:rsid w:val="008E0242"/>
    <w:rsid w:val="008E062C"/>
    <w:rsid w:val="008E0AEA"/>
    <w:rsid w:val="008E0FDA"/>
    <w:rsid w:val="008E0FFC"/>
    <w:rsid w:val="008E190D"/>
    <w:rsid w:val="008E1EC6"/>
    <w:rsid w:val="008E230A"/>
    <w:rsid w:val="008E2325"/>
    <w:rsid w:val="008E2A20"/>
    <w:rsid w:val="008E2A84"/>
    <w:rsid w:val="008E2E4E"/>
    <w:rsid w:val="008E2F2D"/>
    <w:rsid w:val="008E3155"/>
    <w:rsid w:val="008E31E5"/>
    <w:rsid w:val="008E3F6D"/>
    <w:rsid w:val="008E4724"/>
    <w:rsid w:val="008E587E"/>
    <w:rsid w:val="008E5FAC"/>
    <w:rsid w:val="008E600E"/>
    <w:rsid w:val="008E7A70"/>
    <w:rsid w:val="008E7F8E"/>
    <w:rsid w:val="008F04A8"/>
    <w:rsid w:val="008F0FEE"/>
    <w:rsid w:val="008F113A"/>
    <w:rsid w:val="008F13B3"/>
    <w:rsid w:val="008F1644"/>
    <w:rsid w:val="008F1B56"/>
    <w:rsid w:val="008F219E"/>
    <w:rsid w:val="008F27F3"/>
    <w:rsid w:val="008F2903"/>
    <w:rsid w:val="008F2986"/>
    <w:rsid w:val="008F36B4"/>
    <w:rsid w:val="008F36E8"/>
    <w:rsid w:val="008F3823"/>
    <w:rsid w:val="008F3BB5"/>
    <w:rsid w:val="008F3C6D"/>
    <w:rsid w:val="008F3F8D"/>
    <w:rsid w:val="008F4445"/>
    <w:rsid w:val="008F48A0"/>
    <w:rsid w:val="008F48D4"/>
    <w:rsid w:val="008F491E"/>
    <w:rsid w:val="008F5324"/>
    <w:rsid w:val="008F5D0E"/>
    <w:rsid w:val="008F5E37"/>
    <w:rsid w:val="008F681F"/>
    <w:rsid w:val="008F6B28"/>
    <w:rsid w:val="008F6DD4"/>
    <w:rsid w:val="009001E3"/>
    <w:rsid w:val="00900620"/>
    <w:rsid w:val="00900E36"/>
    <w:rsid w:val="00901B2F"/>
    <w:rsid w:val="009021A7"/>
    <w:rsid w:val="009029CB"/>
    <w:rsid w:val="00902B25"/>
    <w:rsid w:val="00903480"/>
    <w:rsid w:val="009042EE"/>
    <w:rsid w:val="0090523B"/>
    <w:rsid w:val="00905A9E"/>
    <w:rsid w:val="00905B99"/>
    <w:rsid w:val="009060C3"/>
    <w:rsid w:val="00906313"/>
    <w:rsid w:val="00906526"/>
    <w:rsid w:val="00906D01"/>
    <w:rsid w:val="00906D05"/>
    <w:rsid w:val="009074AD"/>
    <w:rsid w:val="009074F0"/>
    <w:rsid w:val="00907BD9"/>
    <w:rsid w:val="00907D6A"/>
    <w:rsid w:val="00910141"/>
    <w:rsid w:val="009104EE"/>
    <w:rsid w:val="00910C24"/>
    <w:rsid w:val="00910CD1"/>
    <w:rsid w:val="00910FB9"/>
    <w:rsid w:val="00911367"/>
    <w:rsid w:val="0091152C"/>
    <w:rsid w:val="009123B8"/>
    <w:rsid w:val="00912467"/>
    <w:rsid w:val="0091253D"/>
    <w:rsid w:val="0091253F"/>
    <w:rsid w:val="0091264A"/>
    <w:rsid w:val="00913441"/>
    <w:rsid w:val="009145F4"/>
    <w:rsid w:val="00914C14"/>
    <w:rsid w:val="00915527"/>
    <w:rsid w:val="00915805"/>
    <w:rsid w:val="00915832"/>
    <w:rsid w:val="0091629D"/>
    <w:rsid w:val="009165E4"/>
    <w:rsid w:val="009166C4"/>
    <w:rsid w:val="0091686F"/>
    <w:rsid w:val="0091716A"/>
    <w:rsid w:val="0091743C"/>
    <w:rsid w:val="0091777A"/>
    <w:rsid w:val="009179E0"/>
    <w:rsid w:val="00917DD4"/>
    <w:rsid w:val="00920BAD"/>
    <w:rsid w:val="00921256"/>
    <w:rsid w:val="009221AD"/>
    <w:rsid w:val="00922591"/>
    <w:rsid w:val="00922639"/>
    <w:rsid w:val="00923A40"/>
    <w:rsid w:val="00923D0D"/>
    <w:rsid w:val="00923E06"/>
    <w:rsid w:val="00924210"/>
    <w:rsid w:val="0092462E"/>
    <w:rsid w:val="009253A7"/>
    <w:rsid w:val="0092592A"/>
    <w:rsid w:val="00925A9A"/>
    <w:rsid w:val="0092605C"/>
    <w:rsid w:val="00926250"/>
    <w:rsid w:val="0092642E"/>
    <w:rsid w:val="00926CAC"/>
    <w:rsid w:val="0092771F"/>
    <w:rsid w:val="009279A8"/>
    <w:rsid w:val="00927D8D"/>
    <w:rsid w:val="00927F78"/>
    <w:rsid w:val="009301CC"/>
    <w:rsid w:val="00930A0A"/>
    <w:rsid w:val="00930F3A"/>
    <w:rsid w:val="00931366"/>
    <w:rsid w:val="009313A4"/>
    <w:rsid w:val="009314CA"/>
    <w:rsid w:val="00931573"/>
    <w:rsid w:val="009315A9"/>
    <w:rsid w:val="009318A8"/>
    <w:rsid w:val="009321F1"/>
    <w:rsid w:val="009322F5"/>
    <w:rsid w:val="00932AC1"/>
    <w:rsid w:val="009333FD"/>
    <w:rsid w:val="009335AB"/>
    <w:rsid w:val="009338B2"/>
    <w:rsid w:val="009343A7"/>
    <w:rsid w:val="00934BFA"/>
    <w:rsid w:val="00934C20"/>
    <w:rsid w:val="009355C2"/>
    <w:rsid w:val="0093568D"/>
    <w:rsid w:val="00935E39"/>
    <w:rsid w:val="009361C5"/>
    <w:rsid w:val="00936215"/>
    <w:rsid w:val="00936677"/>
    <w:rsid w:val="00936FDB"/>
    <w:rsid w:val="009374EF"/>
    <w:rsid w:val="00937A83"/>
    <w:rsid w:val="00937BE8"/>
    <w:rsid w:val="00940E3F"/>
    <w:rsid w:val="009419FE"/>
    <w:rsid w:val="0094296F"/>
    <w:rsid w:val="00942D15"/>
    <w:rsid w:val="00942D77"/>
    <w:rsid w:val="00942EE0"/>
    <w:rsid w:val="00943B4E"/>
    <w:rsid w:val="00943CA1"/>
    <w:rsid w:val="00943ED3"/>
    <w:rsid w:val="0094403D"/>
    <w:rsid w:val="0094411E"/>
    <w:rsid w:val="009445F8"/>
    <w:rsid w:val="00944BDD"/>
    <w:rsid w:val="00944C2E"/>
    <w:rsid w:val="00944C94"/>
    <w:rsid w:val="009460D0"/>
    <w:rsid w:val="00946C06"/>
    <w:rsid w:val="00946D00"/>
    <w:rsid w:val="009470B5"/>
    <w:rsid w:val="0094726B"/>
    <w:rsid w:val="00947E5A"/>
    <w:rsid w:val="00950102"/>
    <w:rsid w:val="009508BD"/>
    <w:rsid w:val="00950E76"/>
    <w:rsid w:val="00951E25"/>
    <w:rsid w:val="00951E27"/>
    <w:rsid w:val="00952B7B"/>
    <w:rsid w:val="00952D6D"/>
    <w:rsid w:val="00953016"/>
    <w:rsid w:val="009533CD"/>
    <w:rsid w:val="00953F38"/>
    <w:rsid w:val="0095431E"/>
    <w:rsid w:val="00954889"/>
    <w:rsid w:val="00954E8D"/>
    <w:rsid w:val="00954F0C"/>
    <w:rsid w:val="009558D1"/>
    <w:rsid w:val="00955B67"/>
    <w:rsid w:val="00955CAE"/>
    <w:rsid w:val="00955F5C"/>
    <w:rsid w:val="009567C7"/>
    <w:rsid w:val="00956DD7"/>
    <w:rsid w:val="00956FC8"/>
    <w:rsid w:val="00957319"/>
    <w:rsid w:val="009573D8"/>
    <w:rsid w:val="009579B1"/>
    <w:rsid w:val="00957E34"/>
    <w:rsid w:val="00957F5E"/>
    <w:rsid w:val="009609AA"/>
    <w:rsid w:val="0096127F"/>
    <w:rsid w:val="009613AA"/>
    <w:rsid w:val="009614C5"/>
    <w:rsid w:val="009614F3"/>
    <w:rsid w:val="00962707"/>
    <w:rsid w:val="0096273E"/>
    <w:rsid w:val="00962BE2"/>
    <w:rsid w:val="00963093"/>
    <w:rsid w:val="009630D1"/>
    <w:rsid w:val="009635E7"/>
    <w:rsid w:val="00963A5A"/>
    <w:rsid w:val="00963B7C"/>
    <w:rsid w:val="00963BCB"/>
    <w:rsid w:val="00963F8C"/>
    <w:rsid w:val="00964296"/>
    <w:rsid w:val="009644F9"/>
    <w:rsid w:val="00964AB3"/>
    <w:rsid w:val="00965472"/>
    <w:rsid w:val="00965782"/>
    <w:rsid w:val="00965993"/>
    <w:rsid w:val="00966266"/>
    <w:rsid w:val="00966563"/>
    <w:rsid w:val="00966BF0"/>
    <w:rsid w:val="00966CA1"/>
    <w:rsid w:val="00966F0E"/>
    <w:rsid w:val="0096721F"/>
    <w:rsid w:val="00967280"/>
    <w:rsid w:val="00967362"/>
    <w:rsid w:val="009675A3"/>
    <w:rsid w:val="009677F2"/>
    <w:rsid w:val="0096790A"/>
    <w:rsid w:val="00967C15"/>
    <w:rsid w:val="00967DBB"/>
    <w:rsid w:val="009700B8"/>
    <w:rsid w:val="0097034E"/>
    <w:rsid w:val="00970A4A"/>
    <w:rsid w:val="009711F0"/>
    <w:rsid w:val="0097128C"/>
    <w:rsid w:val="00971312"/>
    <w:rsid w:val="00971A36"/>
    <w:rsid w:val="00971B1C"/>
    <w:rsid w:val="00971B60"/>
    <w:rsid w:val="00971D3C"/>
    <w:rsid w:val="00971DA1"/>
    <w:rsid w:val="009720C6"/>
    <w:rsid w:val="009722E6"/>
    <w:rsid w:val="009723C4"/>
    <w:rsid w:val="009728C6"/>
    <w:rsid w:val="009733E0"/>
    <w:rsid w:val="00973687"/>
    <w:rsid w:val="00973B00"/>
    <w:rsid w:val="009740A5"/>
    <w:rsid w:val="00974CF2"/>
    <w:rsid w:val="00975347"/>
    <w:rsid w:val="00975862"/>
    <w:rsid w:val="00975A4F"/>
    <w:rsid w:val="00975E08"/>
    <w:rsid w:val="009762FC"/>
    <w:rsid w:val="00976BC7"/>
    <w:rsid w:val="00980E05"/>
    <w:rsid w:val="00980F54"/>
    <w:rsid w:val="00981643"/>
    <w:rsid w:val="00981B59"/>
    <w:rsid w:val="00981F99"/>
    <w:rsid w:val="009830B0"/>
    <w:rsid w:val="00983261"/>
    <w:rsid w:val="00983B10"/>
    <w:rsid w:val="00983ED7"/>
    <w:rsid w:val="00984AD0"/>
    <w:rsid w:val="00984FE4"/>
    <w:rsid w:val="00985139"/>
    <w:rsid w:val="0098562C"/>
    <w:rsid w:val="00985728"/>
    <w:rsid w:val="009863D4"/>
    <w:rsid w:val="0098641F"/>
    <w:rsid w:val="009869BF"/>
    <w:rsid w:val="00986D9E"/>
    <w:rsid w:val="00986DE7"/>
    <w:rsid w:val="00986F87"/>
    <w:rsid w:val="009878EC"/>
    <w:rsid w:val="009901B3"/>
    <w:rsid w:val="009901E0"/>
    <w:rsid w:val="00990284"/>
    <w:rsid w:val="009902DD"/>
    <w:rsid w:val="009903B2"/>
    <w:rsid w:val="00990457"/>
    <w:rsid w:val="00990C2B"/>
    <w:rsid w:val="00991761"/>
    <w:rsid w:val="009917D6"/>
    <w:rsid w:val="00991C3C"/>
    <w:rsid w:val="00991F00"/>
    <w:rsid w:val="00991F33"/>
    <w:rsid w:val="00993625"/>
    <w:rsid w:val="0099363F"/>
    <w:rsid w:val="00993970"/>
    <w:rsid w:val="00993FA4"/>
    <w:rsid w:val="0099428D"/>
    <w:rsid w:val="00994B78"/>
    <w:rsid w:val="00994DA3"/>
    <w:rsid w:val="00995661"/>
    <w:rsid w:val="009957A6"/>
    <w:rsid w:val="00995AAC"/>
    <w:rsid w:val="00995AAF"/>
    <w:rsid w:val="00995DDA"/>
    <w:rsid w:val="0099687C"/>
    <w:rsid w:val="00996897"/>
    <w:rsid w:val="00996D56"/>
    <w:rsid w:val="00997A2D"/>
    <w:rsid w:val="009A05D9"/>
    <w:rsid w:val="009A0852"/>
    <w:rsid w:val="009A0941"/>
    <w:rsid w:val="009A1570"/>
    <w:rsid w:val="009A2992"/>
    <w:rsid w:val="009A30C1"/>
    <w:rsid w:val="009A3788"/>
    <w:rsid w:val="009A38F1"/>
    <w:rsid w:val="009A39AF"/>
    <w:rsid w:val="009A3E6C"/>
    <w:rsid w:val="009A42A9"/>
    <w:rsid w:val="009A44EE"/>
    <w:rsid w:val="009A516A"/>
    <w:rsid w:val="009A546E"/>
    <w:rsid w:val="009A6009"/>
    <w:rsid w:val="009A649A"/>
    <w:rsid w:val="009A67DB"/>
    <w:rsid w:val="009A6B72"/>
    <w:rsid w:val="009A6CB7"/>
    <w:rsid w:val="009A7375"/>
    <w:rsid w:val="009A74CC"/>
    <w:rsid w:val="009A77CD"/>
    <w:rsid w:val="009A7A47"/>
    <w:rsid w:val="009A7EA8"/>
    <w:rsid w:val="009B060C"/>
    <w:rsid w:val="009B1D42"/>
    <w:rsid w:val="009B21B3"/>
    <w:rsid w:val="009B294F"/>
    <w:rsid w:val="009B2CD5"/>
    <w:rsid w:val="009B38AA"/>
    <w:rsid w:val="009B393D"/>
    <w:rsid w:val="009B39ED"/>
    <w:rsid w:val="009B447D"/>
    <w:rsid w:val="009B4FD7"/>
    <w:rsid w:val="009B51DA"/>
    <w:rsid w:val="009B583E"/>
    <w:rsid w:val="009B627B"/>
    <w:rsid w:val="009B66C1"/>
    <w:rsid w:val="009B6CCE"/>
    <w:rsid w:val="009B6D61"/>
    <w:rsid w:val="009B6FA7"/>
    <w:rsid w:val="009C00A8"/>
    <w:rsid w:val="009C07F2"/>
    <w:rsid w:val="009C0C24"/>
    <w:rsid w:val="009C0D4E"/>
    <w:rsid w:val="009C0E1F"/>
    <w:rsid w:val="009C16EF"/>
    <w:rsid w:val="009C1EBC"/>
    <w:rsid w:val="009C2812"/>
    <w:rsid w:val="009C2826"/>
    <w:rsid w:val="009C298B"/>
    <w:rsid w:val="009C2D0E"/>
    <w:rsid w:val="009C321D"/>
    <w:rsid w:val="009C324A"/>
    <w:rsid w:val="009C3273"/>
    <w:rsid w:val="009C3F41"/>
    <w:rsid w:val="009C45BE"/>
    <w:rsid w:val="009C492F"/>
    <w:rsid w:val="009C4FB6"/>
    <w:rsid w:val="009C5AB9"/>
    <w:rsid w:val="009C612D"/>
    <w:rsid w:val="009C638F"/>
    <w:rsid w:val="009C6DEB"/>
    <w:rsid w:val="009C79FD"/>
    <w:rsid w:val="009D0297"/>
    <w:rsid w:val="009D1374"/>
    <w:rsid w:val="009D282D"/>
    <w:rsid w:val="009D285F"/>
    <w:rsid w:val="009D2BD5"/>
    <w:rsid w:val="009D2E8B"/>
    <w:rsid w:val="009D377A"/>
    <w:rsid w:val="009D3838"/>
    <w:rsid w:val="009D3CFA"/>
    <w:rsid w:val="009D412B"/>
    <w:rsid w:val="009D493D"/>
    <w:rsid w:val="009D4F31"/>
    <w:rsid w:val="009D541A"/>
    <w:rsid w:val="009D6932"/>
    <w:rsid w:val="009D6B85"/>
    <w:rsid w:val="009D7126"/>
    <w:rsid w:val="009D7A53"/>
    <w:rsid w:val="009D7B4E"/>
    <w:rsid w:val="009E0302"/>
    <w:rsid w:val="009E041A"/>
    <w:rsid w:val="009E0963"/>
    <w:rsid w:val="009E1D49"/>
    <w:rsid w:val="009E1EAD"/>
    <w:rsid w:val="009E210E"/>
    <w:rsid w:val="009E28CF"/>
    <w:rsid w:val="009E2E13"/>
    <w:rsid w:val="009E349F"/>
    <w:rsid w:val="009E37A4"/>
    <w:rsid w:val="009E3AC1"/>
    <w:rsid w:val="009E3EF6"/>
    <w:rsid w:val="009E4813"/>
    <w:rsid w:val="009E5150"/>
    <w:rsid w:val="009E5D61"/>
    <w:rsid w:val="009E5DCC"/>
    <w:rsid w:val="009E6596"/>
    <w:rsid w:val="009E67DE"/>
    <w:rsid w:val="009E6AC2"/>
    <w:rsid w:val="009E72E8"/>
    <w:rsid w:val="009E7615"/>
    <w:rsid w:val="009E79C7"/>
    <w:rsid w:val="009E79EB"/>
    <w:rsid w:val="009F04F0"/>
    <w:rsid w:val="009F0677"/>
    <w:rsid w:val="009F0709"/>
    <w:rsid w:val="009F0978"/>
    <w:rsid w:val="009F2195"/>
    <w:rsid w:val="009F26CE"/>
    <w:rsid w:val="009F2905"/>
    <w:rsid w:val="009F2AAC"/>
    <w:rsid w:val="009F2EC2"/>
    <w:rsid w:val="009F2FC8"/>
    <w:rsid w:val="009F346F"/>
    <w:rsid w:val="009F3AA3"/>
    <w:rsid w:val="009F4162"/>
    <w:rsid w:val="009F4187"/>
    <w:rsid w:val="009F46DF"/>
    <w:rsid w:val="009F4A25"/>
    <w:rsid w:val="009F50BA"/>
    <w:rsid w:val="009F57E7"/>
    <w:rsid w:val="009F5D37"/>
    <w:rsid w:val="009F5E7B"/>
    <w:rsid w:val="009F5F46"/>
    <w:rsid w:val="009F6353"/>
    <w:rsid w:val="009F6789"/>
    <w:rsid w:val="009F69D2"/>
    <w:rsid w:val="009F6DC1"/>
    <w:rsid w:val="009F7464"/>
    <w:rsid w:val="009F789D"/>
    <w:rsid w:val="009F7EEE"/>
    <w:rsid w:val="00A00A64"/>
    <w:rsid w:val="00A01B89"/>
    <w:rsid w:val="00A02733"/>
    <w:rsid w:val="00A0336A"/>
    <w:rsid w:val="00A03427"/>
    <w:rsid w:val="00A03653"/>
    <w:rsid w:val="00A03E22"/>
    <w:rsid w:val="00A04BAD"/>
    <w:rsid w:val="00A06982"/>
    <w:rsid w:val="00A06ABD"/>
    <w:rsid w:val="00A06C71"/>
    <w:rsid w:val="00A074F1"/>
    <w:rsid w:val="00A076B0"/>
    <w:rsid w:val="00A10450"/>
    <w:rsid w:val="00A10968"/>
    <w:rsid w:val="00A10B90"/>
    <w:rsid w:val="00A10CB2"/>
    <w:rsid w:val="00A113DF"/>
    <w:rsid w:val="00A11547"/>
    <w:rsid w:val="00A11CAD"/>
    <w:rsid w:val="00A120D8"/>
    <w:rsid w:val="00A123D5"/>
    <w:rsid w:val="00A12544"/>
    <w:rsid w:val="00A129C0"/>
    <w:rsid w:val="00A12B47"/>
    <w:rsid w:val="00A12CE0"/>
    <w:rsid w:val="00A13F32"/>
    <w:rsid w:val="00A14251"/>
    <w:rsid w:val="00A143ED"/>
    <w:rsid w:val="00A15C67"/>
    <w:rsid w:val="00A15DA4"/>
    <w:rsid w:val="00A16152"/>
    <w:rsid w:val="00A16749"/>
    <w:rsid w:val="00A16A50"/>
    <w:rsid w:val="00A17ACC"/>
    <w:rsid w:val="00A17C44"/>
    <w:rsid w:val="00A17CEB"/>
    <w:rsid w:val="00A20756"/>
    <w:rsid w:val="00A208DE"/>
    <w:rsid w:val="00A210A5"/>
    <w:rsid w:val="00A212F9"/>
    <w:rsid w:val="00A214CF"/>
    <w:rsid w:val="00A2159F"/>
    <w:rsid w:val="00A21898"/>
    <w:rsid w:val="00A22C01"/>
    <w:rsid w:val="00A2348B"/>
    <w:rsid w:val="00A234EC"/>
    <w:rsid w:val="00A23611"/>
    <w:rsid w:val="00A2398A"/>
    <w:rsid w:val="00A239EE"/>
    <w:rsid w:val="00A23BD6"/>
    <w:rsid w:val="00A24423"/>
    <w:rsid w:val="00A245C8"/>
    <w:rsid w:val="00A24AFB"/>
    <w:rsid w:val="00A25134"/>
    <w:rsid w:val="00A251E7"/>
    <w:rsid w:val="00A25201"/>
    <w:rsid w:val="00A25464"/>
    <w:rsid w:val="00A2587B"/>
    <w:rsid w:val="00A25D2C"/>
    <w:rsid w:val="00A26042"/>
    <w:rsid w:val="00A26B0A"/>
    <w:rsid w:val="00A26EDE"/>
    <w:rsid w:val="00A272DA"/>
    <w:rsid w:val="00A273DA"/>
    <w:rsid w:val="00A2742F"/>
    <w:rsid w:val="00A2760C"/>
    <w:rsid w:val="00A27833"/>
    <w:rsid w:val="00A3068B"/>
    <w:rsid w:val="00A30808"/>
    <w:rsid w:val="00A30983"/>
    <w:rsid w:val="00A30B6B"/>
    <w:rsid w:val="00A30C7E"/>
    <w:rsid w:val="00A30E0C"/>
    <w:rsid w:val="00A315D1"/>
    <w:rsid w:val="00A3161A"/>
    <w:rsid w:val="00A31634"/>
    <w:rsid w:val="00A322E7"/>
    <w:rsid w:val="00A32A28"/>
    <w:rsid w:val="00A32CCE"/>
    <w:rsid w:val="00A340B6"/>
    <w:rsid w:val="00A341C0"/>
    <w:rsid w:val="00A34891"/>
    <w:rsid w:val="00A34972"/>
    <w:rsid w:val="00A35C8F"/>
    <w:rsid w:val="00A36105"/>
    <w:rsid w:val="00A365E3"/>
    <w:rsid w:val="00A36978"/>
    <w:rsid w:val="00A36F0A"/>
    <w:rsid w:val="00A36F7B"/>
    <w:rsid w:val="00A36F9F"/>
    <w:rsid w:val="00A374A8"/>
    <w:rsid w:val="00A37779"/>
    <w:rsid w:val="00A3784D"/>
    <w:rsid w:val="00A40436"/>
    <w:rsid w:val="00A40DB4"/>
    <w:rsid w:val="00A414C5"/>
    <w:rsid w:val="00A41619"/>
    <w:rsid w:val="00A41CC6"/>
    <w:rsid w:val="00A42090"/>
    <w:rsid w:val="00A4258A"/>
    <w:rsid w:val="00A426B6"/>
    <w:rsid w:val="00A429F9"/>
    <w:rsid w:val="00A42BE6"/>
    <w:rsid w:val="00A4365E"/>
    <w:rsid w:val="00A4439D"/>
    <w:rsid w:val="00A449F8"/>
    <w:rsid w:val="00A44B11"/>
    <w:rsid w:val="00A45259"/>
    <w:rsid w:val="00A453F9"/>
    <w:rsid w:val="00A45C2E"/>
    <w:rsid w:val="00A46029"/>
    <w:rsid w:val="00A460D5"/>
    <w:rsid w:val="00A46542"/>
    <w:rsid w:val="00A47216"/>
    <w:rsid w:val="00A47F53"/>
    <w:rsid w:val="00A50075"/>
    <w:rsid w:val="00A505B6"/>
    <w:rsid w:val="00A50EB7"/>
    <w:rsid w:val="00A516E2"/>
    <w:rsid w:val="00A517B9"/>
    <w:rsid w:val="00A51D5C"/>
    <w:rsid w:val="00A51EEF"/>
    <w:rsid w:val="00A5274B"/>
    <w:rsid w:val="00A52AD5"/>
    <w:rsid w:val="00A52D96"/>
    <w:rsid w:val="00A53827"/>
    <w:rsid w:val="00A5393E"/>
    <w:rsid w:val="00A53E09"/>
    <w:rsid w:val="00A53E73"/>
    <w:rsid w:val="00A53FC4"/>
    <w:rsid w:val="00A54142"/>
    <w:rsid w:val="00A54844"/>
    <w:rsid w:val="00A54CA1"/>
    <w:rsid w:val="00A55530"/>
    <w:rsid w:val="00A55660"/>
    <w:rsid w:val="00A5595F"/>
    <w:rsid w:val="00A560DE"/>
    <w:rsid w:val="00A5619D"/>
    <w:rsid w:val="00A56D08"/>
    <w:rsid w:val="00A56E99"/>
    <w:rsid w:val="00A57935"/>
    <w:rsid w:val="00A57B0D"/>
    <w:rsid w:val="00A57F79"/>
    <w:rsid w:val="00A6066E"/>
    <w:rsid w:val="00A616EE"/>
    <w:rsid w:val="00A61992"/>
    <w:rsid w:val="00A61C8C"/>
    <w:rsid w:val="00A623ED"/>
    <w:rsid w:val="00A63229"/>
    <w:rsid w:val="00A636D3"/>
    <w:rsid w:val="00A6377B"/>
    <w:rsid w:val="00A6394D"/>
    <w:rsid w:val="00A649CD"/>
    <w:rsid w:val="00A64A7F"/>
    <w:rsid w:val="00A64F6C"/>
    <w:rsid w:val="00A6582E"/>
    <w:rsid w:val="00A65938"/>
    <w:rsid w:val="00A6598F"/>
    <w:rsid w:val="00A65FB3"/>
    <w:rsid w:val="00A66571"/>
    <w:rsid w:val="00A66A53"/>
    <w:rsid w:val="00A66A5E"/>
    <w:rsid w:val="00A66B29"/>
    <w:rsid w:val="00A70590"/>
    <w:rsid w:val="00A70C81"/>
    <w:rsid w:val="00A70F89"/>
    <w:rsid w:val="00A71067"/>
    <w:rsid w:val="00A7128E"/>
    <w:rsid w:val="00A715D1"/>
    <w:rsid w:val="00A716C7"/>
    <w:rsid w:val="00A71DA9"/>
    <w:rsid w:val="00A72283"/>
    <w:rsid w:val="00A72659"/>
    <w:rsid w:val="00A72C0B"/>
    <w:rsid w:val="00A72D19"/>
    <w:rsid w:val="00A7322E"/>
    <w:rsid w:val="00A737E3"/>
    <w:rsid w:val="00A73A3D"/>
    <w:rsid w:val="00A73D51"/>
    <w:rsid w:val="00A74169"/>
    <w:rsid w:val="00A749C0"/>
    <w:rsid w:val="00A7531D"/>
    <w:rsid w:val="00A7671B"/>
    <w:rsid w:val="00A7755A"/>
    <w:rsid w:val="00A7788F"/>
    <w:rsid w:val="00A778EE"/>
    <w:rsid w:val="00A8018F"/>
    <w:rsid w:val="00A80311"/>
    <w:rsid w:val="00A80A7F"/>
    <w:rsid w:val="00A80FC5"/>
    <w:rsid w:val="00A81026"/>
    <w:rsid w:val="00A822A5"/>
    <w:rsid w:val="00A8233C"/>
    <w:rsid w:val="00A82B40"/>
    <w:rsid w:val="00A83443"/>
    <w:rsid w:val="00A835E6"/>
    <w:rsid w:val="00A8367C"/>
    <w:rsid w:val="00A84304"/>
    <w:rsid w:val="00A8456C"/>
    <w:rsid w:val="00A855CB"/>
    <w:rsid w:val="00A859B7"/>
    <w:rsid w:val="00A865B7"/>
    <w:rsid w:val="00A86E70"/>
    <w:rsid w:val="00A86EE3"/>
    <w:rsid w:val="00A87355"/>
    <w:rsid w:val="00A9016F"/>
    <w:rsid w:val="00A906BB"/>
    <w:rsid w:val="00A908F9"/>
    <w:rsid w:val="00A91767"/>
    <w:rsid w:val="00A917E1"/>
    <w:rsid w:val="00A9204A"/>
    <w:rsid w:val="00A9278C"/>
    <w:rsid w:val="00A92906"/>
    <w:rsid w:val="00A92D56"/>
    <w:rsid w:val="00A92D64"/>
    <w:rsid w:val="00A9307B"/>
    <w:rsid w:val="00A930DB"/>
    <w:rsid w:val="00A930E9"/>
    <w:rsid w:val="00A93312"/>
    <w:rsid w:val="00A934CC"/>
    <w:rsid w:val="00A935F3"/>
    <w:rsid w:val="00A94181"/>
    <w:rsid w:val="00A94548"/>
    <w:rsid w:val="00A94D96"/>
    <w:rsid w:val="00A9569B"/>
    <w:rsid w:val="00A95D03"/>
    <w:rsid w:val="00A9631A"/>
    <w:rsid w:val="00A96D6E"/>
    <w:rsid w:val="00A96E2A"/>
    <w:rsid w:val="00A9735C"/>
    <w:rsid w:val="00A9749A"/>
    <w:rsid w:val="00AA030E"/>
    <w:rsid w:val="00AA060B"/>
    <w:rsid w:val="00AA0BD4"/>
    <w:rsid w:val="00AA179C"/>
    <w:rsid w:val="00AA1845"/>
    <w:rsid w:val="00AA198F"/>
    <w:rsid w:val="00AA27E3"/>
    <w:rsid w:val="00AA2A0D"/>
    <w:rsid w:val="00AA2C7C"/>
    <w:rsid w:val="00AA2CDE"/>
    <w:rsid w:val="00AA33DE"/>
    <w:rsid w:val="00AA359F"/>
    <w:rsid w:val="00AA3615"/>
    <w:rsid w:val="00AA3EC8"/>
    <w:rsid w:val="00AA45EE"/>
    <w:rsid w:val="00AA4733"/>
    <w:rsid w:val="00AA4999"/>
    <w:rsid w:val="00AA49DE"/>
    <w:rsid w:val="00AA4A19"/>
    <w:rsid w:val="00AA4A42"/>
    <w:rsid w:val="00AA4BBC"/>
    <w:rsid w:val="00AA5191"/>
    <w:rsid w:val="00AA567F"/>
    <w:rsid w:val="00AA5AE0"/>
    <w:rsid w:val="00AA5D9F"/>
    <w:rsid w:val="00AA7341"/>
    <w:rsid w:val="00AA7761"/>
    <w:rsid w:val="00AA7770"/>
    <w:rsid w:val="00AA796A"/>
    <w:rsid w:val="00AB05E3"/>
    <w:rsid w:val="00AB0F54"/>
    <w:rsid w:val="00AB1237"/>
    <w:rsid w:val="00AB1415"/>
    <w:rsid w:val="00AB15B2"/>
    <w:rsid w:val="00AB1B2D"/>
    <w:rsid w:val="00AB1FAC"/>
    <w:rsid w:val="00AB205F"/>
    <w:rsid w:val="00AB2994"/>
    <w:rsid w:val="00AB36E1"/>
    <w:rsid w:val="00AB3888"/>
    <w:rsid w:val="00AB3BDF"/>
    <w:rsid w:val="00AB3CB9"/>
    <w:rsid w:val="00AB42E9"/>
    <w:rsid w:val="00AB4601"/>
    <w:rsid w:val="00AB4CFA"/>
    <w:rsid w:val="00AB52D5"/>
    <w:rsid w:val="00AB532E"/>
    <w:rsid w:val="00AB64CB"/>
    <w:rsid w:val="00AB6E09"/>
    <w:rsid w:val="00AB6FEE"/>
    <w:rsid w:val="00AB7208"/>
    <w:rsid w:val="00AB7314"/>
    <w:rsid w:val="00AB7755"/>
    <w:rsid w:val="00AB776A"/>
    <w:rsid w:val="00AB77F0"/>
    <w:rsid w:val="00AB7C72"/>
    <w:rsid w:val="00AC0800"/>
    <w:rsid w:val="00AC110A"/>
    <w:rsid w:val="00AC14C0"/>
    <w:rsid w:val="00AC1B1E"/>
    <w:rsid w:val="00AC2993"/>
    <w:rsid w:val="00AC29EE"/>
    <w:rsid w:val="00AC3131"/>
    <w:rsid w:val="00AC358A"/>
    <w:rsid w:val="00AC3EA2"/>
    <w:rsid w:val="00AC4221"/>
    <w:rsid w:val="00AC4905"/>
    <w:rsid w:val="00AC5996"/>
    <w:rsid w:val="00AC5AD4"/>
    <w:rsid w:val="00AC6B6F"/>
    <w:rsid w:val="00AC6D01"/>
    <w:rsid w:val="00AD00F2"/>
    <w:rsid w:val="00AD16ED"/>
    <w:rsid w:val="00AD2595"/>
    <w:rsid w:val="00AD26A2"/>
    <w:rsid w:val="00AD27A9"/>
    <w:rsid w:val="00AD2BED"/>
    <w:rsid w:val="00AD5363"/>
    <w:rsid w:val="00AD5368"/>
    <w:rsid w:val="00AD539D"/>
    <w:rsid w:val="00AD550F"/>
    <w:rsid w:val="00AD58A6"/>
    <w:rsid w:val="00AD5C7C"/>
    <w:rsid w:val="00AD5CD5"/>
    <w:rsid w:val="00AD5DB9"/>
    <w:rsid w:val="00AD5DE8"/>
    <w:rsid w:val="00AD5E6F"/>
    <w:rsid w:val="00AD6124"/>
    <w:rsid w:val="00AD68DD"/>
    <w:rsid w:val="00AD74ED"/>
    <w:rsid w:val="00AD7D13"/>
    <w:rsid w:val="00AD7ED2"/>
    <w:rsid w:val="00AE019E"/>
    <w:rsid w:val="00AE0747"/>
    <w:rsid w:val="00AE137C"/>
    <w:rsid w:val="00AE1390"/>
    <w:rsid w:val="00AE1D47"/>
    <w:rsid w:val="00AE20F3"/>
    <w:rsid w:val="00AE23AA"/>
    <w:rsid w:val="00AE266F"/>
    <w:rsid w:val="00AE2681"/>
    <w:rsid w:val="00AE2718"/>
    <w:rsid w:val="00AE2C8E"/>
    <w:rsid w:val="00AE3024"/>
    <w:rsid w:val="00AE334C"/>
    <w:rsid w:val="00AE354A"/>
    <w:rsid w:val="00AE3E61"/>
    <w:rsid w:val="00AE4C94"/>
    <w:rsid w:val="00AE4EB6"/>
    <w:rsid w:val="00AE51B0"/>
    <w:rsid w:val="00AE559E"/>
    <w:rsid w:val="00AE576C"/>
    <w:rsid w:val="00AE5ECD"/>
    <w:rsid w:val="00AE667F"/>
    <w:rsid w:val="00AE6B65"/>
    <w:rsid w:val="00AE6DB3"/>
    <w:rsid w:val="00AE6E52"/>
    <w:rsid w:val="00AE6EDB"/>
    <w:rsid w:val="00AE7286"/>
    <w:rsid w:val="00AE7889"/>
    <w:rsid w:val="00AE79B9"/>
    <w:rsid w:val="00AF0482"/>
    <w:rsid w:val="00AF0497"/>
    <w:rsid w:val="00AF1197"/>
    <w:rsid w:val="00AF1630"/>
    <w:rsid w:val="00AF1CCB"/>
    <w:rsid w:val="00AF22A8"/>
    <w:rsid w:val="00AF294E"/>
    <w:rsid w:val="00AF2E52"/>
    <w:rsid w:val="00AF350E"/>
    <w:rsid w:val="00AF352D"/>
    <w:rsid w:val="00AF3E51"/>
    <w:rsid w:val="00AF3FE3"/>
    <w:rsid w:val="00AF43D4"/>
    <w:rsid w:val="00AF455A"/>
    <w:rsid w:val="00AF45BD"/>
    <w:rsid w:val="00AF4695"/>
    <w:rsid w:val="00AF5B5F"/>
    <w:rsid w:val="00AF6214"/>
    <w:rsid w:val="00AF7338"/>
    <w:rsid w:val="00AF7D4D"/>
    <w:rsid w:val="00B00607"/>
    <w:rsid w:val="00B00A48"/>
    <w:rsid w:val="00B00B4C"/>
    <w:rsid w:val="00B011D0"/>
    <w:rsid w:val="00B01373"/>
    <w:rsid w:val="00B013E2"/>
    <w:rsid w:val="00B0167F"/>
    <w:rsid w:val="00B019EB"/>
    <w:rsid w:val="00B01C95"/>
    <w:rsid w:val="00B02073"/>
    <w:rsid w:val="00B02143"/>
    <w:rsid w:val="00B02619"/>
    <w:rsid w:val="00B033D3"/>
    <w:rsid w:val="00B0343D"/>
    <w:rsid w:val="00B03442"/>
    <w:rsid w:val="00B034E1"/>
    <w:rsid w:val="00B03949"/>
    <w:rsid w:val="00B040C8"/>
    <w:rsid w:val="00B04B44"/>
    <w:rsid w:val="00B04C70"/>
    <w:rsid w:val="00B04CA7"/>
    <w:rsid w:val="00B05675"/>
    <w:rsid w:val="00B05D93"/>
    <w:rsid w:val="00B063D2"/>
    <w:rsid w:val="00B067B5"/>
    <w:rsid w:val="00B068C7"/>
    <w:rsid w:val="00B06F1E"/>
    <w:rsid w:val="00B0786C"/>
    <w:rsid w:val="00B10103"/>
    <w:rsid w:val="00B1123C"/>
    <w:rsid w:val="00B11521"/>
    <w:rsid w:val="00B11547"/>
    <w:rsid w:val="00B12413"/>
    <w:rsid w:val="00B12B4F"/>
    <w:rsid w:val="00B13155"/>
    <w:rsid w:val="00B13285"/>
    <w:rsid w:val="00B13290"/>
    <w:rsid w:val="00B135B8"/>
    <w:rsid w:val="00B1365D"/>
    <w:rsid w:val="00B136F8"/>
    <w:rsid w:val="00B137FC"/>
    <w:rsid w:val="00B13B65"/>
    <w:rsid w:val="00B142CB"/>
    <w:rsid w:val="00B145F4"/>
    <w:rsid w:val="00B14F7F"/>
    <w:rsid w:val="00B15188"/>
    <w:rsid w:val="00B152D1"/>
    <w:rsid w:val="00B16096"/>
    <w:rsid w:val="00B16449"/>
    <w:rsid w:val="00B168C8"/>
    <w:rsid w:val="00B16C97"/>
    <w:rsid w:val="00B16E32"/>
    <w:rsid w:val="00B16F3C"/>
    <w:rsid w:val="00B16FB3"/>
    <w:rsid w:val="00B17582"/>
    <w:rsid w:val="00B17653"/>
    <w:rsid w:val="00B1780D"/>
    <w:rsid w:val="00B1782D"/>
    <w:rsid w:val="00B17BF3"/>
    <w:rsid w:val="00B17E31"/>
    <w:rsid w:val="00B20650"/>
    <w:rsid w:val="00B20660"/>
    <w:rsid w:val="00B20936"/>
    <w:rsid w:val="00B20985"/>
    <w:rsid w:val="00B209B3"/>
    <w:rsid w:val="00B20F88"/>
    <w:rsid w:val="00B2191A"/>
    <w:rsid w:val="00B21BDE"/>
    <w:rsid w:val="00B21D8E"/>
    <w:rsid w:val="00B2218E"/>
    <w:rsid w:val="00B22840"/>
    <w:rsid w:val="00B230E7"/>
    <w:rsid w:val="00B230EE"/>
    <w:rsid w:val="00B238C5"/>
    <w:rsid w:val="00B24062"/>
    <w:rsid w:val="00B240E6"/>
    <w:rsid w:val="00B243A5"/>
    <w:rsid w:val="00B243F9"/>
    <w:rsid w:val="00B2467C"/>
    <w:rsid w:val="00B246A7"/>
    <w:rsid w:val="00B254FC"/>
    <w:rsid w:val="00B2572B"/>
    <w:rsid w:val="00B25C91"/>
    <w:rsid w:val="00B25EE0"/>
    <w:rsid w:val="00B261FD"/>
    <w:rsid w:val="00B26663"/>
    <w:rsid w:val="00B266F5"/>
    <w:rsid w:val="00B26A71"/>
    <w:rsid w:val="00B300A8"/>
    <w:rsid w:val="00B30406"/>
    <w:rsid w:val="00B30D94"/>
    <w:rsid w:val="00B31458"/>
    <w:rsid w:val="00B31CF5"/>
    <w:rsid w:val="00B320D9"/>
    <w:rsid w:val="00B32160"/>
    <w:rsid w:val="00B32B72"/>
    <w:rsid w:val="00B32C6B"/>
    <w:rsid w:val="00B33F73"/>
    <w:rsid w:val="00B3415D"/>
    <w:rsid w:val="00B34340"/>
    <w:rsid w:val="00B34845"/>
    <w:rsid w:val="00B34D8E"/>
    <w:rsid w:val="00B352E4"/>
    <w:rsid w:val="00B356A7"/>
    <w:rsid w:val="00B35C84"/>
    <w:rsid w:val="00B360E8"/>
    <w:rsid w:val="00B36628"/>
    <w:rsid w:val="00B36E0E"/>
    <w:rsid w:val="00B3754E"/>
    <w:rsid w:val="00B379EE"/>
    <w:rsid w:val="00B37B38"/>
    <w:rsid w:val="00B37CDC"/>
    <w:rsid w:val="00B40388"/>
    <w:rsid w:val="00B40502"/>
    <w:rsid w:val="00B40A09"/>
    <w:rsid w:val="00B410D4"/>
    <w:rsid w:val="00B4145D"/>
    <w:rsid w:val="00B4158D"/>
    <w:rsid w:val="00B4166F"/>
    <w:rsid w:val="00B41F7C"/>
    <w:rsid w:val="00B420B5"/>
    <w:rsid w:val="00B4238F"/>
    <w:rsid w:val="00B42A7C"/>
    <w:rsid w:val="00B43B1B"/>
    <w:rsid w:val="00B43F27"/>
    <w:rsid w:val="00B440CB"/>
    <w:rsid w:val="00B442E2"/>
    <w:rsid w:val="00B443DF"/>
    <w:rsid w:val="00B44544"/>
    <w:rsid w:val="00B44DA4"/>
    <w:rsid w:val="00B45106"/>
    <w:rsid w:val="00B45790"/>
    <w:rsid w:val="00B45804"/>
    <w:rsid w:val="00B4646C"/>
    <w:rsid w:val="00B46731"/>
    <w:rsid w:val="00B4677B"/>
    <w:rsid w:val="00B46B49"/>
    <w:rsid w:val="00B46F2A"/>
    <w:rsid w:val="00B471D2"/>
    <w:rsid w:val="00B473FC"/>
    <w:rsid w:val="00B47921"/>
    <w:rsid w:val="00B47B16"/>
    <w:rsid w:val="00B50755"/>
    <w:rsid w:val="00B5094B"/>
    <w:rsid w:val="00B509E8"/>
    <w:rsid w:val="00B513F2"/>
    <w:rsid w:val="00B516FE"/>
    <w:rsid w:val="00B5185C"/>
    <w:rsid w:val="00B51E1D"/>
    <w:rsid w:val="00B522D9"/>
    <w:rsid w:val="00B5256F"/>
    <w:rsid w:val="00B52C4A"/>
    <w:rsid w:val="00B52D43"/>
    <w:rsid w:val="00B536F6"/>
    <w:rsid w:val="00B53956"/>
    <w:rsid w:val="00B53C63"/>
    <w:rsid w:val="00B53C93"/>
    <w:rsid w:val="00B542CC"/>
    <w:rsid w:val="00B5438D"/>
    <w:rsid w:val="00B54ADC"/>
    <w:rsid w:val="00B54D5D"/>
    <w:rsid w:val="00B55480"/>
    <w:rsid w:val="00B55BB7"/>
    <w:rsid w:val="00B55C03"/>
    <w:rsid w:val="00B55C46"/>
    <w:rsid w:val="00B56005"/>
    <w:rsid w:val="00B568D1"/>
    <w:rsid w:val="00B5717D"/>
    <w:rsid w:val="00B57451"/>
    <w:rsid w:val="00B57492"/>
    <w:rsid w:val="00B57B56"/>
    <w:rsid w:val="00B603A1"/>
    <w:rsid w:val="00B60704"/>
    <w:rsid w:val="00B60A16"/>
    <w:rsid w:val="00B60B3C"/>
    <w:rsid w:val="00B60DF1"/>
    <w:rsid w:val="00B61251"/>
    <w:rsid w:val="00B612CA"/>
    <w:rsid w:val="00B61488"/>
    <w:rsid w:val="00B6226F"/>
    <w:rsid w:val="00B624EA"/>
    <w:rsid w:val="00B62738"/>
    <w:rsid w:val="00B627AF"/>
    <w:rsid w:val="00B6282B"/>
    <w:rsid w:val="00B6298E"/>
    <w:rsid w:val="00B637C6"/>
    <w:rsid w:val="00B63967"/>
    <w:rsid w:val="00B63DB2"/>
    <w:rsid w:val="00B64403"/>
    <w:rsid w:val="00B645C4"/>
    <w:rsid w:val="00B64E8D"/>
    <w:rsid w:val="00B650E7"/>
    <w:rsid w:val="00B65C81"/>
    <w:rsid w:val="00B65F36"/>
    <w:rsid w:val="00B66393"/>
    <w:rsid w:val="00B6653F"/>
    <w:rsid w:val="00B6736A"/>
    <w:rsid w:val="00B6771E"/>
    <w:rsid w:val="00B67B52"/>
    <w:rsid w:val="00B700BE"/>
    <w:rsid w:val="00B701A1"/>
    <w:rsid w:val="00B705D7"/>
    <w:rsid w:val="00B70803"/>
    <w:rsid w:val="00B70BA3"/>
    <w:rsid w:val="00B7115C"/>
    <w:rsid w:val="00B713D6"/>
    <w:rsid w:val="00B7176C"/>
    <w:rsid w:val="00B71D02"/>
    <w:rsid w:val="00B72C84"/>
    <w:rsid w:val="00B73098"/>
    <w:rsid w:val="00B730FD"/>
    <w:rsid w:val="00B73341"/>
    <w:rsid w:val="00B73515"/>
    <w:rsid w:val="00B73659"/>
    <w:rsid w:val="00B736DE"/>
    <w:rsid w:val="00B7425D"/>
    <w:rsid w:val="00B745C4"/>
    <w:rsid w:val="00B74C69"/>
    <w:rsid w:val="00B74C7F"/>
    <w:rsid w:val="00B74CB9"/>
    <w:rsid w:val="00B74DB0"/>
    <w:rsid w:val="00B74F00"/>
    <w:rsid w:val="00B7503C"/>
    <w:rsid w:val="00B7583A"/>
    <w:rsid w:val="00B7596F"/>
    <w:rsid w:val="00B7650F"/>
    <w:rsid w:val="00B767E9"/>
    <w:rsid w:val="00B76C0A"/>
    <w:rsid w:val="00B773CE"/>
    <w:rsid w:val="00B7798A"/>
    <w:rsid w:val="00B77A7D"/>
    <w:rsid w:val="00B801FD"/>
    <w:rsid w:val="00B8026D"/>
    <w:rsid w:val="00B8064F"/>
    <w:rsid w:val="00B80C38"/>
    <w:rsid w:val="00B80DBB"/>
    <w:rsid w:val="00B814CB"/>
    <w:rsid w:val="00B817D3"/>
    <w:rsid w:val="00B81B38"/>
    <w:rsid w:val="00B8213C"/>
    <w:rsid w:val="00B8355B"/>
    <w:rsid w:val="00B83989"/>
    <w:rsid w:val="00B842F3"/>
    <w:rsid w:val="00B84328"/>
    <w:rsid w:val="00B84C07"/>
    <w:rsid w:val="00B84C85"/>
    <w:rsid w:val="00B85048"/>
    <w:rsid w:val="00B854D2"/>
    <w:rsid w:val="00B859BE"/>
    <w:rsid w:val="00B863A9"/>
    <w:rsid w:val="00B877B5"/>
    <w:rsid w:val="00B87B67"/>
    <w:rsid w:val="00B87F27"/>
    <w:rsid w:val="00B902E3"/>
    <w:rsid w:val="00B90629"/>
    <w:rsid w:val="00B9089A"/>
    <w:rsid w:val="00B90939"/>
    <w:rsid w:val="00B90B81"/>
    <w:rsid w:val="00B9164A"/>
    <w:rsid w:val="00B91B19"/>
    <w:rsid w:val="00B91DE4"/>
    <w:rsid w:val="00B92114"/>
    <w:rsid w:val="00B925AC"/>
    <w:rsid w:val="00B92D22"/>
    <w:rsid w:val="00B937B3"/>
    <w:rsid w:val="00B9393E"/>
    <w:rsid w:val="00B93B02"/>
    <w:rsid w:val="00B93CB4"/>
    <w:rsid w:val="00B94552"/>
    <w:rsid w:val="00B95211"/>
    <w:rsid w:val="00B9538F"/>
    <w:rsid w:val="00B954A9"/>
    <w:rsid w:val="00B959A2"/>
    <w:rsid w:val="00B95A55"/>
    <w:rsid w:val="00B95DA4"/>
    <w:rsid w:val="00B964C9"/>
    <w:rsid w:val="00B9651B"/>
    <w:rsid w:val="00B9694C"/>
    <w:rsid w:val="00B96BD1"/>
    <w:rsid w:val="00B9797C"/>
    <w:rsid w:val="00B97A2F"/>
    <w:rsid w:val="00B97ABD"/>
    <w:rsid w:val="00BA00B3"/>
    <w:rsid w:val="00BA0458"/>
    <w:rsid w:val="00BA0590"/>
    <w:rsid w:val="00BA0682"/>
    <w:rsid w:val="00BA0A8E"/>
    <w:rsid w:val="00BA0D14"/>
    <w:rsid w:val="00BA0F52"/>
    <w:rsid w:val="00BA0FEE"/>
    <w:rsid w:val="00BA15E7"/>
    <w:rsid w:val="00BA172D"/>
    <w:rsid w:val="00BA1782"/>
    <w:rsid w:val="00BA17B5"/>
    <w:rsid w:val="00BA1ADC"/>
    <w:rsid w:val="00BA2EEF"/>
    <w:rsid w:val="00BA3209"/>
    <w:rsid w:val="00BA41F2"/>
    <w:rsid w:val="00BA46F1"/>
    <w:rsid w:val="00BA4833"/>
    <w:rsid w:val="00BA5070"/>
    <w:rsid w:val="00BA52C8"/>
    <w:rsid w:val="00BA646B"/>
    <w:rsid w:val="00BA692B"/>
    <w:rsid w:val="00BA6E42"/>
    <w:rsid w:val="00BA7313"/>
    <w:rsid w:val="00BA74A7"/>
    <w:rsid w:val="00BA7974"/>
    <w:rsid w:val="00BA797C"/>
    <w:rsid w:val="00BB0338"/>
    <w:rsid w:val="00BB043D"/>
    <w:rsid w:val="00BB0C41"/>
    <w:rsid w:val="00BB1027"/>
    <w:rsid w:val="00BB103F"/>
    <w:rsid w:val="00BB125B"/>
    <w:rsid w:val="00BB142D"/>
    <w:rsid w:val="00BB1656"/>
    <w:rsid w:val="00BB1681"/>
    <w:rsid w:val="00BB2E99"/>
    <w:rsid w:val="00BB30BE"/>
    <w:rsid w:val="00BB32FD"/>
    <w:rsid w:val="00BB450B"/>
    <w:rsid w:val="00BB48C1"/>
    <w:rsid w:val="00BB4D3D"/>
    <w:rsid w:val="00BB4EAB"/>
    <w:rsid w:val="00BB5305"/>
    <w:rsid w:val="00BB6089"/>
    <w:rsid w:val="00BB6117"/>
    <w:rsid w:val="00BB6819"/>
    <w:rsid w:val="00BB6A32"/>
    <w:rsid w:val="00BB7282"/>
    <w:rsid w:val="00BB7679"/>
    <w:rsid w:val="00BB7A7E"/>
    <w:rsid w:val="00BC0065"/>
    <w:rsid w:val="00BC031B"/>
    <w:rsid w:val="00BC0326"/>
    <w:rsid w:val="00BC05A9"/>
    <w:rsid w:val="00BC0B55"/>
    <w:rsid w:val="00BC0E93"/>
    <w:rsid w:val="00BC123B"/>
    <w:rsid w:val="00BC15E5"/>
    <w:rsid w:val="00BC189B"/>
    <w:rsid w:val="00BC191D"/>
    <w:rsid w:val="00BC1B70"/>
    <w:rsid w:val="00BC1BE1"/>
    <w:rsid w:val="00BC218A"/>
    <w:rsid w:val="00BC21AF"/>
    <w:rsid w:val="00BC293B"/>
    <w:rsid w:val="00BC2A59"/>
    <w:rsid w:val="00BC2ED3"/>
    <w:rsid w:val="00BC3CC8"/>
    <w:rsid w:val="00BC41D0"/>
    <w:rsid w:val="00BC4DED"/>
    <w:rsid w:val="00BC4FC3"/>
    <w:rsid w:val="00BC4FE4"/>
    <w:rsid w:val="00BC51C2"/>
    <w:rsid w:val="00BC5288"/>
    <w:rsid w:val="00BC5840"/>
    <w:rsid w:val="00BC5938"/>
    <w:rsid w:val="00BC5CE0"/>
    <w:rsid w:val="00BC5D44"/>
    <w:rsid w:val="00BC6415"/>
    <w:rsid w:val="00BC6468"/>
    <w:rsid w:val="00BC64E8"/>
    <w:rsid w:val="00BC696C"/>
    <w:rsid w:val="00BC69A3"/>
    <w:rsid w:val="00BC69D7"/>
    <w:rsid w:val="00BC6C53"/>
    <w:rsid w:val="00BC74A9"/>
    <w:rsid w:val="00BC762B"/>
    <w:rsid w:val="00BD09AF"/>
    <w:rsid w:val="00BD0A79"/>
    <w:rsid w:val="00BD0F5C"/>
    <w:rsid w:val="00BD12C1"/>
    <w:rsid w:val="00BD1686"/>
    <w:rsid w:val="00BD27BB"/>
    <w:rsid w:val="00BD2AF8"/>
    <w:rsid w:val="00BD31CB"/>
    <w:rsid w:val="00BD3401"/>
    <w:rsid w:val="00BD3D21"/>
    <w:rsid w:val="00BD3E36"/>
    <w:rsid w:val="00BD3F55"/>
    <w:rsid w:val="00BD4049"/>
    <w:rsid w:val="00BD40E2"/>
    <w:rsid w:val="00BD40E8"/>
    <w:rsid w:val="00BD4BB3"/>
    <w:rsid w:val="00BD5334"/>
    <w:rsid w:val="00BD5EC2"/>
    <w:rsid w:val="00BD65E4"/>
    <w:rsid w:val="00BD6956"/>
    <w:rsid w:val="00BD6A70"/>
    <w:rsid w:val="00BD6F9D"/>
    <w:rsid w:val="00BD70F9"/>
    <w:rsid w:val="00BD7B82"/>
    <w:rsid w:val="00BD7FB6"/>
    <w:rsid w:val="00BD7FD7"/>
    <w:rsid w:val="00BE03E1"/>
    <w:rsid w:val="00BE07AC"/>
    <w:rsid w:val="00BE07C7"/>
    <w:rsid w:val="00BE0D13"/>
    <w:rsid w:val="00BE1066"/>
    <w:rsid w:val="00BE171D"/>
    <w:rsid w:val="00BE1F49"/>
    <w:rsid w:val="00BE2191"/>
    <w:rsid w:val="00BE22B4"/>
    <w:rsid w:val="00BE243E"/>
    <w:rsid w:val="00BE3483"/>
    <w:rsid w:val="00BE41CD"/>
    <w:rsid w:val="00BE4297"/>
    <w:rsid w:val="00BE4BF3"/>
    <w:rsid w:val="00BE4ED0"/>
    <w:rsid w:val="00BE4FA9"/>
    <w:rsid w:val="00BE5741"/>
    <w:rsid w:val="00BE5D09"/>
    <w:rsid w:val="00BE66A8"/>
    <w:rsid w:val="00BE6936"/>
    <w:rsid w:val="00BE72F9"/>
    <w:rsid w:val="00BE736A"/>
    <w:rsid w:val="00BF0F06"/>
    <w:rsid w:val="00BF0F86"/>
    <w:rsid w:val="00BF12F5"/>
    <w:rsid w:val="00BF14C8"/>
    <w:rsid w:val="00BF1908"/>
    <w:rsid w:val="00BF2908"/>
    <w:rsid w:val="00BF2938"/>
    <w:rsid w:val="00BF2A69"/>
    <w:rsid w:val="00BF2D2D"/>
    <w:rsid w:val="00BF3A8C"/>
    <w:rsid w:val="00BF4775"/>
    <w:rsid w:val="00BF49C6"/>
    <w:rsid w:val="00BF54DE"/>
    <w:rsid w:val="00BF5902"/>
    <w:rsid w:val="00BF61A0"/>
    <w:rsid w:val="00BF6A1B"/>
    <w:rsid w:val="00BF6B6F"/>
    <w:rsid w:val="00BF6CB9"/>
    <w:rsid w:val="00BF70C5"/>
    <w:rsid w:val="00BF72D8"/>
    <w:rsid w:val="00BF73AB"/>
    <w:rsid w:val="00BF7597"/>
    <w:rsid w:val="00BF7A02"/>
    <w:rsid w:val="00BF7C00"/>
    <w:rsid w:val="00BF7F64"/>
    <w:rsid w:val="00C006C5"/>
    <w:rsid w:val="00C007E0"/>
    <w:rsid w:val="00C0101F"/>
    <w:rsid w:val="00C01755"/>
    <w:rsid w:val="00C01D0C"/>
    <w:rsid w:val="00C02275"/>
    <w:rsid w:val="00C02433"/>
    <w:rsid w:val="00C02C34"/>
    <w:rsid w:val="00C02CEB"/>
    <w:rsid w:val="00C030CC"/>
    <w:rsid w:val="00C0342F"/>
    <w:rsid w:val="00C035A5"/>
    <w:rsid w:val="00C035D2"/>
    <w:rsid w:val="00C0387E"/>
    <w:rsid w:val="00C03C58"/>
    <w:rsid w:val="00C043A7"/>
    <w:rsid w:val="00C057D5"/>
    <w:rsid w:val="00C05988"/>
    <w:rsid w:val="00C05FE0"/>
    <w:rsid w:val="00C06218"/>
    <w:rsid w:val="00C0654B"/>
    <w:rsid w:val="00C065CB"/>
    <w:rsid w:val="00C067A9"/>
    <w:rsid w:val="00C06BF2"/>
    <w:rsid w:val="00C07447"/>
    <w:rsid w:val="00C07522"/>
    <w:rsid w:val="00C0761B"/>
    <w:rsid w:val="00C1043B"/>
    <w:rsid w:val="00C106BE"/>
    <w:rsid w:val="00C10CCC"/>
    <w:rsid w:val="00C113E4"/>
    <w:rsid w:val="00C11CCF"/>
    <w:rsid w:val="00C1264D"/>
    <w:rsid w:val="00C12A42"/>
    <w:rsid w:val="00C12B80"/>
    <w:rsid w:val="00C13446"/>
    <w:rsid w:val="00C1368D"/>
    <w:rsid w:val="00C148F0"/>
    <w:rsid w:val="00C149C4"/>
    <w:rsid w:val="00C149CE"/>
    <w:rsid w:val="00C14C54"/>
    <w:rsid w:val="00C1503E"/>
    <w:rsid w:val="00C1575A"/>
    <w:rsid w:val="00C15BC6"/>
    <w:rsid w:val="00C15E0E"/>
    <w:rsid w:val="00C1608A"/>
    <w:rsid w:val="00C16509"/>
    <w:rsid w:val="00C16970"/>
    <w:rsid w:val="00C172D0"/>
    <w:rsid w:val="00C17B16"/>
    <w:rsid w:val="00C17F90"/>
    <w:rsid w:val="00C2007C"/>
    <w:rsid w:val="00C20D5B"/>
    <w:rsid w:val="00C20D7F"/>
    <w:rsid w:val="00C20E5C"/>
    <w:rsid w:val="00C222E1"/>
    <w:rsid w:val="00C22747"/>
    <w:rsid w:val="00C22C44"/>
    <w:rsid w:val="00C236AE"/>
    <w:rsid w:val="00C23D51"/>
    <w:rsid w:val="00C23E96"/>
    <w:rsid w:val="00C24319"/>
    <w:rsid w:val="00C243D2"/>
    <w:rsid w:val="00C247D8"/>
    <w:rsid w:val="00C24D94"/>
    <w:rsid w:val="00C259A4"/>
    <w:rsid w:val="00C2615B"/>
    <w:rsid w:val="00C26536"/>
    <w:rsid w:val="00C265A6"/>
    <w:rsid w:val="00C266E3"/>
    <w:rsid w:val="00C2707D"/>
    <w:rsid w:val="00C2781C"/>
    <w:rsid w:val="00C27EF0"/>
    <w:rsid w:val="00C30416"/>
    <w:rsid w:val="00C31073"/>
    <w:rsid w:val="00C319CD"/>
    <w:rsid w:val="00C32008"/>
    <w:rsid w:val="00C3232C"/>
    <w:rsid w:val="00C3264F"/>
    <w:rsid w:val="00C3345E"/>
    <w:rsid w:val="00C33B9E"/>
    <w:rsid w:val="00C33E14"/>
    <w:rsid w:val="00C342A2"/>
    <w:rsid w:val="00C342DA"/>
    <w:rsid w:val="00C354DF"/>
    <w:rsid w:val="00C35961"/>
    <w:rsid w:val="00C35BC6"/>
    <w:rsid w:val="00C36516"/>
    <w:rsid w:val="00C36992"/>
    <w:rsid w:val="00C36B39"/>
    <w:rsid w:val="00C37447"/>
    <w:rsid w:val="00C37CC5"/>
    <w:rsid w:val="00C4071A"/>
    <w:rsid w:val="00C4151A"/>
    <w:rsid w:val="00C41A56"/>
    <w:rsid w:val="00C42134"/>
    <w:rsid w:val="00C423F3"/>
    <w:rsid w:val="00C42D3B"/>
    <w:rsid w:val="00C42D77"/>
    <w:rsid w:val="00C42F08"/>
    <w:rsid w:val="00C43BBE"/>
    <w:rsid w:val="00C43C42"/>
    <w:rsid w:val="00C44455"/>
    <w:rsid w:val="00C44D25"/>
    <w:rsid w:val="00C45314"/>
    <w:rsid w:val="00C45626"/>
    <w:rsid w:val="00C4562F"/>
    <w:rsid w:val="00C45B06"/>
    <w:rsid w:val="00C45C59"/>
    <w:rsid w:val="00C46483"/>
    <w:rsid w:val="00C46968"/>
    <w:rsid w:val="00C46DA4"/>
    <w:rsid w:val="00C470C0"/>
    <w:rsid w:val="00C47C8A"/>
    <w:rsid w:val="00C5086F"/>
    <w:rsid w:val="00C50E5A"/>
    <w:rsid w:val="00C523EE"/>
    <w:rsid w:val="00C527E1"/>
    <w:rsid w:val="00C52C11"/>
    <w:rsid w:val="00C5345B"/>
    <w:rsid w:val="00C534CE"/>
    <w:rsid w:val="00C5471E"/>
    <w:rsid w:val="00C54B11"/>
    <w:rsid w:val="00C554A3"/>
    <w:rsid w:val="00C55EF1"/>
    <w:rsid w:val="00C5612E"/>
    <w:rsid w:val="00C561EA"/>
    <w:rsid w:val="00C566B7"/>
    <w:rsid w:val="00C56D1F"/>
    <w:rsid w:val="00C575B7"/>
    <w:rsid w:val="00C57934"/>
    <w:rsid w:val="00C57A19"/>
    <w:rsid w:val="00C57D6D"/>
    <w:rsid w:val="00C57E05"/>
    <w:rsid w:val="00C57F4F"/>
    <w:rsid w:val="00C57FA5"/>
    <w:rsid w:val="00C600A0"/>
    <w:rsid w:val="00C610B9"/>
    <w:rsid w:val="00C62502"/>
    <w:rsid w:val="00C6270F"/>
    <w:rsid w:val="00C62F91"/>
    <w:rsid w:val="00C63102"/>
    <w:rsid w:val="00C6329C"/>
    <w:rsid w:val="00C636FB"/>
    <w:rsid w:val="00C63AB0"/>
    <w:rsid w:val="00C63BF5"/>
    <w:rsid w:val="00C64407"/>
    <w:rsid w:val="00C64880"/>
    <w:rsid w:val="00C648EB"/>
    <w:rsid w:val="00C64FF9"/>
    <w:rsid w:val="00C653C1"/>
    <w:rsid w:val="00C666A5"/>
    <w:rsid w:val="00C66BC2"/>
    <w:rsid w:val="00C67021"/>
    <w:rsid w:val="00C67262"/>
    <w:rsid w:val="00C6727D"/>
    <w:rsid w:val="00C67341"/>
    <w:rsid w:val="00C67D48"/>
    <w:rsid w:val="00C67F53"/>
    <w:rsid w:val="00C70B27"/>
    <w:rsid w:val="00C7159F"/>
    <w:rsid w:val="00C716F9"/>
    <w:rsid w:val="00C719F6"/>
    <w:rsid w:val="00C71B1A"/>
    <w:rsid w:val="00C72031"/>
    <w:rsid w:val="00C722F0"/>
    <w:rsid w:val="00C727E3"/>
    <w:rsid w:val="00C72C47"/>
    <w:rsid w:val="00C737DA"/>
    <w:rsid w:val="00C73A67"/>
    <w:rsid w:val="00C73C62"/>
    <w:rsid w:val="00C73E8E"/>
    <w:rsid w:val="00C7482B"/>
    <w:rsid w:val="00C748BA"/>
    <w:rsid w:val="00C7560B"/>
    <w:rsid w:val="00C75A15"/>
    <w:rsid w:val="00C75FE4"/>
    <w:rsid w:val="00C76560"/>
    <w:rsid w:val="00C7658B"/>
    <w:rsid w:val="00C76B70"/>
    <w:rsid w:val="00C7725A"/>
    <w:rsid w:val="00C7727B"/>
    <w:rsid w:val="00C77352"/>
    <w:rsid w:val="00C775DD"/>
    <w:rsid w:val="00C77F4B"/>
    <w:rsid w:val="00C80384"/>
    <w:rsid w:val="00C805F8"/>
    <w:rsid w:val="00C8066F"/>
    <w:rsid w:val="00C80846"/>
    <w:rsid w:val="00C80B46"/>
    <w:rsid w:val="00C80BCF"/>
    <w:rsid w:val="00C81618"/>
    <w:rsid w:val="00C8178C"/>
    <w:rsid w:val="00C81C17"/>
    <w:rsid w:val="00C82007"/>
    <w:rsid w:val="00C826C2"/>
    <w:rsid w:val="00C82B17"/>
    <w:rsid w:val="00C830A5"/>
    <w:rsid w:val="00C83A0D"/>
    <w:rsid w:val="00C83DF5"/>
    <w:rsid w:val="00C83F60"/>
    <w:rsid w:val="00C83FD3"/>
    <w:rsid w:val="00C84340"/>
    <w:rsid w:val="00C85710"/>
    <w:rsid w:val="00C86694"/>
    <w:rsid w:val="00C866F7"/>
    <w:rsid w:val="00C86971"/>
    <w:rsid w:val="00C86B19"/>
    <w:rsid w:val="00C86FAF"/>
    <w:rsid w:val="00C874FA"/>
    <w:rsid w:val="00C87B1F"/>
    <w:rsid w:val="00C90089"/>
    <w:rsid w:val="00C90A77"/>
    <w:rsid w:val="00C90C6E"/>
    <w:rsid w:val="00C90EC5"/>
    <w:rsid w:val="00C913AC"/>
    <w:rsid w:val="00C91569"/>
    <w:rsid w:val="00C928EF"/>
    <w:rsid w:val="00C929BA"/>
    <w:rsid w:val="00C929C5"/>
    <w:rsid w:val="00C934D2"/>
    <w:rsid w:val="00C93952"/>
    <w:rsid w:val="00C93CF5"/>
    <w:rsid w:val="00C94572"/>
    <w:rsid w:val="00C94FA9"/>
    <w:rsid w:val="00C95014"/>
    <w:rsid w:val="00C9529D"/>
    <w:rsid w:val="00C95A71"/>
    <w:rsid w:val="00C95D11"/>
    <w:rsid w:val="00C95E50"/>
    <w:rsid w:val="00C9606C"/>
    <w:rsid w:val="00C96360"/>
    <w:rsid w:val="00C96BD0"/>
    <w:rsid w:val="00C97428"/>
    <w:rsid w:val="00C97792"/>
    <w:rsid w:val="00CA0421"/>
    <w:rsid w:val="00CA060B"/>
    <w:rsid w:val="00CA0611"/>
    <w:rsid w:val="00CA1607"/>
    <w:rsid w:val="00CA2557"/>
    <w:rsid w:val="00CA31DD"/>
    <w:rsid w:val="00CA3498"/>
    <w:rsid w:val="00CA36D2"/>
    <w:rsid w:val="00CA44B3"/>
    <w:rsid w:val="00CA4C52"/>
    <w:rsid w:val="00CA52A5"/>
    <w:rsid w:val="00CA53D1"/>
    <w:rsid w:val="00CA5BF6"/>
    <w:rsid w:val="00CA5C63"/>
    <w:rsid w:val="00CA5C75"/>
    <w:rsid w:val="00CA634B"/>
    <w:rsid w:val="00CA7FB7"/>
    <w:rsid w:val="00CB07D2"/>
    <w:rsid w:val="00CB096A"/>
    <w:rsid w:val="00CB0B36"/>
    <w:rsid w:val="00CB10FF"/>
    <w:rsid w:val="00CB1123"/>
    <w:rsid w:val="00CB122E"/>
    <w:rsid w:val="00CB13C1"/>
    <w:rsid w:val="00CB183F"/>
    <w:rsid w:val="00CB1980"/>
    <w:rsid w:val="00CB1A12"/>
    <w:rsid w:val="00CB1D50"/>
    <w:rsid w:val="00CB220B"/>
    <w:rsid w:val="00CB3353"/>
    <w:rsid w:val="00CB3843"/>
    <w:rsid w:val="00CB3A1F"/>
    <w:rsid w:val="00CB3BD7"/>
    <w:rsid w:val="00CB3E04"/>
    <w:rsid w:val="00CB40A4"/>
    <w:rsid w:val="00CB4A74"/>
    <w:rsid w:val="00CB4BEA"/>
    <w:rsid w:val="00CB53D2"/>
    <w:rsid w:val="00CB53E0"/>
    <w:rsid w:val="00CB5439"/>
    <w:rsid w:val="00CB54A8"/>
    <w:rsid w:val="00CB5BE9"/>
    <w:rsid w:val="00CB6253"/>
    <w:rsid w:val="00CB644C"/>
    <w:rsid w:val="00CB67DC"/>
    <w:rsid w:val="00CB684A"/>
    <w:rsid w:val="00CB6DA3"/>
    <w:rsid w:val="00CB733E"/>
    <w:rsid w:val="00CB73DD"/>
    <w:rsid w:val="00CB7F5F"/>
    <w:rsid w:val="00CC031D"/>
    <w:rsid w:val="00CC0686"/>
    <w:rsid w:val="00CC0B6E"/>
    <w:rsid w:val="00CC129A"/>
    <w:rsid w:val="00CC202A"/>
    <w:rsid w:val="00CC2A1D"/>
    <w:rsid w:val="00CC2C2A"/>
    <w:rsid w:val="00CC3123"/>
    <w:rsid w:val="00CC351F"/>
    <w:rsid w:val="00CC35A5"/>
    <w:rsid w:val="00CC3C02"/>
    <w:rsid w:val="00CC3D65"/>
    <w:rsid w:val="00CC42B5"/>
    <w:rsid w:val="00CC440E"/>
    <w:rsid w:val="00CC4522"/>
    <w:rsid w:val="00CC4C42"/>
    <w:rsid w:val="00CC52C0"/>
    <w:rsid w:val="00CC5A23"/>
    <w:rsid w:val="00CC5A63"/>
    <w:rsid w:val="00CC5C25"/>
    <w:rsid w:val="00CC5DEC"/>
    <w:rsid w:val="00CC5EDA"/>
    <w:rsid w:val="00CC6729"/>
    <w:rsid w:val="00CC74C3"/>
    <w:rsid w:val="00CC7A08"/>
    <w:rsid w:val="00CC7EE5"/>
    <w:rsid w:val="00CD06CB"/>
    <w:rsid w:val="00CD175B"/>
    <w:rsid w:val="00CD1B05"/>
    <w:rsid w:val="00CD1D20"/>
    <w:rsid w:val="00CD1D41"/>
    <w:rsid w:val="00CD20F7"/>
    <w:rsid w:val="00CD25DC"/>
    <w:rsid w:val="00CD3226"/>
    <w:rsid w:val="00CD3ADE"/>
    <w:rsid w:val="00CD4098"/>
    <w:rsid w:val="00CD4108"/>
    <w:rsid w:val="00CD42F0"/>
    <w:rsid w:val="00CD4699"/>
    <w:rsid w:val="00CD4805"/>
    <w:rsid w:val="00CD4ACD"/>
    <w:rsid w:val="00CD4C27"/>
    <w:rsid w:val="00CD5C09"/>
    <w:rsid w:val="00CD611D"/>
    <w:rsid w:val="00CD756C"/>
    <w:rsid w:val="00CE0076"/>
    <w:rsid w:val="00CE0093"/>
    <w:rsid w:val="00CE0641"/>
    <w:rsid w:val="00CE06D6"/>
    <w:rsid w:val="00CE110A"/>
    <w:rsid w:val="00CE116C"/>
    <w:rsid w:val="00CE1178"/>
    <w:rsid w:val="00CE19AE"/>
    <w:rsid w:val="00CE1C00"/>
    <w:rsid w:val="00CE2114"/>
    <w:rsid w:val="00CE2368"/>
    <w:rsid w:val="00CE282E"/>
    <w:rsid w:val="00CE3AB2"/>
    <w:rsid w:val="00CE3ADA"/>
    <w:rsid w:val="00CE3AEA"/>
    <w:rsid w:val="00CE3C81"/>
    <w:rsid w:val="00CE3D1D"/>
    <w:rsid w:val="00CE4AE8"/>
    <w:rsid w:val="00CE4CEA"/>
    <w:rsid w:val="00CE4E35"/>
    <w:rsid w:val="00CE513F"/>
    <w:rsid w:val="00CE57C2"/>
    <w:rsid w:val="00CE5A0A"/>
    <w:rsid w:val="00CE6180"/>
    <w:rsid w:val="00CE6F00"/>
    <w:rsid w:val="00CE7832"/>
    <w:rsid w:val="00CE7893"/>
    <w:rsid w:val="00CF0132"/>
    <w:rsid w:val="00CF0D9B"/>
    <w:rsid w:val="00CF1672"/>
    <w:rsid w:val="00CF183F"/>
    <w:rsid w:val="00CF227C"/>
    <w:rsid w:val="00CF27F1"/>
    <w:rsid w:val="00CF2807"/>
    <w:rsid w:val="00CF2925"/>
    <w:rsid w:val="00CF2989"/>
    <w:rsid w:val="00CF2CAD"/>
    <w:rsid w:val="00CF2FF7"/>
    <w:rsid w:val="00CF30FD"/>
    <w:rsid w:val="00CF316F"/>
    <w:rsid w:val="00CF36D3"/>
    <w:rsid w:val="00CF36E4"/>
    <w:rsid w:val="00CF3D4F"/>
    <w:rsid w:val="00CF415D"/>
    <w:rsid w:val="00CF41A1"/>
    <w:rsid w:val="00CF4214"/>
    <w:rsid w:val="00CF4866"/>
    <w:rsid w:val="00CF52B1"/>
    <w:rsid w:val="00CF55AF"/>
    <w:rsid w:val="00CF5925"/>
    <w:rsid w:val="00CF5C85"/>
    <w:rsid w:val="00CF5D9D"/>
    <w:rsid w:val="00CF6838"/>
    <w:rsid w:val="00CF71F0"/>
    <w:rsid w:val="00D01B9F"/>
    <w:rsid w:val="00D01D5D"/>
    <w:rsid w:val="00D01DEF"/>
    <w:rsid w:val="00D01EB8"/>
    <w:rsid w:val="00D028FE"/>
    <w:rsid w:val="00D03501"/>
    <w:rsid w:val="00D04192"/>
    <w:rsid w:val="00D04C6C"/>
    <w:rsid w:val="00D04DB1"/>
    <w:rsid w:val="00D051F6"/>
    <w:rsid w:val="00D05442"/>
    <w:rsid w:val="00D055E1"/>
    <w:rsid w:val="00D056E6"/>
    <w:rsid w:val="00D05A86"/>
    <w:rsid w:val="00D05CB3"/>
    <w:rsid w:val="00D05D15"/>
    <w:rsid w:val="00D05E0D"/>
    <w:rsid w:val="00D06319"/>
    <w:rsid w:val="00D07517"/>
    <w:rsid w:val="00D10191"/>
    <w:rsid w:val="00D1041A"/>
    <w:rsid w:val="00D1050E"/>
    <w:rsid w:val="00D1105D"/>
    <w:rsid w:val="00D111EF"/>
    <w:rsid w:val="00D1213E"/>
    <w:rsid w:val="00D122BE"/>
    <w:rsid w:val="00D125C7"/>
    <w:rsid w:val="00D12FF1"/>
    <w:rsid w:val="00D134C5"/>
    <w:rsid w:val="00D13A3B"/>
    <w:rsid w:val="00D141A7"/>
    <w:rsid w:val="00D14274"/>
    <w:rsid w:val="00D14918"/>
    <w:rsid w:val="00D154B4"/>
    <w:rsid w:val="00D1557F"/>
    <w:rsid w:val="00D15683"/>
    <w:rsid w:val="00D15E18"/>
    <w:rsid w:val="00D1624C"/>
    <w:rsid w:val="00D1648A"/>
    <w:rsid w:val="00D16610"/>
    <w:rsid w:val="00D16627"/>
    <w:rsid w:val="00D16AD2"/>
    <w:rsid w:val="00D16BA0"/>
    <w:rsid w:val="00D16D80"/>
    <w:rsid w:val="00D170A9"/>
    <w:rsid w:val="00D17430"/>
    <w:rsid w:val="00D176F3"/>
    <w:rsid w:val="00D1791A"/>
    <w:rsid w:val="00D20CE3"/>
    <w:rsid w:val="00D20E97"/>
    <w:rsid w:val="00D20F6F"/>
    <w:rsid w:val="00D2119B"/>
    <w:rsid w:val="00D221EF"/>
    <w:rsid w:val="00D22202"/>
    <w:rsid w:val="00D22C01"/>
    <w:rsid w:val="00D2300C"/>
    <w:rsid w:val="00D230DD"/>
    <w:rsid w:val="00D2316A"/>
    <w:rsid w:val="00D24158"/>
    <w:rsid w:val="00D242E6"/>
    <w:rsid w:val="00D24742"/>
    <w:rsid w:val="00D24B69"/>
    <w:rsid w:val="00D25979"/>
    <w:rsid w:val="00D25F82"/>
    <w:rsid w:val="00D264B3"/>
    <w:rsid w:val="00D27386"/>
    <w:rsid w:val="00D3019F"/>
    <w:rsid w:val="00D30310"/>
    <w:rsid w:val="00D3066C"/>
    <w:rsid w:val="00D31193"/>
    <w:rsid w:val="00D3137A"/>
    <w:rsid w:val="00D32953"/>
    <w:rsid w:val="00D32EBE"/>
    <w:rsid w:val="00D3341A"/>
    <w:rsid w:val="00D33B3D"/>
    <w:rsid w:val="00D33E99"/>
    <w:rsid w:val="00D34108"/>
    <w:rsid w:val="00D343DF"/>
    <w:rsid w:val="00D346B3"/>
    <w:rsid w:val="00D346D1"/>
    <w:rsid w:val="00D346F8"/>
    <w:rsid w:val="00D347B4"/>
    <w:rsid w:val="00D34AAE"/>
    <w:rsid w:val="00D34F39"/>
    <w:rsid w:val="00D360C2"/>
    <w:rsid w:val="00D365D9"/>
    <w:rsid w:val="00D3681C"/>
    <w:rsid w:val="00D372BC"/>
    <w:rsid w:val="00D37914"/>
    <w:rsid w:val="00D37AEC"/>
    <w:rsid w:val="00D37D67"/>
    <w:rsid w:val="00D40234"/>
    <w:rsid w:val="00D402FD"/>
    <w:rsid w:val="00D404B5"/>
    <w:rsid w:val="00D40BAE"/>
    <w:rsid w:val="00D40D7C"/>
    <w:rsid w:val="00D40EC0"/>
    <w:rsid w:val="00D40FF9"/>
    <w:rsid w:val="00D41A6D"/>
    <w:rsid w:val="00D41D8D"/>
    <w:rsid w:val="00D4247D"/>
    <w:rsid w:val="00D4297E"/>
    <w:rsid w:val="00D42AE3"/>
    <w:rsid w:val="00D43102"/>
    <w:rsid w:val="00D437A7"/>
    <w:rsid w:val="00D43AD4"/>
    <w:rsid w:val="00D43DD0"/>
    <w:rsid w:val="00D43DE8"/>
    <w:rsid w:val="00D44983"/>
    <w:rsid w:val="00D456EF"/>
    <w:rsid w:val="00D45CE3"/>
    <w:rsid w:val="00D45D53"/>
    <w:rsid w:val="00D467F9"/>
    <w:rsid w:val="00D46829"/>
    <w:rsid w:val="00D46ED7"/>
    <w:rsid w:val="00D476D5"/>
    <w:rsid w:val="00D477BA"/>
    <w:rsid w:val="00D47A71"/>
    <w:rsid w:val="00D47DE3"/>
    <w:rsid w:val="00D501EE"/>
    <w:rsid w:val="00D501FA"/>
    <w:rsid w:val="00D50398"/>
    <w:rsid w:val="00D5041D"/>
    <w:rsid w:val="00D50495"/>
    <w:rsid w:val="00D50D82"/>
    <w:rsid w:val="00D51B24"/>
    <w:rsid w:val="00D51BBC"/>
    <w:rsid w:val="00D51D53"/>
    <w:rsid w:val="00D5202F"/>
    <w:rsid w:val="00D530ED"/>
    <w:rsid w:val="00D533D8"/>
    <w:rsid w:val="00D53688"/>
    <w:rsid w:val="00D53D59"/>
    <w:rsid w:val="00D53F8B"/>
    <w:rsid w:val="00D540D7"/>
    <w:rsid w:val="00D552D3"/>
    <w:rsid w:val="00D55560"/>
    <w:rsid w:val="00D556DC"/>
    <w:rsid w:val="00D55977"/>
    <w:rsid w:val="00D55F11"/>
    <w:rsid w:val="00D55F36"/>
    <w:rsid w:val="00D56B43"/>
    <w:rsid w:val="00D5773D"/>
    <w:rsid w:val="00D57743"/>
    <w:rsid w:val="00D60027"/>
    <w:rsid w:val="00D6031C"/>
    <w:rsid w:val="00D60534"/>
    <w:rsid w:val="00D61695"/>
    <w:rsid w:val="00D6223B"/>
    <w:rsid w:val="00D628B4"/>
    <w:rsid w:val="00D62C1F"/>
    <w:rsid w:val="00D6412A"/>
    <w:rsid w:val="00D64AF2"/>
    <w:rsid w:val="00D65244"/>
    <w:rsid w:val="00D652A5"/>
    <w:rsid w:val="00D656AA"/>
    <w:rsid w:val="00D65A75"/>
    <w:rsid w:val="00D65F51"/>
    <w:rsid w:val="00D675C7"/>
    <w:rsid w:val="00D6766E"/>
    <w:rsid w:val="00D67D1D"/>
    <w:rsid w:val="00D67D72"/>
    <w:rsid w:val="00D67F22"/>
    <w:rsid w:val="00D703EA"/>
    <w:rsid w:val="00D707BC"/>
    <w:rsid w:val="00D70847"/>
    <w:rsid w:val="00D7144C"/>
    <w:rsid w:val="00D71FB1"/>
    <w:rsid w:val="00D7217A"/>
    <w:rsid w:val="00D725A7"/>
    <w:rsid w:val="00D72ACD"/>
    <w:rsid w:val="00D72D02"/>
    <w:rsid w:val="00D730DB"/>
    <w:rsid w:val="00D73A8E"/>
    <w:rsid w:val="00D7438F"/>
    <w:rsid w:val="00D74973"/>
    <w:rsid w:val="00D7509F"/>
    <w:rsid w:val="00D7549E"/>
    <w:rsid w:val="00D759BE"/>
    <w:rsid w:val="00D75A93"/>
    <w:rsid w:val="00D75FA4"/>
    <w:rsid w:val="00D76257"/>
    <w:rsid w:val="00D762F6"/>
    <w:rsid w:val="00D76EB7"/>
    <w:rsid w:val="00D77159"/>
    <w:rsid w:val="00D77271"/>
    <w:rsid w:val="00D8019A"/>
    <w:rsid w:val="00D80D5B"/>
    <w:rsid w:val="00D80E46"/>
    <w:rsid w:val="00D8112B"/>
    <w:rsid w:val="00D81EDC"/>
    <w:rsid w:val="00D821A5"/>
    <w:rsid w:val="00D822D6"/>
    <w:rsid w:val="00D8274F"/>
    <w:rsid w:val="00D836F4"/>
    <w:rsid w:val="00D83737"/>
    <w:rsid w:val="00D83D0D"/>
    <w:rsid w:val="00D83F30"/>
    <w:rsid w:val="00D84530"/>
    <w:rsid w:val="00D854C1"/>
    <w:rsid w:val="00D85BEB"/>
    <w:rsid w:val="00D86171"/>
    <w:rsid w:val="00D861C3"/>
    <w:rsid w:val="00D863A3"/>
    <w:rsid w:val="00D86898"/>
    <w:rsid w:val="00D86984"/>
    <w:rsid w:val="00D86AA2"/>
    <w:rsid w:val="00D86D4B"/>
    <w:rsid w:val="00D900F4"/>
    <w:rsid w:val="00D90101"/>
    <w:rsid w:val="00D90305"/>
    <w:rsid w:val="00D904C0"/>
    <w:rsid w:val="00D90E99"/>
    <w:rsid w:val="00D9229B"/>
    <w:rsid w:val="00D9289F"/>
    <w:rsid w:val="00D92B56"/>
    <w:rsid w:val="00D92BF9"/>
    <w:rsid w:val="00D9373B"/>
    <w:rsid w:val="00D93A13"/>
    <w:rsid w:val="00D94301"/>
    <w:rsid w:val="00D95CCD"/>
    <w:rsid w:val="00D95DEE"/>
    <w:rsid w:val="00D95ED7"/>
    <w:rsid w:val="00D961D1"/>
    <w:rsid w:val="00D962E3"/>
    <w:rsid w:val="00D96A90"/>
    <w:rsid w:val="00D96D28"/>
    <w:rsid w:val="00D977F0"/>
    <w:rsid w:val="00D9798C"/>
    <w:rsid w:val="00D979E7"/>
    <w:rsid w:val="00DA01CA"/>
    <w:rsid w:val="00DA1797"/>
    <w:rsid w:val="00DA21E9"/>
    <w:rsid w:val="00DA3223"/>
    <w:rsid w:val="00DA3487"/>
    <w:rsid w:val="00DA3863"/>
    <w:rsid w:val="00DA3CEB"/>
    <w:rsid w:val="00DA4368"/>
    <w:rsid w:val="00DA43D2"/>
    <w:rsid w:val="00DA53D9"/>
    <w:rsid w:val="00DA5AFB"/>
    <w:rsid w:val="00DA60EC"/>
    <w:rsid w:val="00DA616D"/>
    <w:rsid w:val="00DA7E8D"/>
    <w:rsid w:val="00DB018D"/>
    <w:rsid w:val="00DB01EA"/>
    <w:rsid w:val="00DB07B9"/>
    <w:rsid w:val="00DB13C6"/>
    <w:rsid w:val="00DB1510"/>
    <w:rsid w:val="00DB1EE6"/>
    <w:rsid w:val="00DB1F71"/>
    <w:rsid w:val="00DB2932"/>
    <w:rsid w:val="00DB2B07"/>
    <w:rsid w:val="00DB2CED"/>
    <w:rsid w:val="00DB369D"/>
    <w:rsid w:val="00DB3920"/>
    <w:rsid w:val="00DB3958"/>
    <w:rsid w:val="00DB4176"/>
    <w:rsid w:val="00DB4229"/>
    <w:rsid w:val="00DB505B"/>
    <w:rsid w:val="00DB55F8"/>
    <w:rsid w:val="00DB5B53"/>
    <w:rsid w:val="00DB5FB3"/>
    <w:rsid w:val="00DB6136"/>
    <w:rsid w:val="00DB6603"/>
    <w:rsid w:val="00DB6C2B"/>
    <w:rsid w:val="00DB7005"/>
    <w:rsid w:val="00DB7608"/>
    <w:rsid w:val="00DC04F8"/>
    <w:rsid w:val="00DC0566"/>
    <w:rsid w:val="00DC0921"/>
    <w:rsid w:val="00DC10A0"/>
    <w:rsid w:val="00DC1B1A"/>
    <w:rsid w:val="00DC1D2F"/>
    <w:rsid w:val="00DC2014"/>
    <w:rsid w:val="00DC2952"/>
    <w:rsid w:val="00DC29A8"/>
    <w:rsid w:val="00DC2CB4"/>
    <w:rsid w:val="00DC2DE4"/>
    <w:rsid w:val="00DC2FD2"/>
    <w:rsid w:val="00DC4243"/>
    <w:rsid w:val="00DC45E7"/>
    <w:rsid w:val="00DC4CC0"/>
    <w:rsid w:val="00DC511C"/>
    <w:rsid w:val="00DC55C7"/>
    <w:rsid w:val="00DC58AB"/>
    <w:rsid w:val="00DC60BF"/>
    <w:rsid w:val="00DC6186"/>
    <w:rsid w:val="00DC674C"/>
    <w:rsid w:val="00DC6F4A"/>
    <w:rsid w:val="00DC7662"/>
    <w:rsid w:val="00DC7DA0"/>
    <w:rsid w:val="00DD03AA"/>
    <w:rsid w:val="00DD0856"/>
    <w:rsid w:val="00DD0A42"/>
    <w:rsid w:val="00DD0CDC"/>
    <w:rsid w:val="00DD0E21"/>
    <w:rsid w:val="00DD114E"/>
    <w:rsid w:val="00DD13B7"/>
    <w:rsid w:val="00DD1728"/>
    <w:rsid w:val="00DD1C07"/>
    <w:rsid w:val="00DD1D16"/>
    <w:rsid w:val="00DD24AC"/>
    <w:rsid w:val="00DD24F1"/>
    <w:rsid w:val="00DD29E7"/>
    <w:rsid w:val="00DD327A"/>
    <w:rsid w:val="00DD33B2"/>
    <w:rsid w:val="00DD3534"/>
    <w:rsid w:val="00DD3A0A"/>
    <w:rsid w:val="00DD430F"/>
    <w:rsid w:val="00DD43BD"/>
    <w:rsid w:val="00DD4425"/>
    <w:rsid w:val="00DD4802"/>
    <w:rsid w:val="00DD4A0F"/>
    <w:rsid w:val="00DD50A2"/>
    <w:rsid w:val="00DD536D"/>
    <w:rsid w:val="00DD59BD"/>
    <w:rsid w:val="00DD5B99"/>
    <w:rsid w:val="00DD5FC0"/>
    <w:rsid w:val="00DD6238"/>
    <w:rsid w:val="00DD66A0"/>
    <w:rsid w:val="00DD779A"/>
    <w:rsid w:val="00DE02AB"/>
    <w:rsid w:val="00DE092F"/>
    <w:rsid w:val="00DE1386"/>
    <w:rsid w:val="00DE1BDC"/>
    <w:rsid w:val="00DE2011"/>
    <w:rsid w:val="00DE2474"/>
    <w:rsid w:val="00DE2B1E"/>
    <w:rsid w:val="00DE2DE4"/>
    <w:rsid w:val="00DE3286"/>
    <w:rsid w:val="00DE36D9"/>
    <w:rsid w:val="00DE3792"/>
    <w:rsid w:val="00DE409E"/>
    <w:rsid w:val="00DE44F7"/>
    <w:rsid w:val="00DE4590"/>
    <w:rsid w:val="00DE48B1"/>
    <w:rsid w:val="00DE4C3B"/>
    <w:rsid w:val="00DE5313"/>
    <w:rsid w:val="00DE578D"/>
    <w:rsid w:val="00DE5AD6"/>
    <w:rsid w:val="00DE5E69"/>
    <w:rsid w:val="00DE611D"/>
    <w:rsid w:val="00DE6275"/>
    <w:rsid w:val="00DE6B76"/>
    <w:rsid w:val="00DE6C64"/>
    <w:rsid w:val="00DE709F"/>
    <w:rsid w:val="00DE71F3"/>
    <w:rsid w:val="00DE7EB1"/>
    <w:rsid w:val="00DF032A"/>
    <w:rsid w:val="00DF05C4"/>
    <w:rsid w:val="00DF07AD"/>
    <w:rsid w:val="00DF0936"/>
    <w:rsid w:val="00DF11F4"/>
    <w:rsid w:val="00DF12E0"/>
    <w:rsid w:val="00DF140D"/>
    <w:rsid w:val="00DF16FF"/>
    <w:rsid w:val="00DF22B8"/>
    <w:rsid w:val="00DF2533"/>
    <w:rsid w:val="00DF2779"/>
    <w:rsid w:val="00DF2B14"/>
    <w:rsid w:val="00DF2B8D"/>
    <w:rsid w:val="00DF34E0"/>
    <w:rsid w:val="00DF3E04"/>
    <w:rsid w:val="00DF41DA"/>
    <w:rsid w:val="00DF4399"/>
    <w:rsid w:val="00DF4969"/>
    <w:rsid w:val="00DF53C0"/>
    <w:rsid w:val="00DF5DC5"/>
    <w:rsid w:val="00DF64D3"/>
    <w:rsid w:val="00DF6619"/>
    <w:rsid w:val="00DF67B5"/>
    <w:rsid w:val="00DF7462"/>
    <w:rsid w:val="00DF74B9"/>
    <w:rsid w:val="00DF76F8"/>
    <w:rsid w:val="00E0111D"/>
    <w:rsid w:val="00E01124"/>
    <w:rsid w:val="00E013CF"/>
    <w:rsid w:val="00E013EE"/>
    <w:rsid w:val="00E01ABD"/>
    <w:rsid w:val="00E01AF9"/>
    <w:rsid w:val="00E02776"/>
    <w:rsid w:val="00E028D8"/>
    <w:rsid w:val="00E02A30"/>
    <w:rsid w:val="00E037F3"/>
    <w:rsid w:val="00E03886"/>
    <w:rsid w:val="00E03C47"/>
    <w:rsid w:val="00E0441F"/>
    <w:rsid w:val="00E0529E"/>
    <w:rsid w:val="00E05467"/>
    <w:rsid w:val="00E0557F"/>
    <w:rsid w:val="00E05945"/>
    <w:rsid w:val="00E066E1"/>
    <w:rsid w:val="00E06907"/>
    <w:rsid w:val="00E06B23"/>
    <w:rsid w:val="00E07409"/>
    <w:rsid w:val="00E07D56"/>
    <w:rsid w:val="00E07E82"/>
    <w:rsid w:val="00E101AE"/>
    <w:rsid w:val="00E108A4"/>
    <w:rsid w:val="00E1139A"/>
    <w:rsid w:val="00E116BE"/>
    <w:rsid w:val="00E12164"/>
    <w:rsid w:val="00E121EE"/>
    <w:rsid w:val="00E1236A"/>
    <w:rsid w:val="00E1237A"/>
    <w:rsid w:val="00E129F5"/>
    <w:rsid w:val="00E12A3A"/>
    <w:rsid w:val="00E12DDF"/>
    <w:rsid w:val="00E134D8"/>
    <w:rsid w:val="00E1407C"/>
    <w:rsid w:val="00E146F8"/>
    <w:rsid w:val="00E14B0A"/>
    <w:rsid w:val="00E14D59"/>
    <w:rsid w:val="00E14FAF"/>
    <w:rsid w:val="00E1508D"/>
    <w:rsid w:val="00E15BB3"/>
    <w:rsid w:val="00E16037"/>
    <w:rsid w:val="00E1607C"/>
    <w:rsid w:val="00E1743A"/>
    <w:rsid w:val="00E177B5"/>
    <w:rsid w:val="00E2048F"/>
    <w:rsid w:val="00E204A5"/>
    <w:rsid w:val="00E213A1"/>
    <w:rsid w:val="00E21674"/>
    <w:rsid w:val="00E219BC"/>
    <w:rsid w:val="00E21FF9"/>
    <w:rsid w:val="00E22EFF"/>
    <w:rsid w:val="00E232C2"/>
    <w:rsid w:val="00E238C5"/>
    <w:rsid w:val="00E239B5"/>
    <w:rsid w:val="00E23F56"/>
    <w:rsid w:val="00E2415C"/>
    <w:rsid w:val="00E24BA1"/>
    <w:rsid w:val="00E24DC9"/>
    <w:rsid w:val="00E254E2"/>
    <w:rsid w:val="00E260FA"/>
    <w:rsid w:val="00E27104"/>
    <w:rsid w:val="00E2743C"/>
    <w:rsid w:val="00E275CD"/>
    <w:rsid w:val="00E27CE5"/>
    <w:rsid w:val="00E30327"/>
    <w:rsid w:val="00E303D8"/>
    <w:rsid w:val="00E308EF"/>
    <w:rsid w:val="00E31CC1"/>
    <w:rsid w:val="00E31F22"/>
    <w:rsid w:val="00E31F74"/>
    <w:rsid w:val="00E3265B"/>
    <w:rsid w:val="00E3279F"/>
    <w:rsid w:val="00E32897"/>
    <w:rsid w:val="00E32927"/>
    <w:rsid w:val="00E329D2"/>
    <w:rsid w:val="00E32AED"/>
    <w:rsid w:val="00E3346E"/>
    <w:rsid w:val="00E33B0A"/>
    <w:rsid w:val="00E33D36"/>
    <w:rsid w:val="00E34129"/>
    <w:rsid w:val="00E3470A"/>
    <w:rsid w:val="00E34760"/>
    <w:rsid w:val="00E34D1E"/>
    <w:rsid w:val="00E351CD"/>
    <w:rsid w:val="00E35368"/>
    <w:rsid w:val="00E35412"/>
    <w:rsid w:val="00E3605C"/>
    <w:rsid w:val="00E36869"/>
    <w:rsid w:val="00E368C3"/>
    <w:rsid w:val="00E368E2"/>
    <w:rsid w:val="00E3724C"/>
    <w:rsid w:val="00E3741C"/>
    <w:rsid w:val="00E37E5B"/>
    <w:rsid w:val="00E40380"/>
    <w:rsid w:val="00E405F2"/>
    <w:rsid w:val="00E40EE6"/>
    <w:rsid w:val="00E415CF"/>
    <w:rsid w:val="00E41A62"/>
    <w:rsid w:val="00E41F0A"/>
    <w:rsid w:val="00E42662"/>
    <w:rsid w:val="00E43026"/>
    <w:rsid w:val="00E437B0"/>
    <w:rsid w:val="00E43A3A"/>
    <w:rsid w:val="00E44BC8"/>
    <w:rsid w:val="00E44C31"/>
    <w:rsid w:val="00E46A80"/>
    <w:rsid w:val="00E47419"/>
    <w:rsid w:val="00E4788B"/>
    <w:rsid w:val="00E5140F"/>
    <w:rsid w:val="00E51657"/>
    <w:rsid w:val="00E517B6"/>
    <w:rsid w:val="00E517C1"/>
    <w:rsid w:val="00E51840"/>
    <w:rsid w:val="00E520EA"/>
    <w:rsid w:val="00E52B12"/>
    <w:rsid w:val="00E53000"/>
    <w:rsid w:val="00E53399"/>
    <w:rsid w:val="00E5361B"/>
    <w:rsid w:val="00E536A9"/>
    <w:rsid w:val="00E53F43"/>
    <w:rsid w:val="00E54D80"/>
    <w:rsid w:val="00E54DF5"/>
    <w:rsid w:val="00E557EC"/>
    <w:rsid w:val="00E55D15"/>
    <w:rsid w:val="00E5622E"/>
    <w:rsid w:val="00E5641C"/>
    <w:rsid w:val="00E565BB"/>
    <w:rsid w:val="00E56A49"/>
    <w:rsid w:val="00E57826"/>
    <w:rsid w:val="00E57AAC"/>
    <w:rsid w:val="00E60BF7"/>
    <w:rsid w:val="00E61509"/>
    <w:rsid w:val="00E61822"/>
    <w:rsid w:val="00E61A9F"/>
    <w:rsid w:val="00E61FAC"/>
    <w:rsid w:val="00E61FCB"/>
    <w:rsid w:val="00E62A12"/>
    <w:rsid w:val="00E63826"/>
    <w:rsid w:val="00E63E71"/>
    <w:rsid w:val="00E64310"/>
    <w:rsid w:val="00E64573"/>
    <w:rsid w:val="00E64B4B"/>
    <w:rsid w:val="00E64FA0"/>
    <w:rsid w:val="00E65210"/>
    <w:rsid w:val="00E6594E"/>
    <w:rsid w:val="00E65A08"/>
    <w:rsid w:val="00E6610B"/>
    <w:rsid w:val="00E661B9"/>
    <w:rsid w:val="00E66A19"/>
    <w:rsid w:val="00E66BE4"/>
    <w:rsid w:val="00E66E82"/>
    <w:rsid w:val="00E66FFC"/>
    <w:rsid w:val="00E670DB"/>
    <w:rsid w:val="00E67487"/>
    <w:rsid w:val="00E6786B"/>
    <w:rsid w:val="00E67929"/>
    <w:rsid w:val="00E67CEF"/>
    <w:rsid w:val="00E707FD"/>
    <w:rsid w:val="00E70A7D"/>
    <w:rsid w:val="00E70CEA"/>
    <w:rsid w:val="00E71CD6"/>
    <w:rsid w:val="00E71EED"/>
    <w:rsid w:val="00E7220B"/>
    <w:rsid w:val="00E7259D"/>
    <w:rsid w:val="00E725E5"/>
    <w:rsid w:val="00E729D6"/>
    <w:rsid w:val="00E72DB7"/>
    <w:rsid w:val="00E7314B"/>
    <w:rsid w:val="00E732E6"/>
    <w:rsid w:val="00E737A1"/>
    <w:rsid w:val="00E739C8"/>
    <w:rsid w:val="00E74235"/>
    <w:rsid w:val="00E74404"/>
    <w:rsid w:val="00E74821"/>
    <w:rsid w:val="00E74836"/>
    <w:rsid w:val="00E756D9"/>
    <w:rsid w:val="00E7595A"/>
    <w:rsid w:val="00E75975"/>
    <w:rsid w:val="00E75D33"/>
    <w:rsid w:val="00E762AB"/>
    <w:rsid w:val="00E764AA"/>
    <w:rsid w:val="00E764D0"/>
    <w:rsid w:val="00E765CD"/>
    <w:rsid w:val="00E76BB3"/>
    <w:rsid w:val="00E76FF0"/>
    <w:rsid w:val="00E77339"/>
    <w:rsid w:val="00E77B03"/>
    <w:rsid w:val="00E77DE0"/>
    <w:rsid w:val="00E803DA"/>
    <w:rsid w:val="00E80714"/>
    <w:rsid w:val="00E80B6D"/>
    <w:rsid w:val="00E812A9"/>
    <w:rsid w:val="00E8135C"/>
    <w:rsid w:val="00E81582"/>
    <w:rsid w:val="00E82386"/>
    <w:rsid w:val="00E8244F"/>
    <w:rsid w:val="00E82AE6"/>
    <w:rsid w:val="00E82F22"/>
    <w:rsid w:val="00E83E61"/>
    <w:rsid w:val="00E83E72"/>
    <w:rsid w:val="00E83FAF"/>
    <w:rsid w:val="00E84985"/>
    <w:rsid w:val="00E84CB7"/>
    <w:rsid w:val="00E8529A"/>
    <w:rsid w:val="00E852B5"/>
    <w:rsid w:val="00E86378"/>
    <w:rsid w:val="00E86513"/>
    <w:rsid w:val="00E86C0B"/>
    <w:rsid w:val="00E870FD"/>
    <w:rsid w:val="00E871DF"/>
    <w:rsid w:val="00E872E8"/>
    <w:rsid w:val="00E87E9F"/>
    <w:rsid w:val="00E90D83"/>
    <w:rsid w:val="00E90E84"/>
    <w:rsid w:val="00E911BC"/>
    <w:rsid w:val="00E9159F"/>
    <w:rsid w:val="00E91ED6"/>
    <w:rsid w:val="00E92217"/>
    <w:rsid w:val="00E92652"/>
    <w:rsid w:val="00E926EE"/>
    <w:rsid w:val="00E92B55"/>
    <w:rsid w:val="00E92F52"/>
    <w:rsid w:val="00E92FE0"/>
    <w:rsid w:val="00E93359"/>
    <w:rsid w:val="00E93719"/>
    <w:rsid w:val="00E93B19"/>
    <w:rsid w:val="00E93F23"/>
    <w:rsid w:val="00E94006"/>
    <w:rsid w:val="00E9407B"/>
    <w:rsid w:val="00E94A63"/>
    <w:rsid w:val="00E94A72"/>
    <w:rsid w:val="00E94AA7"/>
    <w:rsid w:val="00E94B9C"/>
    <w:rsid w:val="00E95287"/>
    <w:rsid w:val="00E95485"/>
    <w:rsid w:val="00E95694"/>
    <w:rsid w:val="00E95BA5"/>
    <w:rsid w:val="00E95E43"/>
    <w:rsid w:val="00E95E51"/>
    <w:rsid w:val="00E9640C"/>
    <w:rsid w:val="00E9662C"/>
    <w:rsid w:val="00E96732"/>
    <w:rsid w:val="00E96A58"/>
    <w:rsid w:val="00E97CAC"/>
    <w:rsid w:val="00EA0101"/>
    <w:rsid w:val="00EA05D9"/>
    <w:rsid w:val="00EA064D"/>
    <w:rsid w:val="00EA1043"/>
    <w:rsid w:val="00EA1263"/>
    <w:rsid w:val="00EA1FEA"/>
    <w:rsid w:val="00EA2492"/>
    <w:rsid w:val="00EA2F84"/>
    <w:rsid w:val="00EA3001"/>
    <w:rsid w:val="00EA3470"/>
    <w:rsid w:val="00EA3B5E"/>
    <w:rsid w:val="00EA3C4F"/>
    <w:rsid w:val="00EA42CA"/>
    <w:rsid w:val="00EA4F2D"/>
    <w:rsid w:val="00EA5414"/>
    <w:rsid w:val="00EA5FE4"/>
    <w:rsid w:val="00EA698F"/>
    <w:rsid w:val="00EA6A58"/>
    <w:rsid w:val="00EA756F"/>
    <w:rsid w:val="00EA788C"/>
    <w:rsid w:val="00EA7C2C"/>
    <w:rsid w:val="00EA7F25"/>
    <w:rsid w:val="00EB00D1"/>
    <w:rsid w:val="00EB00F8"/>
    <w:rsid w:val="00EB03FF"/>
    <w:rsid w:val="00EB0743"/>
    <w:rsid w:val="00EB081B"/>
    <w:rsid w:val="00EB0913"/>
    <w:rsid w:val="00EB0AA1"/>
    <w:rsid w:val="00EB11DC"/>
    <w:rsid w:val="00EB2641"/>
    <w:rsid w:val="00EB2746"/>
    <w:rsid w:val="00EB318B"/>
    <w:rsid w:val="00EB31E6"/>
    <w:rsid w:val="00EB37F9"/>
    <w:rsid w:val="00EB3A80"/>
    <w:rsid w:val="00EB4FAC"/>
    <w:rsid w:val="00EB5079"/>
    <w:rsid w:val="00EB508E"/>
    <w:rsid w:val="00EB546D"/>
    <w:rsid w:val="00EB5EAE"/>
    <w:rsid w:val="00EB65DC"/>
    <w:rsid w:val="00EB6DFB"/>
    <w:rsid w:val="00EB6ED3"/>
    <w:rsid w:val="00EB71B5"/>
    <w:rsid w:val="00EB74B7"/>
    <w:rsid w:val="00EB79F2"/>
    <w:rsid w:val="00EB7FED"/>
    <w:rsid w:val="00EC07E1"/>
    <w:rsid w:val="00EC1277"/>
    <w:rsid w:val="00EC18DF"/>
    <w:rsid w:val="00EC19B2"/>
    <w:rsid w:val="00EC210D"/>
    <w:rsid w:val="00EC2334"/>
    <w:rsid w:val="00EC2444"/>
    <w:rsid w:val="00EC2615"/>
    <w:rsid w:val="00EC2974"/>
    <w:rsid w:val="00EC2ABE"/>
    <w:rsid w:val="00EC2D08"/>
    <w:rsid w:val="00EC2FD2"/>
    <w:rsid w:val="00EC30E7"/>
    <w:rsid w:val="00EC32B0"/>
    <w:rsid w:val="00EC3E34"/>
    <w:rsid w:val="00EC4194"/>
    <w:rsid w:val="00EC4356"/>
    <w:rsid w:val="00EC480E"/>
    <w:rsid w:val="00EC4B86"/>
    <w:rsid w:val="00EC4C1B"/>
    <w:rsid w:val="00EC50B5"/>
    <w:rsid w:val="00EC517F"/>
    <w:rsid w:val="00EC52D3"/>
    <w:rsid w:val="00EC5300"/>
    <w:rsid w:val="00EC57DF"/>
    <w:rsid w:val="00EC5F76"/>
    <w:rsid w:val="00EC6302"/>
    <w:rsid w:val="00EC639B"/>
    <w:rsid w:val="00EC6F06"/>
    <w:rsid w:val="00EC71F9"/>
    <w:rsid w:val="00EC74E5"/>
    <w:rsid w:val="00EC75BA"/>
    <w:rsid w:val="00ED0825"/>
    <w:rsid w:val="00ED0F86"/>
    <w:rsid w:val="00ED1020"/>
    <w:rsid w:val="00ED1091"/>
    <w:rsid w:val="00ED16AA"/>
    <w:rsid w:val="00ED22BB"/>
    <w:rsid w:val="00ED29CC"/>
    <w:rsid w:val="00ED3355"/>
    <w:rsid w:val="00ED34BC"/>
    <w:rsid w:val="00ED37B6"/>
    <w:rsid w:val="00ED422E"/>
    <w:rsid w:val="00ED42BA"/>
    <w:rsid w:val="00ED43F6"/>
    <w:rsid w:val="00ED447B"/>
    <w:rsid w:val="00ED476A"/>
    <w:rsid w:val="00ED4AFA"/>
    <w:rsid w:val="00ED4CB9"/>
    <w:rsid w:val="00ED556B"/>
    <w:rsid w:val="00ED5935"/>
    <w:rsid w:val="00ED5CA6"/>
    <w:rsid w:val="00ED5CD3"/>
    <w:rsid w:val="00ED5E9A"/>
    <w:rsid w:val="00ED60D0"/>
    <w:rsid w:val="00ED65A8"/>
    <w:rsid w:val="00ED6CB7"/>
    <w:rsid w:val="00ED765D"/>
    <w:rsid w:val="00ED7771"/>
    <w:rsid w:val="00ED7970"/>
    <w:rsid w:val="00EE03B6"/>
    <w:rsid w:val="00EE085E"/>
    <w:rsid w:val="00EE149B"/>
    <w:rsid w:val="00EE196D"/>
    <w:rsid w:val="00EE2103"/>
    <w:rsid w:val="00EE277C"/>
    <w:rsid w:val="00EE2B42"/>
    <w:rsid w:val="00EE2DCB"/>
    <w:rsid w:val="00EE3B59"/>
    <w:rsid w:val="00EE42BB"/>
    <w:rsid w:val="00EE47EC"/>
    <w:rsid w:val="00EE49A3"/>
    <w:rsid w:val="00EE4B10"/>
    <w:rsid w:val="00EE4FDC"/>
    <w:rsid w:val="00EE5214"/>
    <w:rsid w:val="00EE586F"/>
    <w:rsid w:val="00EE6229"/>
    <w:rsid w:val="00EE66CA"/>
    <w:rsid w:val="00EE67D4"/>
    <w:rsid w:val="00EE69A3"/>
    <w:rsid w:val="00EE6C43"/>
    <w:rsid w:val="00EE7790"/>
    <w:rsid w:val="00EE79F8"/>
    <w:rsid w:val="00EE7D13"/>
    <w:rsid w:val="00EF06CA"/>
    <w:rsid w:val="00EF0C72"/>
    <w:rsid w:val="00EF1327"/>
    <w:rsid w:val="00EF174B"/>
    <w:rsid w:val="00EF1779"/>
    <w:rsid w:val="00EF2059"/>
    <w:rsid w:val="00EF2340"/>
    <w:rsid w:val="00EF2711"/>
    <w:rsid w:val="00EF27F6"/>
    <w:rsid w:val="00EF2B27"/>
    <w:rsid w:val="00EF2D40"/>
    <w:rsid w:val="00EF2F40"/>
    <w:rsid w:val="00EF34AD"/>
    <w:rsid w:val="00EF3642"/>
    <w:rsid w:val="00EF3738"/>
    <w:rsid w:val="00EF4523"/>
    <w:rsid w:val="00EF48B3"/>
    <w:rsid w:val="00EF49D7"/>
    <w:rsid w:val="00EF4CDD"/>
    <w:rsid w:val="00EF5533"/>
    <w:rsid w:val="00EF5865"/>
    <w:rsid w:val="00EF58F2"/>
    <w:rsid w:val="00EF66E7"/>
    <w:rsid w:val="00EF67A6"/>
    <w:rsid w:val="00EF6CCD"/>
    <w:rsid w:val="00EF732B"/>
    <w:rsid w:val="00EF75FE"/>
    <w:rsid w:val="00F00248"/>
    <w:rsid w:val="00F0032B"/>
    <w:rsid w:val="00F00C7D"/>
    <w:rsid w:val="00F014B1"/>
    <w:rsid w:val="00F019DB"/>
    <w:rsid w:val="00F027F5"/>
    <w:rsid w:val="00F02F89"/>
    <w:rsid w:val="00F039A3"/>
    <w:rsid w:val="00F03A15"/>
    <w:rsid w:val="00F03AFF"/>
    <w:rsid w:val="00F03CB4"/>
    <w:rsid w:val="00F03E66"/>
    <w:rsid w:val="00F04B03"/>
    <w:rsid w:val="00F05E82"/>
    <w:rsid w:val="00F05FE6"/>
    <w:rsid w:val="00F06628"/>
    <w:rsid w:val="00F0677F"/>
    <w:rsid w:val="00F06CD5"/>
    <w:rsid w:val="00F06D7F"/>
    <w:rsid w:val="00F0704D"/>
    <w:rsid w:val="00F0766D"/>
    <w:rsid w:val="00F077E2"/>
    <w:rsid w:val="00F10BE5"/>
    <w:rsid w:val="00F10C59"/>
    <w:rsid w:val="00F10D2B"/>
    <w:rsid w:val="00F10D84"/>
    <w:rsid w:val="00F11117"/>
    <w:rsid w:val="00F121A0"/>
    <w:rsid w:val="00F12825"/>
    <w:rsid w:val="00F128B0"/>
    <w:rsid w:val="00F12B8D"/>
    <w:rsid w:val="00F12DD3"/>
    <w:rsid w:val="00F1322C"/>
    <w:rsid w:val="00F134FE"/>
    <w:rsid w:val="00F13593"/>
    <w:rsid w:val="00F135BA"/>
    <w:rsid w:val="00F146A5"/>
    <w:rsid w:val="00F14A1C"/>
    <w:rsid w:val="00F150DA"/>
    <w:rsid w:val="00F15201"/>
    <w:rsid w:val="00F153F2"/>
    <w:rsid w:val="00F15453"/>
    <w:rsid w:val="00F159EA"/>
    <w:rsid w:val="00F15CA5"/>
    <w:rsid w:val="00F15D66"/>
    <w:rsid w:val="00F162CB"/>
    <w:rsid w:val="00F16489"/>
    <w:rsid w:val="00F165BF"/>
    <w:rsid w:val="00F165FA"/>
    <w:rsid w:val="00F16972"/>
    <w:rsid w:val="00F174AF"/>
    <w:rsid w:val="00F17D2E"/>
    <w:rsid w:val="00F17D54"/>
    <w:rsid w:val="00F21444"/>
    <w:rsid w:val="00F21EA1"/>
    <w:rsid w:val="00F223A6"/>
    <w:rsid w:val="00F22477"/>
    <w:rsid w:val="00F22770"/>
    <w:rsid w:val="00F22A83"/>
    <w:rsid w:val="00F239ED"/>
    <w:rsid w:val="00F24010"/>
    <w:rsid w:val="00F24B34"/>
    <w:rsid w:val="00F24B74"/>
    <w:rsid w:val="00F24C85"/>
    <w:rsid w:val="00F25152"/>
    <w:rsid w:val="00F255A4"/>
    <w:rsid w:val="00F25C5A"/>
    <w:rsid w:val="00F2637F"/>
    <w:rsid w:val="00F26450"/>
    <w:rsid w:val="00F26574"/>
    <w:rsid w:val="00F265C1"/>
    <w:rsid w:val="00F267BA"/>
    <w:rsid w:val="00F26F48"/>
    <w:rsid w:val="00F274E1"/>
    <w:rsid w:val="00F27CF6"/>
    <w:rsid w:val="00F30361"/>
    <w:rsid w:val="00F3090E"/>
    <w:rsid w:val="00F30977"/>
    <w:rsid w:val="00F310D6"/>
    <w:rsid w:val="00F31FAF"/>
    <w:rsid w:val="00F32168"/>
    <w:rsid w:val="00F324EF"/>
    <w:rsid w:val="00F32C95"/>
    <w:rsid w:val="00F330E8"/>
    <w:rsid w:val="00F33ADE"/>
    <w:rsid w:val="00F33F23"/>
    <w:rsid w:val="00F3400C"/>
    <w:rsid w:val="00F34BF3"/>
    <w:rsid w:val="00F34C7B"/>
    <w:rsid w:val="00F3501D"/>
    <w:rsid w:val="00F354B7"/>
    <w:rsid w:val="00F3563F"/>
    <w:rsid w:val="00F360E2"/>
    <w:rsid w:val="00F361B3"/>
    <w:rsid w:val="00F36AB3"/>
    <w:rsid w:val="00F36E9C"/>
    <w:rsid w:val="00F3702C"/>
    <w:rsid w:val="00F374F0"/>
    <w:rsid w:val="00F377AC"/>
    <w:rsid w:val="00F37B81"/>
    <w:rsid w:val="00F403AB"/>
    <w:rsid w:val="00F403B3"/>
    <w:rsid w:val="00F40678"/>
    <w:rsid w:val="00F40B20"/>
    <w:rsid w:val="00F40E5C"/>
    <w:rsid w:val="00F41568"/>
    <w:rsid w:val="00F41642"/>
    <w:rsid w:val="00F41671"/>
    <w:rsid w:val="00F4179D"/>
    <w:rsid w:val="00F41986"/>
    <w:rsid w:val="00F41B3D"/>
    <w:rsid w:val="00F41BA2"/>
    <w:rsid w:val="00F41BCA"/>
    <w:rsid w:val="00F41C26"/>
    <w:rsid w:val="00F41CC7"/>
    <w:rsid w:val="00F41F03"/>
    <w:rsid w:val="00F42535"/>
    <w:rsid w:val="00F42DDE"/>
    <w:rsid w:val="00F430AA"/>
    <w:rsid w:val="00F43D54"/>
    <w:rsid w:val="00F44872"/>
    <w:rsid w:val="00F44AF6"/>
    <w:rsid w:val="00F44F81"/>
    <w:rsid w:val="00F4526B"/>
    <w:rsid w:val="00F45691"/>
    <w:rsid w:val="00F45880"/>
    <w:rsid w:val="00F45F36"/>
    <w:rsid w:val="00F46195"/>
    <w:rsid w:val="00F46205"/>
    <w:rsid w:val="00F469D1"/>
    <w:rsid w:val="00F47315"/>
    <w:rsid w:val="00F500EF"/>
    <w:rsid w:val="00F502F2"/>
    <w:rsid w:val="00F503B7"/>
    <w:rsid w:val="00F50507"/>
    <w:rsid w:val="00F509F9"/>
    <w:rsid w:val="00F50E0C"/>
    <w:rsid w:val="00F51234"/>
    <w:rsid w:val="00F5135D"/>
    <w:rsid w:val="00F514E9"/>
    <w:rsid w:val="00F5179D"/>
    <w:rsid w:val="00F52348"/>
    <w:rsid w:val="00F52769"/>
    <w:rsid w:val="00F5336C"/>
    <w:rsid w:val="00F53401"/>
    <w:rsid w:val="00F5341B"/>
    <w:rsid w:val="00F537FC"/>
    <w:rsid w:val="00F53CB7"/>
    <w:rsid w:val="00F547BE"/>
    <w:rsid w:val="00F55048"/>
    <w:rsid w:val="00F55510"/>
    <w:rsid w:val="00F55CB1"/>
    <w:rsid w:val="00F56768"/>
    <w:rsid w:val="00F5684B"/>
    <w:rsid w:val="00F56C35"/>
    <w:rsid w:val="00F56C4D"/>
    <w:rsid w:val="00F56C6E"/>
    <w:rsid w:val="00F56D51"/>
    <w:rsid w:val="00F56ECD"/>
    <w:rsid w:val="00F57259"/>
    <w:rsid w:val="00F577B3"/>
    <w:rsid w:val="00F57943"/>
    <w:rsid w:val="00F57CAD"/>
    <w:rsid w:val="00F57D5F"/>
    <w:rsid w:val="00F57D73"/>
    <w:rsid w:val="00F60133"/>
    <w:rsid w:val="00F604BF"/>
    <w:rsid w:val="00F606E4"/>
    <w:rsid w:val="00F611C7"/>
    <w:rsid w:val="00F6125F"/>
    <w:rsid w:val="00F61DE1"/>
    <w:rsid w:val="00F61E77"/>
    <w:rsid w:val="00F62174"/>
    <w:rsid w:val="00F625F8"/>
    <w:rsid w:val="00F62B3C"/>
    <w:rsid w:val="00F62BB8"/>
    <w:rsid w:val="00F62C17"/>
    <w:rsid w:val="00F63B07"/>
    <w:rsid w:val="00F63CF2"/>
    <w:rsid w:val="00F647FA"/>
    <w:rsid w:val="00F64CD6"/>
    <w:rsid w:val="00F64E0A"/>
    <w:rsid w:val="00F64F34"/>
    <w:rsid w:val="00F65148"/>
    <w:rsid w:val="00F655CC"/>
    <w:rsid w:val="00F65D47"/>
    <w:rsid w:val="00F66A06"/>
    <w:rsid w:val="00F66AD2"/>
    <w:rsid w:val="00F66E50"/>
    <w:rsid w:val="00F679C7"/>
    <w:rsid w:val="00F67FB1"/>
    <w:rsid w:val="00F70017"/>
    <w:rsid w:val="00F70AD8"/>
    <w:rsid w:val="00F70D53"/>
    <w:rsid w:val="00F70F47"/>
    <w:rsid w:val="00F70F9E"/>
    <w:rsid w:val="00F7211E"/>
    <w:rsid w:val="00F73BC9"/>
    <w:rsid w:val="00F747C1"/>
    <w:rsid w:val="00F757F9"/>
    <w:rsid w:val="00F75ABF"/>
    <w:rsid w:val="00F75BCF"/>
    <w:rsid w:val="00F76889"/>
    <w:rsid w:val="00F76E69"/>
    <w:rsid w:val="00F76F1B"/>
    <w:rsid w:val="00F77221"/>
    <w:rsid w:val="00F77587"/>
    <w:rsid w:val="00F778E5"/>
    <w:rsid w:val="00F779E4"/>
    <w:rsid w:val="00F77A44"/>
    <w:rsid w:val="00F80268"/>
    <w:rsid w:val="00F80333"/>
    <w:rsid w:val="00F80AF5"/>
    <w:rsid w:val="00F810B0"/>
    <w:rsid w:val="00F81567"/>
    <w:rsid w:val="00F8159F"/>
    <w:rsid w:val="00F81A3F"/>
    <w:rsid w:val="00F81B9A"/>
    <w:rsid w:val="00F81F00"/>
    <w:rsid w:val="00F82465"/>
    <w:rsid w:val="00F82A79"/>
    <w:rsid w:val="00F82EA8"/>
    <w:rsid w:val="00F834CA"/>
    <w:rsid w:val="00F83A90"/>
    <w:rsid w:val="00F84A61"/>
    <w:rsid w:val="00F85699"/>
    <w:rsid w:val="00F8595A"/>
    <w:rsid w:val="00F8705B"/>
    <w:rsid w:val="00F87105"/>
    <w:rsid w:val="00F8718F"/>
    <w:rsid w:val="00F875AD"/>
    <w:rsid w:val="00F87696"/>
    <w:rsid w:val="00F87A22"/>
    <w:rsid w:val="00F9031F"/>
    <w:rsid w:val="00F9090B"/>
    <w:rsid w:val="00F909A7"/>
    <w:rsid w:val="00F90D8E"/>
    <w:rsid w:val="00F90F79"/>
    <w:rsid w:val="00F90FD4"/>
    <w:rsid w:val="00F91786"/>
    <w:rsid w:val="00F91E1A"/>
    <w:rsid w:val="00F92392"/>
    <w:rsid w:val="00F9356C"/>
    <w:rsid w:val="00F937C9"/>
    <w:rsid w:val="00F93C6C"/>
    <w:rsid w:val="00F94A2F"/>
    <w:rsid w:val="00F95664"/>
    <w:rsid w:val="00F95698"/>
    <w:rsid w:val="00F9675A"/>
    <w:rsid w:val="00F96FAC"/>
    <w:rsid w:val="00F97F34"/>
    <w:rsid w:val="00FA064F"/>
    <w:rsid w:val="00FA092A"/>
    <w:rsid w:val="00FA0CD4"/>
    <w:rsid w:val="00FA159B"/>
    <w:rsid w:val="00FA1805"/>
    <w:rsid w:val="00FA199A"/>
    <w:rsid w:val="00FA1A99"/>
    <w:rsid w:val="00FA1FDB"/>
    <w:rsid w:val="00FA229A"/>
    <w:rsid w:val="00FA24E9"/>
    <w:rsid w:val="00FA30FD"/>
    <w:rsid w:val="00FA314E"/>
    <w:rsid w:val="00FA33AD"/>
    <w:rsid w:val="00FA3423"/>
    <w:rsid w:val="00FA3579"/>
    <w:rsid w:val="00FA3BDB"/>
    <w:rsid w:val="00FA4217"/>
    <w:rsid w:val="00FA4569"/>
    <w:rsid w:val="00FA49EE"/>
    <w:rsid w:val="00FA4D32"/>
    <w:rsid w:val="00FA4D8B"/>
    <w:rsid w:val="00FA4EBE"/>
    <w:rsid w:val="00FA50CC"/>
    <w:rsid w:val="00FA52C1"/>
    <w:rsid w:val="00FA5322"/>
    <w:rsid w:val="00FA585B"/>
    <w:rsid w:val="00FA5905"/>
    <w:rsid w:val="00FA647D"/>
    <w:rsid w:val="00FA65DB"/>
    <w:rsid w:val="00FA6DF6"/>
    <w:rsid w:val="00FA7053"/>
    <w:rsid w:val="00FA7694"/>
    <w:rsid w:val="00FA7EEF"/>
    <w:rsid w:val="00FA7FBC"/>
    <w:rsid w:val="00FB007D"/>
    <w:rsid w:val="00FB023A"/>
    <w:rsid w:val="00FB0EB9"/>
    <w:rsid w:val="00FB178A"/>
    <w:rsid w:val="00FB1E5E"/>
    <w:rsid w:val="00FB22F5"/>
    <w:rsid w:val="00FB23FC"/>
    <w:rsid w:val="00FB2588"/>
    <w:rsid w:val="00FB29E9"/>
    <w:rsid w:val="00FB2F07"/>
    <w:rsid w:val="00FB3020"/>
    <w:rsid w:val="00FB3333"/>
    <w:rsid w:val="00FB3582"/>
    <w:rsid w:val="00FB37F3"/>
    <w:rsid w:val="00FB3CE5"/>
    <w:rsid w:val="00FB3D80"/>
    <w:rsid w:val="00FB490A"/>
    <w:rsid w:val="00FB4B92"/>
    <w:rsid w:val="00FB5590"/>
    <w:rsid w:val="00FB57A3"/>
    <w:rsid w:val="00FB57AF"/>
    <w:rsid w:val="00FB5C44"/>
    <w:rsid w:val="00FB5CA4"/>
    <w:rsid w:val="00FB5D03"/>
    <w:rsid w:val="00FB5DA4"/>
    <w:rsid w:val="00FB649E"/>
    <w:rsid w:val="00FB65E5"/>
    <w:rsid w:val="00FB67A5"/>
    <w:rsid w:val="00FB681C"/>
    <w:rsid w:val="00FB6B22"/>
    <w:rsid w:val="00FB6EEF"/>
    <w:rsid w:val="00FB7D73"/>
    <w:rsid w:val="00FC045E"/>
    <w:rsid w:val="00FC0525"/>
    <w:rsid w:val="00FC0569"/>
    <w:rsid w:val="00FC0FA6"/>
    <w:rsid w:val="00FC1457"/>
    <w:rsid w:val="00FC1536"/>
    <w:rsid w:val="00FC1655"/>
    <w:rsid w:val="00FC19BF"/>
    <w:rsid w:val="00FC1F7C"/>
    <w:rsid w:val="00FC36B3"/>
    <w:rsid w:val="00FC3955"/>
    <w:rsid w:val="00FC3DCD"/>
    <w:rsid w:val="00FC41CA"/>
    <w:rsid w:val="00FC4222"/>
    <w:rsid w:val="00FC42CF"/>
    <w:rsid w:val="00FC4A76"/>
    <w:rsid w:val="00FC50B2"/>
    <w:rsid w:val="00FC50CC"/>
    <w:rsid w:val="00FC5B36"/>
    <w:rsid w:val="00FC6375"/>
    <w:rsid w:val="00FC6C1D"/>
    <w:rsid w:val="00FC757F"/>
    <w:rsid w:val="00FC7680"/>
    <w:rsid w:val="00FC7943"/>
    <w:rsid w:val="00FC79D6"/>
    <w:rsid w:val="00FC7D2C"/>
    <w:rsid w:val="00FC7F16"/>
    <w:rsid w:val="00FD0300"/>
    <w:rsid w:val="00FD0391"/>
    <w:rsid w:val="00FD0427"/>
    <w:rsid w:val="00FD0658"/>
    <w:rsid w:val="00FD066E"/>
    <w:rsid w:val="00FD0F9E"/>
    <w:rsid w:val="00FD100B"/>
    <w:rsid w:val="00FD1D7C"/>
    <w:rsid w:val="00FD26AD"/>
    <w:rsid w:val="00FD2D3F"/>
    <w:rsid w:val="00FD3705"/>
    <w:rsid w:val="00FD38EA"/>
    <w:rsid w:val="00FD475F"/>
    <w:rsid w:val="00FD4A4F"/>
    <w:rsid w:val="00FD4B25"/>
    <w:rsid w:val="00FD4BE7"/>
    <w:rsid w:val="00FD4D37"/>
    <w:rsid w:val="00FD555C"/>
    <w:rsid w:val="00FD5B18"/>
    <w:rsid w:val="00FD5FF5"/>
    <w:rsid w:val="00FD61E2"/>
    <w:rsid w:val="00FD68F0"/>
    <w:rsid w:val="00FD6D69"/>
    <w:rsid w:val="00FD7358"/>
    <w:rsid w:val="00FD7523"/>
    <w:rsid w:val="00FD77FA"/>
    <w:rsid w:val="00FD781B"/>
    <w:rsid w:val="00FD7A8F"/>
    <w:rsid w:val="00FD7BA6"/>
    <w:rsid w:val="00FD7C04"/>
    <w:rsid w:val="00FD7D28"/>
    <w:rsid w:val="00FD7E1A"/>
    <w:rsid w:val="00FE005B"/>
    <w:rsid w:val="00FE0183"/>
    <w:rsid w:val="00FE0A70"/>
    <w:rsid w:val="00FE12F7"/>
    <w:rsid w:val="00FE1502"/>
    <w:rsid w:val="00FE1DFE"/>
    <w:rsid w:val="00FE2149"/>
    <w:rsid w:val="00FE28A9"/>
    <w:rsid w:val="00FE3248"/>
    <w:rsid w:val="00FE3273"/>
    <w:rsid w:val="00FE3363"/>
    <w:rsid w:val="00FE3A77"/>
    <w:rsid w:val="00FE3FBD"/>
    <w:rsid w:val="00FE4056"/>
    <w:rsid w:val="00FE5E46"/>
    <w:rsid w:val="00FE5FD4"/>
    <w:rsid w:val="00FE62B0"/>
    <w:rsid w:val="00FE7009"/>
    <w:rsid w:val="00FE773F"/>
    <w:rsid w:val="00FE778E"/>
    <w:rsid w:val="00FE7BAE"/>
    <w:rsid w:val="00FF04D9"/>
    <w:rsid w:val="00FF06BA"/>
    <w:rsid w:val="00FF11E5"/>
    <w:rsid w:val="00FF12C6"/>
    <w:rsid w:val="00FF13B4"/>
    <w:rsid w:val="00FF1AEE"/>
    <w:rsid w:val="00FF2858"/>
    <w:rsid w:val="00FF2B60"/>
    <w:rsid w:val="00FF2CF0"/>
    <w:rsid w:val="00FF32BD"/>
    <w:rsid w:val="00FF332C"/>
    <w:rsid w:val="00FF3939"/>
    <w:rsid w:val="00FF525B"/>
    <w:rsid w:val="00FF5E7B"/>
    <w:rsid w:val="00FF6358"/>
    <w:rsid w:val="00FF659E"/>
    <w:rsid w:val="00FF72AD"/>
    <w:rsid w:val="00FF7B00"/>
    <w:rsid w:val="00FF7BA7"/>
    <w:rsid w:val="00FF7E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4685"/>
  <w15:docId w15:val="{A2CC2A7C-DD71-488A-8BBB-EC1F6E76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iPriority="99"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nhideWhenUsed="1"/>
    <w:lsdException w:name="Table Elegant" w:semiHidden="1" w:uiPriority="99"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5E7"/>
    <w:rPr>
      <w:sz w:val="24"/>
    </w:rPr>
  </w:style>
  <w:style w:type="paragraph" w:styleId="Heading1">
    <w:name w:val="heading 1"/>
    <w:basedOn w:val="Normal"/>
    <w:next w:val="Normal"/>
    <w:link w:val="Heading1Char"/>
    <w:autoRedefine/>
    <w:qFormat/>
    <w:rsid w:val="00975A4F"/>
    <w:pPr>
      <w:keepNext/>
      <w:numPr>
        <w:numId w:val="42"/>
      </w:numPr>
      <w:spacing w:after="120"/>
      <w:jc w:val="center"/>
      <w:outlineLvl w:val="0"/>
    </w:pPr>
    <w:rPr>
      <w:rFonts w:ascii="Arial" w:hAnsi="Arial" w:cs="Arial"/>
      <w:b/>
      <w:bCs/>
      <w:kern w:val="32"/>
      <w:sz w:val="40"/>
      <w:szCs w:val="28"/>
    </w:rPr>
  </w:style>
  <w:style w:type="paragraph" w:styleId="Heading2">
    <w:name w:val="heading 2"/>
    <w:aliases w:val="h2"/>
    <w:basedOn w:val="Heading2Text"/>
    <w:next w:val="Normal"/>
    <w:link w:val="Heading2Char"/>
    <w:qFormat/>
    <w:rsid w:val="00DD4425"/>
    <w:pPr>
      <w:keepNext/>
      <w:keepLines/>
      <w:numPr>
        <w:ilvl w:val="1"/>
        <w:numId w:val="42"/>
      </w:numPr>
      <w:spacing w:before="240" w:after="240"/>
      <w:outlineLvl w:val="1"/>
    </w:pPr>
    <w:rPr>
      <w:rFonts w:ascii="Arial" w:hAnsi="Arial"/>
      <w:b/>
      <w:kern w:val="28"/>
      <w:sz w:val="32"/>
      <w:szCs w:val="28"/>
    </w:rPr>
  </w:style>
  <w:style w:type="paragraph" w:styleId="Heading3">
    <w:name w:val="heading 3"/>
    <w:basedOn w:val="Normal"/>
    <w:next w:val="Normal"/>
    <w:link w:val="Heading3Char"/>
    <w:qFormat/>
    <w:rsid w:val="008B12BD"/>
    <w:pPr>
      <w:numPr>
        <w:ilvl w:val="2"/>
        <w:numId w:val="42"/>
      </w:numPr>
      <w:tabs>
        <w:tab w:val="clear" w:pos="8856"/>
        <w:tab w:val="num" w:pos="936"/>
      </w:tabs>
      <w:spacing w:after="120"/>
      <w:ind w:left="936"/>
      <w:outlineLvl w:val="2"/>
    </w:pPr>
    <w:rPr>
      <w:rFonts w:ascii="Arial" w:hAnsi="Arial"/>
      <w:b/>
    </w:rPr>
  </w:style>
  <w:style w:type="paragraph" w:styleId="Heading4">
    <w:name w:val="heading 4"/>
    <w:basedOn w:val="Normal"/>
    <w:next w:val="Normal"/>
    <w:link w:val="Heading4Char"/>
    <w:qFormat/>
    <w:rsid w:val="009D7126"/>
    <w:pPr>
      <w:numPr>
        <w:ilvl w:val="3"/>
        <w:numId w:val="42"/>
      </w:numPr>
      <w:spacing w:before="120" w:after="60"/>
      <w:outlineLvl w:val="3"/>
    </w:pPr>
    <w:rPr>
      <w:rFonts w:ascii="Arial" w:hAnsi="Arial"/>
      <w:b/>
    </w:rPr>
  </w:style>
  <w:style w:type="paragraph" w:styleId="Heading5">
    <w:name w:val="heading 5"/>
    <w:basedOn w:val="Normal"/>
    <w:next w:val="Normal"/>
    <w:link w:val="Heading5Char"/>
    <w:uiPriority w:val="9"/>
    <w:qFormat/>
    <w:rsid w:val="00F21444"/>
    <w:pPr>
      <w:spacing w:after="120"/>
      <w:outlineLvl w:val="4"/>
    </w:pPr>
    <w:rPr>
      <w:b/>
    </w:rPr>
  </w:style>
  <w:style w:type="paragraph" w:styleId="Heading6">
    <w:name w:val="heading 6"/>
    <w:basedOn w:val="Normal"/>
    <w:next w:val="Normal"/>
    <w:link w:val="Heading6Char"/>
    <w:qFormat/>
    <w:rsid w:val="00944BDD"/>
    <w:pPr>
      <w:keepNext/>
      <w:keepLines/>
      <w:spacing w:after="240"/>
      <w:outlineLvl w:val="5"/>
    </w:pPr>
    <w:rPr>
      <w:b/>
      <w:bCs/>
      <w:szCs w:val="24"/>
      <w:u w:val="single"/>
    </w:rPr>
  </w:style>
  <w:style w:type="paragraph" w:styleId="Heading7">
    <w:name w:val="heading 7"/>
    <w:basedOn w:val="Normal"/>
    <w:next w:val="Normal"/>
    <w:link w:val="Heading7Char"/>
    <w:qFormat/>
    <w:rsid w:val="000D0627"/>
    <w:pPr>
      <w:keepNext/>
      <w:spacing w:after="120"/>
      <w:outlineLvl w:val="6"/>
    </w:pPr>
    <w:rPr>
      <w:sz w:val="20"/>
      <w:u w:val="single"/>
    </w:rPr>
  </w:style>
  <w:style w:type="paragraph" w:styleId="Heading8">
    <w:name w:val="heading 8"/>
    <w:basedOn w:val="Normal"/>
    <w:next w:val="Normal"/>
    <w:link w:val="Heading8Char"/>
    <w:qFormat/>
    <w:rsid w:val="009D7126"/>
    <w:pPr>
      <w:numPr>
        <w:ilvl w:val="7"/>
        <w:numId w:val="42"/>
      </w:numPr>
      <w:spacing w:before="240" w:after="60"/>
      <w:outlineLvl w:val="7"/>
    </w:pPr>
    <w:rPr>
      <w:i/>
    </w:rPr>
  </w:style>
  <w:style w:type="paragraph" w:styleId="Heading9">
    <w:name w:val="heading 9"/>
    <w:basedOn w:val="Normal"/>
    <w:next w:val="Normal"/>
    <w:link w:val="Heading9Char"/>
    <w:qFormat/>
    <w:rsid w:val="009D7126"/>
    <w:pPr>
      <w:numPr>
        <w:ilvl w:val="8"/>
        <w:numId w:val="4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Exhibit Caption"/>
    <w:basedOn w:val="Normal"/>
    <w:next w:val="Normal"/>
    <w:uiPriority w:val="35"/>
    <w:qFormat/>
    <w:rsid w:val="009D7126"/>
    <w:pPr>
      <w:spacing w:before="120" w:after="120"/>
    </w:pPr>
    <w:rPr>
      <w:b/>
      <w:bCs/>
    </w:rPr>
  </w:style>
  <w:style w:type="character" w:styleId="CommentReference">
    <w:name w:val="annotation reference"/>
    <w:basedOn w:val="DefaultParagraphFont"/>
    <w:rsid w:val="009D7126"/>
    <w:rPr>
      <w:sz w:val="16"/>
      <w:szCs w:val="16"/>
    </w:rPr>
  </w:style>
  <w:style w:type="paragraph" w:styleId="CommentText">
    <w:name w:val="annotation text"/>
    <w:basedOn w:val="Normal"/>
    <w:link w:val="CommentTextChar"/>
    <w:rsid w:val="009D7126"/>
    <w:pPr>
      <w:spacing w:after="120"/>
    </w:pPr>
    <w:rPr>
      <w:sz w:val="20"/>
    </w:rPr>
  </w:style>
  <w:style w:type="paragraph" w:styleId="CommentSubject">
    <w:name w:val="annotation subject"/>
    <w:basedOn w:val="CommentText"/>
    <w:next w:val="CommentText"/>
    <w:link w:val="CommentSubjectChar"/>
    <w:uiPriority w:val="99"/>
    <w:semiHidden/>
    <w:rsid w:val="009D7126"/>
    <w:rPr>
      <w:b/>
      <w:bCs/>
    </w:rPr>
  </w:style>
  <w:style w:type="paragraph" w:customStyle="1" w:styleId="CoverSheet">
    <w:name w:val="Cover Sheet"/>
    <w:basedOn w:val="Normal"/>
    <w:rsid w:val="009D7126"/>
    <w:pPr>
      <w:jc w:val="right"/>
    </w:pPr>
    <w:rPr>
      <w:rFonts w:ascii="Arial" w:hAnsi="Arial"/>
      <w:sz w:val="48"/>
    </w:rPr>
  </w:style>
  <w:style w:type="character" w:customStyle="1" w:styleId="CoverSheetSub-Title">
    <w:name w:val="Cover Sheet Sub-Title"/>
    <w:basedOn w:val="DefaultParagraphFont"/>
    <w:rsid w:val="009D7126"/>
    <w:rPr>
      <w:rFonts w:ascii="Arial" w:hAnsi="Arial"/>
      <w:sz w:val="40"/>
    </w:rPr>
  </w:style>
  <w:style w:type="paragraph" w:customStyle="1" w:styleId="CoverSheetTitleBold">
    <w:name w:val="Cover Sheet Title Bold"/>
    <w:basedOn w:val="Normal"/>
    <w:rsid w:val="009D7126"/>
    <w:pPr>
      <w:widowControl w:val="0"/>
      <w:spacing w:after="80"/>
      <w:jc w:val="right"/>
    </w:pPr>
    <w:rPr>
      <w:rFonts w:ascii="Arial" w:hAnsi="Arial"/>
      <w:b/>
      <w:bCs/>
      <w:sz w:val="56"/>
    </w:rPr>
  </w:style>
  <w:style w:type="paragraph" w:customStyle="1" w:styleId="CoverSheetAddress">
    <w:name w:val="CoverSheet Address"/>
    <w:basedOn w:val="Normal"/>
    <w:rsid w:val="009D7126"/>
    <w:pPr>
      <w:jc w:val="right"/>
    </w:pPr>
  </w:style>
  <w:style w:type="paragraph" w:customStyle="1" w:styleId="CoverSheetName">
    <w:name w:val="CoverSheet Name"/>
    <w:basedOn w:val="Normal"/>
    <w:uiPriority w:val="99"/>
    <w:rsid w:val="009D7126"/>
    <w:pPr>
      <w:ind w:left="360"/>
      <w:jc w:val="right"/>
    </w:pPr>
    <w:rPr>
      <w:b/>
      <w:bCs/>
    </w:rPr>
  </w:style>
  <w:style w:type="paragraph" w:customStyle="1" w:styleId="CoverSheetTitle">
    <w:name w:val="CoverSheet Title"/>
    <w:basedOn w:val="Normal"/>
    <w:rsid w:val="009D7126"/>
    <w:pPr>
      <w:widowControl w:val="0"/>
      <w:spacing w:after="80"/>
      <w:jc w:val="right"/>
    </w:pPr>
    <w:rPr>
      <w:rFonts w:ascii="Arial" w:hAnsi="Arial"/>
      <w:b/>
      <w:bCs/>
      <w:sz w:val="56"/>
    </w:rPr>
  </w:style>
  <w:style w:type="character" w:styleId="FollowedHyperlink">
    <w:name w:val="FollowedHyperlink"/>
    <w:basedOn w:val="DefaultParagraphFont"/>
    <w:uiPriority w:val="99"/>
    <w:rsid w:val="009D7126"/>
    <w:rPr>
      <w:color w:val="800080"/>
      <w:u w:val="single"/>
    </w:rPr>
  </w:style>
  <w:style w:type="paragraph" w:styleId="Footer">
    <w:name w:val="footer"/>
    <w:basedOn w:val="Normal"/>
    <w:link w:val="FooterChar"/>
    <w:uiPriority w:val="99"/>
    <w:rsid w:val="00E517C1"/>
    <w:pPr>
      <w:pBdr>
        <w:top w:val="single" w:sz="12" w:space="12" w:color="auto"/>
      </w:pBdr>
      <w:tabs>
        <w:tab w:val="center" w:pos="4320"/>
        <w:tab w:val="right" w:pos="8640"/>
      </w:tabs>
      <w:autoSpaceDE w:val="0"/>
      <w:autoSpaceDN w:val="0"/>
      <w:adjustRightInd w:val="0"/>
      <w:jc w:val="center"/>
    </w:pPr>
    <w:rPr>
      <w:sz w:val="22"/>
      <w:szCs w:val="22"/>
    </w:rPr>
  </w:style>
  <w:style w:type="paragraph" w:styleId="Header">
    <w:name w:val="header"/>
    <w:basedOn w:val="Normal"/>
    <w:link w:val="HeaderChar"/>
    <w:uiPriority w:val="99"/>
    <w:rsid w:val="009D7126"/>
    <w:pPr>
      <w:tabs>
        <w:tab w:val="center" w:pos="4320"/>
        <w:tab w:val="right" w:pos="8640"/>
      </w:tabs>
      <w:autoSpaceDE w:val="0"/>
      <w:autoSpaceDN w:val="0"/>
      <w:adjustRightInd w:val="0"/>
    </w:pPr>
    <w:rPr>
      <w:rFonts w:ascii="Arial Narrow" w:hAnsi="Arial Narrow"/>
      <w:sz w:val="20"/>
    </w:rPr>
  </w:style>
  <w:style w:type="paragraph" w:customStyle="1" w:styleId="NormalBullet">
    <w:name w:val="Normal Bullet"/>
    <w:basedOn w:val="Normal"/>
    <w:rsid w:val="009D7126"/>
    <w:pPr>
      <w:widowControl w:val="0"/>
      <w:numPr>
        <w:numId w:val="1"/>
      </w:numPr>
      <w:ind w:right="864"/>
    </w:pPr>
  </w:style>
  <w:style w:type="paragraph" w:customStyle="1" w:styleId="Heading2BulletText">
    <w:name w:val="Heading 2 Bullet Text"/>
    <w:basedOn w:val="NormalBullet"/>
    <w:rsid w:val="009D7126"/>
    <w:pPr>
      <w:numPr>
        <w:numId w:val="2"/>
      </w:numPr>
      <w:ind w:right="0"/>
    </w:pPr>
  </w:style>
  <w:style w:type="paragraph" w:styleId="ListNumber">
    <w:name w:val="List Number"/>
    <w:basedOn w:val="Normal"/>
    <w:rsid w:val="009D7126"/>
  </w:style>
  <w:style w:type="paragraph" w:customStyle="1" w:styleId="Heading2LetterList">
    <w:name w:val="Heading 2 Letter List"/>
    <w:basedOn w:val="ListNumber"/>
    <w:rsid w:val="009D7126"/>
    <w:pPr>
      <w:numPr>
        <w:numId w:val="3"/>
      </w:numPr>
    </w:pPr>
  </w:style>
  <w:style w:type="paragraph" w:customStyle="1" w:styleId="Heading2NumberedList">
    <w:name w:val="Heading 2 Numbered List"/>
    <w:basedOn w:val="Heading2BulletText"/>
    <w:rsid w:val="009D7126"/>
    <w:pPr>
      <w:numPr>
        <w:numId w:val="4"/>
      </w:numPr>
    </w:pPr>
  </w:style>
  <w:style w:type="paragraph" w:customStyle="1" w:styleId="Heading2Text">
    <w:name w:val="Heading 2 Text"/>
    <w:basedOn w:val="Normal"/>
    <w:rsid w:val="009D7126"/>
    <w:pPr>
      <w:ind w:left="432"/>
    </w:pPr>
  </w:style>
  <w:style w:type="numbering" w:customStyle="1" w:styleId="Heading3BulletText">
    <w:name w:val="Heading 3 Bullet Text"/>
    <w:basedOn w:val="NoList"/>
    <w:rsid w:val="009D7126"/>
    <w:pPr>
      <w:numPr>
        <w:numId w:val="5"/>
      </w:numPr>
    </w:pPr>
  </w:style>
  <w:style w:type="paragraph" w:customStyle="1" w:styleId="Heading3Text">
    <w:name w:val="Heading 3 Text"/>
    <w:basedOn w:val="Normal"/>
    <w:rsid w:val="00A50EB7"/>
    <w:pPr>
      <w:ind w:left="720"/>
    </w:pPr>
    <w:rPr>
      <w:b/>
    </w:rPr>
  </w:style>
  <w:style w:type="paragraph" w:customStyle="1" w:styleId="Heading3TextBold">
    <w:name w:val="Heading 3 Text Bold"/>
    <w:basedOn w:val="Heading3Text"/>
    <w:next w:val="Heading3Text"/>
    <w:rsid w:val="009D7126"/>
    <w:rPr>
      <w:b w:val="0"/>
    </w:rPr>
  </w:style>
  <w:style w:type="paragraph" w:customStyle="1" w:styleId="Heading4BulletText">
    <w:name w:val="Heading 4 Bullet Text"/>
    <w:basedOn w:val="Normal"/>
    <w:rsid w:val="009D7126"/>
    <w:pPr>
      <w:numPr>
        <w:numId w:val="6"/>
      </w:numPr>
    </w:pPr>
  </w:style>
  <w:style w:type="paragraph" w:customStyle="1" w:styleId="Heading4Text">
    <w:name w:val="Heading 4 Text"/>
    <w:basedOn w:val="Normal"/>
    <w:rsid w:val="009D7126"/>
    <w:pPr>
      <w:ind w:left="1008"/>
    </w:pPr>
  </w:style>
  <w:style w:type="paragraph" w:customStyle="1" w:styleId="Heading4TextBold">
    <w:name w:val="Heading 4 Text Bold"/>
    <w:basedOn w:val="Heading4Text"/>
    <w:next w:val="Heading4Text"/>
    <w:rsid w:val="009D7126"/>
    <w:rPr>
      <w:b/>
      <w:bCs/>
    </w:rPr>
  </w:style>
  <w:style w:type="paragraph" w:customStyle="1" w:styleId="Heading4TextUnderlinedBold">
    <w:name w:val="Heading 4 Text Underlined Bold"/>
    <w:basedOn w:val="Heading4Text"/>
    <w:next w:val="Heading4Text"/>
    <w:rsid w:val="009D7126"/>
    <w:rPr>
      <w:b/>
      <w:u w:val="single"/>
    </w:rPr>
  </w:style>
  <w:style w:type="paragraph" w:customStyle="1" w:styleId="Heading5Text">
    <w:name w:val="Heading 5 Text"/>
    <w:basedOn w:val="Normal"/>
    <w:rsid w:val="009D7126"/>
    <w:pPr>
      <w:ind w:left="1296"/>
    </w:pPr>
  </w:style>
  <w:style w:type="character" w:styleId="Hyperlink">
    <w:name w:val="Hyperlink"/>
    <w:basedOn w:val="DefaultParagraphFont"/>
    <w:uiPriority w:val="99"/>
    <w:rsid w:val="00C90C6E"/>
    <w:rPr>
      <w:color w:val="1F419A"/>
      <w:u w:val="single"/>
    </w:rPr>
  </w:style>
  <w:style w:type="character" w:customStyle="1" w:styleId="NormalBoldItalic">
    <w:name w:val="Normal Bold Italic"/>
    <w:basedOn w:val="DefaultParagraphFont"/>
    <w:rsid w:val="009D7126"/>
    <w:rPr>
      <w:rFonts w:ascii="Times New Roman" w:hAnsi="Times New Roman"/>
      <w:b/>
      <w:bCs/>
      <w:i/>
      <w:iCs/>
      <w:sz w:val="22"/>
    </w:rPr>
  </w:style>
  <w:style w:type="character" w:customStyle="1" w:styleId="InstructionBoxText">
    <w:name w:val="Instruction Box Text"/>
    <w:basedOn w:val="NormalBoldItalic"/>
    <w:rsid w:val="009D7126"/>
    <w:rPr>
      <w:rFonts w:ascii="Arial" w:hAnsi="Arial"/>
      <w:b/>
      <w:bCs/>
      <w:i/>
      <w:iCs/>
      <w:dstrike w:val="0"/>
      <w:sz w:val="20"/>
      <w:szCs w:val="20"/>
      <w:vertAlign w:val="baseline"/>
    </w:rPr>
  </w:style>
  <w:style w:type="paragraph" w:customStyle="1" w:styleId="Level1">
    <w:name w:val="Level 1"/>
    <w:semiHidden/>
    <w:rsid w:val="009D7126"/>
    <w:pPr>
      <w:autoSpaceDE w:val="0"/>
      <w:autoSpaceDN w:val="0"/>
      <w:adjustRightInd w:val="0"/>
      <w:ind w:left="720"/>
    </w:pPr>
    <w:rPr>
      <w:sz w:val="24"/>
      <w:szCs w:val="24"/>
    </w:rPr>
  </w:style>
  <w:style w:type="paragraph" w:customStyle="1" w:styleId="LogoPlacement">
    <w:name w:val="Logo Placement"/>
    <w:basedOn w:val="Normal"/>
    <w:rsid w:val="009D7126"/>
    <w:pPr>
      <w:widowControl w:val="0"/>
      <w:spacing w:after="80"/>
      <w:jc w:val="right"/>
    </w:pPr>
  </w:style>
  <w:style w:type="paragraph" w:customStyle="1" w:styleId="LogoPosition">
    <w:name w:val="LogoPosition"/>
    <w:basedOn w:val="Normal"/>
    <w:rsid w:val="009D7126"/>
    <w:pPr>
      <w:jc w:val="right"/>
    </w:pPr>
  </w:style>
  <w:style w:type="paragraph" w:customStyle="1" w:styleId="MainTitle">
    <w:name w:val="Main Title"/>
    <w:basedOn w:val="Normal"/>
    <w:rsid w:val="009D7126"/>
    <w:pPr>
      <w:spacing w:before="480" w:after="60"/>
      <w:jc w:val="center"/>
    </w:pPr>
    <w:rPr>
      <w:rFonts w:ascii="Arial" w:hAnsi="Arial"/>
      <w:b/>
      <w:kern w:val="28"/>
      <w:sz w:val="32"/>
    </w:rPr>
  </w:style>
  <w:style w:type="paragraph" w:customStyle="1" w:styleId="non-HeaderHeadline">
    <w:name w:val="non-Header Headline"/>
    <w:basedOn w:val="Normal"/>
    <w:rsid w:val="009D7126"/>
    <w:pPr>
      <w:autoSpaceDE w:val="0"/>
      <w:autoSpaceDN w:val="0"/>
      <w:adjustRightInd w:val="0"/>
    </w:pPr>
    <w:rPr>
      <w:b/>
      <w:bCs/>
      <w:sz w:val="32"/>
    </w:rPr>
  </w:style>
  <w:style w:type="character" w:customStyle="1" w:styleId="NormalBFC">
    <w:name w:val="Normal BFC"/>
    <w:basedOn w:val="DefaultParagraphFont"/>
    <w:rsid w:val="009D7126"/>
    <w:rPr>
      <w:rFonts w:ascii="Times New Roman" w:hAnsi="Times New Roman"/>
      <w:b/>
      <w:bCs/>
      <w:caps/>
      <w:sz w:val="22"/>
    </w:rPr>
  </w:style>
  <w:style w:type="paragraph" w:customStyle="1" w:styleId="NormalBFclc">
    <w:name w:val="Normal BFclc"/>
    <w:basedOn w:val="Normal"/>
    <w:rsid w:val="009D7126"/>
    <w:rPr>
      <w:b/>
    </w:rPr>
  </w:style>
  <w:style w:type="paragraph" w:customStyle="1" w:styleId="NormalBold">
    <w:name w:val="Normal Bold"/>
    <w:basedOn w:val="Normal"/>
    <w:rsid w:val="009D7126"/>
    <w:rPr>
      <w:b/>
    </w:rPr>
  </w:style>
  <w:style w:type="paragraph" w:customStyle="1" w:styleId="NormalBoldBullets">
    <w:name w:val="Normal Bold Bullets"/>
    <w:basedOn w:val="Normal"/>
    <w:semiHidden/>
    <w:rsid w:val="009D7126"/>
    <w:pPr>
      <w:widowControl w:val="0"/>
      <w:numPr>
        <w:numId w:val="8"/>
      </w:numPr>
      <w:spacing w:after="80"/>
    </w:pPr>
    <w:rPr>
      <w:b/>
    </w:rPr>
  </w:style>
  <w:style w:type="character" w:customStyle="1" w:styleId="NormalBoldUnderline">
    <w:name w:val="Normal Bold Underline"/>
    <w:basedOn w:val="DefaultParagraphFont"/>
    <w:rsid w:val="009D7126"/>
    <w:rPr>
      <w:rFonts w:ascii="Times New Roman" w:hAnsi="Times New Roman"/>
      <w:b/>
      <w:bCs/>
      <w:sz w:val="22"/>
      <w:u w:val="single"/>
    </w:rPr>
  </w:style>
  <w:style w:type="numbering" w:customStyle="1" w:styleId="NormalBulleted">
    <w:name w:val="Normal Bulleted"/>
    <w:basedOn w:val="NoList"/>
    <w:rsid w:val="009D7126"/>
    <w:pPr>
      <w:numPr>
        <w:numId w:val="9"/>
      </w:numPr>
    </w:pPr>
  </w:style>
  <w:style w:type="paragraph" w:styleId="NormalIndent">
    <w:name w:val="Normal Indent"/>
    <w:basedOn w:val="Normal"/>
    <w:rsid w:val="009D7126"/>
    <w:pPr>
      <w:ind w:left="900" w:hanging="900"/>
    </w:pPr>
  </w:style>
  <w:style w:type="character" w:customStyle="1" w:styleId="NormalItalic">
    <w:name w:val="Normal Italic"/>
    <w:basedOn w:val="DefaultParagraphFont"/>
    <w:rsid w:val="009D7126"/>
    <w:rPr>
      <w:rFonts w:ascii="Times New Roman" w:hAnsi="Times New Roman"/>
      <w:i/>
      <w:iCs/>
      <w:sz w:val="22"/>
    </w:rPr>
  </w:style>
  <w:style w:type="numbering" w:customStyle="1" w:styleId="NormalNumbered">
    <w:name w:val="Normal Numbered"/>
    <w:basedOn w:val="NoList"/>
    <w:rsid w:val="009D7126"/>
    <w:pPr>
      <w:numPr>
        <w:numId w:val="10"/>
      </w:numPr>
    </w:pPr>
  </w:style>
  <w:style w:type="paragraph" w:customStyle="1" w:styleId="NormalNumberedList">
    <w:name w:val="Normal Numbered List"/>
    <w:basedOn w:val="Normal"/>
    <w:semiHidden/>
    <w:rsid w:val="009D7126"/>
    <w:pPr>
      <w:numPr>
        <w:numId w:val="11"/>
      </w:numPr>
    </w:pPr>
  </w:style>
  <w:style w:type="character" w:customStyle="1" w:styleId="NormalUnderline">
    <w:name w:val="Normal Underline"/>
    <w:basedOn w:val="DefaultParagraphFont"/>
    <w:rsid w:val="009D7126"/>
    <w:rPr>
      <w:rFonts w:ascii="Times New Roman" w:hAnsi="Times New Roman"/>
      <w:sz w:val="22"/>
      <w:u w:val="single"/>
    </w:rPr>
  </w:style>
  <w:style w:type="paragraph" w:customStyle="1" w:styleId="NormalFR">
    <w:name w:val="Normal_FR"/>
    <w:basedOn w:val="Normal"/>
    <w:rsid w:val="009D7126"/>
    <w:pPr>
      <w:widowControl w:val="0"/>
      <w:autoSpaceDE w:val="0"/>
      <w:autoSpaceDN w:val="0"/>
      <w:adjustRightInd w:val="0"/>
      <w:ind w:left="360"/>
      <w:jc w:val="right"/>
    </w:pPr>
  </w:style>
  <w:style w:type="numbering" w:customStyle="1" w:styleId="NumberedList">
    <w:name w:val="Numbered List"/>
    <w:basedOn w:val="NoList"/>
    <w:rsid w:val="009D7126"/>
    <w:pPr>
      <w:numPr>
        <w:numId w:val="12"/>
      </w:numPr>
    </w:pPr>
  </w:style>
  <w:style w:type="character" w:styleId="PageNumber">
    <w:name w:val="page number"/>
    <w:basedOn w:val="DefaultParagraphFont"/>
    <w:uiPriority w:val="99"/>
    <w:rsid w:val="009D7126"/>
  </w:style>
  <w:style w:type="paragraph" w:styleId="PlainText">
    <w:name w:val="Plain Text"/>
    <w:basedOn w:val="Normal"/>
    <w:link w:val="PlainTextChar"/>
    <w:rsid w:val="009D7126"/>
    <w:rPr>
      <w:rFonts w:ascii="Courier New" w:hAnsi="Courier New" w:cs="Courier New"/>
      <w:sz w:val="20"/>
    </w:rPr>
  </w:style>
  <w:style w:type="paragraph" w:customStyle="1" w:styleId="StyleHeading3TextBold">
    <w:name w:val="Style Heading 3 Text  Bold"/>
    <w:basedOn w:val="Normal"/>
    <w:rsid w:val="009D7126"/>
    <w:pPr>
      <w:spacing w:before="60" w:after="60"/>
      <w:ind w:left="720"/>
    </w:pPr>
    <w:rPr>
      <w:b/>
      <w:bCs/>
    </w:rPr>
  </w:style>
  <w:style w:type="paragraph" w:styleId="Subtitle">
    <w:name w:val="Subtitle"/>
    <w:basedOn w:val="Normal"/>
    <w:qFormat/>
    <w:rsid w:val="009D7126"/>
    <w:pPr>
      <w:spacing w:after="60"/>
      <w:jc w:val="center"/>
    </w:pPr>
    <w:rPr>
      <w:rFonts w:ascii="Arial" w:hAnsi="Arial"/>
      <w:i/>
      <w:sz w:val="36"/>
      <w:lang w:val="en-AU"/>
    </w:rPr>
  </w:style>
  <w:style w:type="table" w:styleId="TableGrid">
    <w:name w:val="Table Grid"/>
    <w:aliases w:val="aMEPS,Orange Table"/>
    <w:basedOn w:val="TableNormal"/>
    <w:uiPriority w:val="39"/>
    <w:rsid w:val="009D4F3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jc w:val="center"/>
      </w:pPr>
      <w:tblPr/>
      <w:tcPr>
        <w:shd w:val="clear" w:color="auto" w:fill="BFBFBF"/>
        <w:vAlign w:val="bottom"/>
      </w:tcPr>
    </w:tblStylePr>
  </w:style>
  <w:style w:type="paragraph" w:customStyle="1" w:styleId="TableHeaders">
    <w:name w:val="Table Headers"/>
    <w:basedOn w:val="Normal"/>
    <w:link w:val="TableHeadersChar"/>
    <w:qFormat/>
    <w:rsid w:val="009D7126"/>
    <w:pPr>
      <w:keepNext/>
      <w:spacing w:before="80" w:after="80" w:line="240" w:lineRule="exact"/>
      <w:jc w:val="center"/>
    </w:pPr>
    <w:rPr>
      <w:rFonts w:ascii="Arial" w:hAnsi="Arial"/>
      <w:b/>
      <w:snapToGrid w:val="0"/>
      <w:sz w:val="20"/>
    </w:rPr>
  </w:style>
  <w:style w:type="paragraph" w:customStyle="1" w:styleId="TableHeading">
    <w:name w:val="Table Heading"/>
    <w:basedOn w:val="Normal"/>
    <w:link w:val="TableHeadingChar"/>
    <w:rsid w:val="00356CD1"/>
    <w:pPr>
      <w:widowControl w:val="0"/>
      <w:spacing w:before="20" w:after="20"/>
      <w:jc w:val="center"/>
    </w:pPr>
    <w:rPr>
      <w:rFonts w:eastAsia="Calibri"/>
      <w:b/>
      <w:sz w:val="20"/>
    </w:rPr>
  </w:style>
  <w:style w:type="paragraph" w:styleId="TableofFigures">
    <w:name w:val="table of figures"/>
    <w:basedOn w:val="Normal"/>
    <w:next w:val="Normal"/>
    <w:autoRedefine/>
    <w:uiPriority w:val="99"/>
    <w:rsid w:val="003A77D6"/>
    <w:pPr>
      <w:tabs>
        <w:tab w:val="left" w:pos="1800"/>
        <w:tab w:val="right" w:leader="dot" w:pos="9360"/>
      </w:tabs>
      <w:spacing w:before="120"/>
      <w:ind w:left="994" w:right="720" w:hanging="994"/>
    </w:pPr>
    <w:rPr>
      <w:noProof/>
      <w:szCs w:val="24"/>
    </w:rPr>
  </w:style>
  <w:style w:type="paragraph" w:customStyle="1" w:styleId="TableText">
    <w:name w:val="Table Text"/>
    <w:basedOn w:val="Normal"/>
    <w:link w:val="TableTextChar"/>
    <w:rsid w:val="007A4CF4"/>
    <w:pPr>
      <w:widowControl w:val="0"/>
      <w:spacing w:before="20" w:after="20"/>
    </w:pPr>
    <w:rPr>
      <w:rFonts w:asciiTheme="majorBidi" w:eastAsia="Calibri" w:hAnsiTheme="majorBidi" w:cstheme="majorBidi"/>
      <w:sz w:val="20"/>
    </w:rPr>
  </w:style>
  <w:style w:type="paragraph" w:customStyle="1" w:styleId="TableTextHyperlink">
    <w:name w:val="Table Text Hyperlink"/>
    <w:basedOn w:val="TableText"/>
    <w:rsid w:val="009D7126"/>
    <w:rPr>
      <w:rFonts w:cs="Arial"/>
      <w:bCs/>
      <w:color w:val="0000FF"/>
      <w:sz w:val="18"/>
      <w:szCs w:val="18"/>
      <w:u w:val="single"/>
    </w:rPr>
  </w:style>
  <w:style w:type="paragraph" w:styleId="Title">
    <w:name w:val="Title"/>
    <w:aliases w:val="Exhibit"/>
    <w:basedOn w:val="Normal"/>
    <w:next w:val="Normal"/>
    <w:link w:val="TitleChar"/>
    <w:uiPriority w:val="10"/>
    <w:qFormat/>
    <w:rsid w:val="004C7275"/>
    <w:pPr>
      <w:keepNext/>
      <w:keepLines/>
      <w:spacing w:before="240" w:after="120"/>
      <w:ind w:left="1440" w:hanging="1440"/>
    </w:pPr>
    <w:rPr>
      <w:rFonts w:ascii="Arial" w:hAnsi="Arial"/>
      <w:b/>
    </w:rPr>
  </w:style>
  <w:style w:type="paragraph" w:customStyle="1" w:styleId="ExhibitTitle">
    <w:name w:val="Exhibit Title"/>
    <w:basedOn w:val="Title"/>
    <w:rsid w:val="00FD4A4F"/>
    <w:pPr>
      <w:ind w:left="1530" w:hanging="1530"/>
    </w:pPr>
    <w:rPr>
      <w:bCs/>
    </w:rPr>
  </w:style>
  <w:style w:type="paragraph" w:customStyle="1" w:styleId="TextHeading">
    <w:name w:val="Text Heading"/>
    <w:basedOn w:val="TableHeading"/>
    <w:semiHidden/>
    <w:rsid w:val="009D7126"/>
  </w:style>
  <w:style w:type="paragraph" w:styleId="TOC1">
    <w:name w:val="toc 1"/>
    <w:basedOn w:val="Normal"/>
    <w:next w:val="Normal"/>
    <w:uiPriority w:val="39"/>
    <w:qFormat/>
    <w:rsid w:val="006939F0"/>
    <w:pPr>
      <w:tabs>
        <w:tab w:val="right" w:leader="dot" w:pos="9350"/>
      </w:tabs>
      <w:spacing w:before="240"/>
      <w:ind w:left="540" w:right="720" w:hanging="540"/>
    </w:pPr>
    <w:rPr>
      <w:b/>
      <w:noProof/>
      <w:sz w:val="28"/>
      <w:szCs w:val="24"/>
    </w:rPr>
  </w:style>
  <w:style w:type="paragraph" w:styleId="TOC2">
    <w:name w:val="toc 2"/>
    <w:basedOn w:val="Normal"/>
    <w:next w:val="Normal"/>
    <w:uiPriority w:val="39"/>
    <w:qFormat/>
    <w:rsid w:val="006939F0"/>
    <w:pPr>
      <w:tabs>
        <w:tab w:val="right" w:leader="dot" w:pos="9350"/>
      </w:tabs>
      <w:ind w:left="1080" w:right="720" w:hanging="540"/>
    </w:pPr>
    <w:rPr>
      <w:noProof/>
      <w:szCs w:val="22"/>
    </w:rPr>
  </w:style>
  <w:style w:type="paragraph" w:styleId="TOC3">
    <w:name w:val="toc 3"/>
    <w:basedOn w:val="Normal"/>
    <w:next w:val="Normal"/>
    <w:uiPriority w:val="39"/>
    <w:qFormat/>
    <w:rsid w:val="006939F0"/>
    <w:pPr>
      <w:tabs>
        <w:tab w:val="right" w:leader="dot" w:pos="9350"/>
      </w:tabs>
      <w:ind w:left="1800" w:right="720" w:hanging="720"/>
    </w:pPr>
    <w:rPr>
      <w:noProof/>
      <w:szCs w:val="22"/>
    </w:rPr>
  </w:style>
  <w:style w:type="paragraph" w:styleId="TOC4">
    <w:name w:val="toc 4"/>
    <w:basedOn w:val="Normal"/>
    <w:next w:val="Normal"/>
    <w:uiPriority w:val="39"/>
    <w:rsid w:val="009D7126"/>
    <w:pPr>
      <w:ind w:left="600"/>
    </w:pPr>
    <w:rPr>
      <w:szCs w:val="21"/>
    </w:rPr>
  </w:style>
  <w:style w:type="paragraph" w:styleId="TOC5">
    <w:name w:val="toc 5"/>
    <w:aliases w:val="toc tab/fig"/>
    <w:basedOn w:val="Normal"/>
    <w:next w:val="Normal"/>
    <w:uiPriority w:val="39"/>
    <w:rsid w:val="009D7126"/>
    <w:pPr>
      <w:ind w:left="800"/>
    </w:pPr>
    <w:rPr>
      <w:szCs w:val="21"/>
    </w:rPr>
  </w:style>
  <w:style w:type="paragraph" w:styleId="TOC6">
    <w:name w:val="toc 6"/>
    <w:basedOn w:val="Normal"/>
    <w:next w:val="Normal"/>
    <w:uiPriority w:val="39"/>
    <w:rsid w:val="009D7126"/>
    <w:pPr>
      <w:ind w:left="1000"/>
    </w:pPr>
    <w:rPr>
      <w:szCs w:val="21"/>
    </w:rPr>
  </w:style>
  <w:style w:type="paragraph" w:styleId="TOC7">
    <w:name w:val="toc 7"/>
    <w:basedOn w:val="Normal"/>
    <w:next w:val="Normal"/>
    <w:uiPriority w:val="39"/>
    <w:rsid w:val="009D7126"/>
    <w:pPr>
      <w:ind w:left="1200"/>
    </w:pPr>
    <w:rPr>
      <w:szCs w:val="21"/>
    </w:rPr>
  </w:style>
  <w:style w:type="paragraph" w:styleId="TOC8">
    <w:name w:val="toc 8"/>
    <w:basedOn w:val="Normal"/>
    <w:next w:val="Normal"/>
    <w:uiPriority w:val="39"/>
    <w:rsid w:val="009D7126"/>
    <w:pPr>
      <w:ind w:left="1400"/>
    </w:pPr>
    <w:rPr>
      <w:szCs w:val="21"/>
    </w:rPr>
  </w:style>
  <w:style w:type="paragraph" w:styleId="TOC9">
    <w:name w:val="toc 9"/>
    <w:basedOn w:val="Normal"/>
    <w:next w:val="Normal"/>
    <w:uiPriority w:val="39"/>
    <w:rsid w:val="009D7126"/>
    <w:pPr>
      <w:ind w:left="1600"/>
    </w:pPr>
    <w:rPr>
      <w:szCs w:val="21"/>
    </w:rPr>
  </w:style>
  <w:style w:type="paragraph" w:customStyle="1" w:styleId="Version">
    <w:name w:val="Version #"/>
    <w:basedOn w:val="Normal"/>
    <w:rsid w:val="009D7126"/>
    <w:pPr>
      <w:jc w:val="right"/>
    </w:pPr>
    <w:rPr>
      <w:rFonts w:ascii="Arial" w:hAnsi="Arial"/>
      <w:b/>
      <w:bCs/>
    </w:rPr>
  </w:style>
  <w:style w:type="paragraph" w:styleId="BalloonText">
    <w:name w:val="Balloon Text"/>
    <w:basedOn w:val="Normal"/>
    <w:link w:val="BalloonTextChar"/>
    <w:uiPriority w:val="99"/>
    <w:rsid w:val="009D7126"/>
    <w:rPr>
      <w:rFonts w:ascii="Tahoma" w:hAnsi="Tahoma" w:cs="Tahoma"/>
      <w:sz w:val="16"/>
      <w:szCs w:val="16"/>
    </w:rPr>
  </w:style>
  <w:style w:type="character" w:customStyle="1" w:styleId="TableTextChar">
    <w:name w:val="Table Text Char"/>
    <w:basedOn w:val="DefaultParagraphFont"/>
    <w:link w:val="TableText"/>
    <w:rsid w:val="007A4CF4"/>
    <w:rPr>
      <w:rFonts w:asciiTheme="majorBidi" w:eastAsia="Calibri" w:hAnsiTheme="majorBidi" w:cstheme="majorBidi"/>
    </w:rPr>
  </w:style>
  <w:style w:type="paragraph" w:customStyle="1" w:styleId="bullets">
    <w:name w:val="bullets"/>
    <w:basedOn w:val="BodyText"/>
    <w:link w:val="bulletsChar"/>
    <w:rsid w:val="007A4CF4"/>
    <w:pPr>
      <w:numPr>
        <w:numId w:val="136"/>
      </w:numPr>
      <w:spacing w:after="80"/>
    </w:pPr>
  </w:style>
  <w:style w:type="paragraph" w:customStyle="1" w:styleId="Cov-Address">
    <w:name w:val="Cov-Address"/>
    <w:basedOn w:val="Normal"/>
    <w:rsid w:val="0008129D"/>
    <w:pPr>
      <w:jc w:val="right"/>
    </w:pPr>
    <w:rPr>
      <w:rFonts w:ascii="Arial" w:hAnsi="Arial"/>
    </w:rPr>
  </w:style>
  <w:style w:type="paragraph" w:styleId="BodyText">
    <w:name w:val="Body Text"/>
    <w:basedOn w:val="Normal"/>
    <w:link w:val="BodyTextChar1"/>
    <w:rsid w:val="00E75D33"/>
    <w:pPr>
      <w:spacing w:after="240"/>
    </w:pPr>
    <w:rPr>
      <w:rFonts w:cs="Arial"/>
      <w:bCs/>
    </w:rPr>
  </w:style>
  <w:style w:type="character" w:customStyle="1" w:styleId="BodyTextChar1">
    <w:name w:val="Body Text Char1"/>
    <w:basedOn w:val="DefaultParagraphFont"/>
    <w:link w:val="BodyText"/>
    <w:locked/>
    <w:rsid w:val="00E75D33"/>
    <w:rPr>
      <w:rFonts w:cs="Arial"/>
      <w:bCs/>
      <w:sz w:val="24"/>
    </w:rPr>
  </w:style>
  <w:style w:type="character" w:customStyle="1" w:styleId="CharChar">
    <w:name w:val="Char Char"/>
    <w:basedOn w:val="DefaultParagraphFont"/>
    <w:locked/>
    <w:rsid w:val="002C7E13"/>
    <w:rPr>
      <w:sz w:val="24"/>
      <w:lang w:val="en-US" w:eastAsia="en-US" w:bidi="ar-SA"/>
    </w:rPr>
  </w:style>
  <w:style w:type="paragraph" w:customStyle="1" w:styleId="StyleHeading2Left031Firstline0">
    <w:name w:val="Style Heading 2 + Left:  0.31&quot; First line:  0&quot;"/>
    <w:basedOn w:val="Heading2"/>
    <w:autoRedefine/>
    <w:rsid w:val="002C7E13"/>
    <w:pPr>
      <w:ind w:left="1440"/>
    </w:pPr>
    <w:rPr>
      <w:szCs w:val="20"/>
    </w:rPr>
  </w:style>
  <w:style w:type="character" w:customStyle="1" w:styleId="Heading1Char">
    <w:name w:val="Heading 1 Char"/>
    <w:basedOn w:val="DefaultParagraphFont"/>
    <w:link w:val="Heading1"/>
    <w:locked/>
    <w:rsid w:val="00975A4F"/>
    <w:rPr>
      <w:rFonts w:ascii="Arial" w:hAnsi="Arial" w:cs="Arial"/>
      <w:b/>
      <w:bCs/>
      <w:kern w:val="32"/>
      <w:sz w:val="40"/>
      <w:szCs w:val="28"/>
    </w:rPr>
  </w:style>
  <w:style w:type="character" w:customStyle="1" w:styleId="BodyTextChar">
    <w:name w:val="Body Text Char"/>
    <w:basedOn w:val="DefaultParagraphFont"/>
    <w:uiPriority w:val="99"/>
    <w:locked/>
    <w:rsid w:val="002C7E13"/>
    <w:rPr>
      <w:rFonts w:cs="Times New Roman"/>
      <w:b/>
      <w:sz w:val="24"/>
      <w:lang w:val="en-US" w:eastAsia="en-US" w:bidi="ar-SA"/>
    </w:rPr>
  </w:style>
  <w:style w:type="character" w:customStyle="1" w:styleId="TableHeadingChar">
    <w:name w:val="Table Heading Char"/>
    <w:basedOn w:val="DefaultParagraphFont"/>
    <w:link w:val="TableHeading"/>
    <w:rsid w:val="00356CD1"/>
    <w:rPr>
      <w:rFonts w:eastAsia="Calibri"/>
      <w:b/>
    </w:rPr>
  </w:style>
  <w:style w:type="character" w:customStyle="1" w:styleId="Heading2Char">
    <w:name w:val="Heading 2 Char"/>
    <w:aliases w:val="h2 Char"/>
    <w:basedOn w:val="Heading1Char"/>
    <w:link w:val="Heading2"/>
    <w:rsid w:val="00DD4425"/>
    <w:rPr>
      <w:rFonts w:ascii="Arial" w:hAnsi="Arial" w:cs="Arial"/>
      <w:b/>
      <w:bCs w:val="0"/>
      <w:kern w:val="28"/>
      <w:sz w:val="32"/>
      <w:szCs w:val="28"/>
    </w:rPr>
  </w:style>
  <w:style w:type="paragraph" w:customStyle="1" w:styleId="StyleHeading125ptRightBefore0Firstline0">
    <w:name w:val="Style Heading 1 + 25 pt Right Before:  0&quot; First line:  0&quot;"/>
    <w:basedOn w:val="Heading1"/>
    <w:autoRedefine/>
    <w:rsid w:val="007256AA"/>
    <w:pPr>
      <w:jc w:val="right"/>
    </w:pPr>
    <w:rPr>
      <w:sz w:val="50"/>
      <w:szCs w:val="50"/>
    </w:rPr>
  </w:style>
  <w:style w:type="paragraph" w:customStyle="1" w:styleId="StyleHeading125ptRightBefore0Firstline01">
    <w:name w:val="Style Heading 1 + 25 pt Right Before:  0&quot; First line:  0&quot;1"/>
    <w:basedOn w:val="Heading1"/>
    <w:rsid w:val="007256AA"/>
    <w:pPr>
      <w:jc w:val="right"/>
    </w:pPr>
    <w:rPr>
      <w:sz w:val="50"/>
      <w:szCs w:val="50"/>
    </w:rPr>
  </w:style>
  <w:style w:type="character" w:customStyle="1" w:styleId="FooterChar">
    <w:name w:val="Footer Char"/>
    <w:basedOn w:val="DefaultParagraphFont"/>
    <w:link w:val="Footer"/>
    <w:uiPriority w:val="99"/>
    <w:rsid w:val="00E517C1"/>
    <w:rPr>
      <w:sz w:val="22"/>
      <w:szCs w:val="22"/>
    </w:rPr>
  </w:style>
  <w:style w:type="character" w:customStyle="1" w:styleId="Heading3Char">
    <w:name w:val="Heading 3 Char"/>
    <w:basedOn w:val="DefaultParagraphFont"/>
    <w:link w:val="Heading3"/>
    <w:rsid w:val="008B12BD"/>
    <w:rPr>
      <w:rFonts w:ascii="Arial" w:hAnsi="Arial"/>
      <w:b/>
      <w:sz w:val="24"/>
    </w:rPr>
  </w:style>
  <w:style w:type="character" w:customStyle="1" w:styleId="PlainTextChar">
    <w:name w:val="Plain Text Char"/>
    <w:basedOn w:val="DefaultParagraphFont"/>
    <w:link w:val="PlainText"/>
    <w:uiPriority w:val="99"/>
    <w:rsid w:val="001C316A"/>
    <w:rPr>
      <w:rFonts w:ascii="Courier New" w:hAnsi="Courier New" w:cs="Courier New"/>
    </w:rPr>
  </w:style>
  <w:style w:type="paragraph" w:styleId="ListParagraph">
    <w:name w:val="List Paragraph"/>
    <w:basedOn w:val="Normal"/>
    <w:uiPriority w:val="34"/>
    <w:qFormat/>
    <w:rsid w:val="003935D5"/>
    <w:pPr>
      <w:ind w:left="1080" w:hanging="360"/>
      <w:contextualSpacing/>
    </w:pPr>
    <w:rPr>
      <w:rFonts w:eastAsia="Calibri"/>
      <w:szCs w:val="24"/>
    </w:rPr>
  </w:style>
  <w:style w:type="character" w:customStyle="1" w:styleId="HeaderChar">
    <w:name w:val="Header Char"/>
    <w:basedOn w:val="DefaultParagraphFont"/>
    <w:link w:val="Header"/>
    <w:uiPriority w:val="99"/>
    <w:rsid w:val="001C316A"/>
    <w:rPr>
      <w:rFonts w:ascii="Arial Narrow" w:hAnsi="Arial Narrow"/>
    </w:rPr>
  </w:style>
  <w:style w:type="character" w:customStyle="1" w:styleId="BalloonTextChar">
    <w:name w:val="Balloon Text Char"/>
    <w:basedOn w:val="DefaultParagraphFont"/>
    <w:link w:val="BalloonText"/>
    <w:uiPriority w:val="99"/>
    <w:rsid w:val="001C316A"/>
    <w:rPr>
      <w:rFonts w:ascii="Tahoma" w:hAnsi="Tahoma" w:cs="Tahoma"/>
      <w:sz w:val="16"/>
      <w:szCs w:val="16"/>
    </w:rPr>
  </w:style>
  <w:style w:type="paragraph" w:styleId="TOCHeading">
    <w:name w:val="TOC Heading"/>
    <w:basedOn w:val="Heading1"/>
    <w:next w:val="Normal"/>
    <w:uiPriority w:val="39"/>
    <w:unhideWhenUsed/>
    <w:qFormat/>
    <w:rsid w:val="001C316A"/>
    <w:pPr>
      <w:keepLines/>
      <w:spacing w:before="480" w:after="0" w:line="276" w:lineRule="auto"/>
      <w:outlineLvl w:val="9"/>
    </w:pPr>
    <w:rPr>
      <w:rFonts w:ascii="Cambria" w:hAnsi="Cambria" w:cs="Times New Roman"/>
      <w:color w:val="365F91"/>
      <w:kern w:val="0"/>
      <w:sz w:val="28"/>
    </w:rPr>
  </w:style>
  <w:style w:type="character" w:customStyle="1" w:styleId="Heading4Char">
    <w:name w:val="Heading 4 Char"/>
    <w:basedOn w:val="DefaultParagraphFont"/>
    <w:link w:val="Heading4"/>
    <w:rsid w:val="001C316A"/>
    <w:rPr>
      <w:rFonts w:ascii="Arial" w:hAnsi="Arial"/>
      <w:b/>
      <w:sz w:val="24"/>
    </w:rPr>
  </w:style>
  <w:style w:type="paragraph" w:styleId="BodyText2">
    <w:name w:val="Body Text 2"/>
    <w:basedOn w:val="BodyText"/>
    <w:link w:val="BodyText2Char"/>
    <w:rsid w:val="00DC45E7"/>
    <w:pPr>
      <w:spacing w:before="240"/>
    </w:pPr>
  </w:style>
  <w:style w:type="character" w:customStyle="1" w:styleId="BodyText2Char">
    <w:name w:val="Body Text 2 Char"/>
    <w:basedOn w:val="DefaultParagraphFont"/>
    <w:link w:val="BodyText2"/>
    <w:rsid w:val="00DC45E7"/>
    <w:rPr>
      <w:rFonts w:cs="Arial"/>
      <w:bCs/>
      <w:sz w:val="24"/>
    </w:rPr>
  </w:style>
  <w:style w:type="paragraph" w:styleId="BodyTextIndent">
    <w:name w:val="Body Text Indent"/>
    <w:basedOn w:val="Normal"/>
    <w:link w:val="BodyTextIndentChar"/>
    <w:rsid w:val="001C316A"/>
    <w:pPr>
      <w:ind w:left="1440" w:hanging="1440"/>
    </w:pPr>
    <w:rPr>
      <w:rFonts w:eastAsia="SimSun"/>
      <w:b/>
    </w:rPr>
  </w:style>
  <w:style w:type="character" w:customStyle="1" w:styleId="BodyTextIndentChar">
    <w:name w:val="Body Text Indent Char"/>
    <w:basedOn w:val="DefaultParagraphFont"/>
    <w:link w:val="BodyTextIndent"/>
    <w:rsid w:val="001C316A"/>
    <w:rPr>
      <w:rFonts w:eastAsia="SimSun"/>
      <w:b/>
      <w:sz w:val="24"/>
    </w:rPr>
  </w:style>
  <w:style w:type="paragraph" w:styleId="FootnoteText">
    <w:name w:val="footnote text"/>
    <w:aliases w:val="F1"/>
    <w:basedOn w:val="Normal"/>
    <w:link w:val="FootnoteTextChar"/>
    <w:uiPriority w:val="99"/>
    <w:rsid w:val="00BF54DE"/>
    <w:rPr>
      <w:sz w:val="18"/>
    </w:rPr>
  </w:style>
  <w:style w:type="character" w:customStyle="1" w:styleId="FootnoteTextChar">
    <w:name w:val="Footnote Text Char"/>
    <w:aliases w:val="F1 Char"/>
    <w:basedOn w:val="DefaultParagraphFont"/>
    <w:link w:val="FootnoteText"/>
    <w:uiPriority w:val="99"/>
    <w:rsid w:val="00BF54DE"/>
    <w:rPr>
      <w:sz w:val="18"/>
    </w:rPr>
  </w:style>
  <w:style w:type="character" w:styleId="FootnoteReference">
    <w:name w:val="footnote reference"/>
    <w:basedOn w:val="DefaultParagraphFont"/>
    <w:uiPriority w:val="99"/>
    <w:rsid w:val="00BF54DE"/>
    <w:rPr>
      <w:vertAlign w:val="superscript"/>
    </w:rPr>
  </w:style>
  <w:style w:type="character" w:customStyle="1" w:styleId="CommentTextChar">
    <w:name w:val="Comment Text Char"/>
    <w:basedOn w:val="DefaultParagraphFont"/>
    <w:link w:val="CommentText"/>
    <w:rsid w:val="00B817D3"/>
  </w:style>
  <w:style w:type="paragraph" w:customStyle="1" w:styleId="ExhibitTitlecontinued">
    <w:name w:val="Exhibit Title continued"/>
    <w:basedOn w:val="ExhibitTitle"/>
    <w:qFormat/>
    <w:rsid w:val="00F4179D"/>
    <w:pPr>
      <w:pageBreakBefore/>
    </w:pPr>
  </w:style>
  <w:style w:type="character" w:customStyle="1" w:styleId="CharChar1">
    <w:name w:val="Char Char1"/>
    <w:basedOn w:val="DefaultParagraphFont"/>
    <w:locked/>
    <w:rsid w:val="00FC7943"/>
    <w:rPr>
      <w:sz w:val="24"/>
      <w:lang w:val="en-US" w:eastAsia="en-US" w:bidi="ar-SA"/>
    </w:rPr>
  </w:style>
  <w:style w:type="character" w:customStyle="1" w:styleId="Variable">
    <w:name w:val="Variable"/>
    <w:rsid w:val="00757315"/>
    <w:rPr>
      <w:rFonts w:ascii="Times New Roman" w:hAnsi="Times New Roman"/>
      <w:b/>
      <w:color w:val="990033"/>
      <w:sz w:val="28"/>
      <w:szCs w:val="26"/>
    </w:rPr>
  </w:style>
  <w:style w:type="character" w:customStyle="1" w:styleId="VariableLabel">
    <w:name w:val="Variable Label"/>
    <w:rsid w:val="00757315"/>
    <w:rPr>
      <w:rFonts w:ascii="Times New Roman" w:hAnsi="Times New Roman"/>
      <w:b/>
      <w:color w:val="990033"/>
      <w:sz w:val="28"/>
      <w:szCs w:val="22"/>
    </w:rPr>
  </w:style>
  <w:style w:type="paragraph" w:styleId="Revision">
    <w:name w:val="Revision"/>
    <w:hidden/>
    <w:uiPriority w:val="99"/>
    <w:semiHidden/>
    <w:rsid w:val="007C25C2"/>
    <w:rPr>
      <w:sz w:val="22"/>
    </w:rPr>
  </w:style>
  <w:style w:type="character" w:customStyle="1" w:styleId="TitleChar">
    <w:name w:val="Title Char"/>
    <w:aliases w:val="Exhibit Char"/>
    <w:basedOn w:val="DefaultParagraphFont"/>
    <w:link w:val="Title"/>
    <w:uiPriority w:val="10"/>
    <w:rsid w:val="004C7275"/>
    <w:rPr>
      <w:rFonts w:ascii="Arial" w:hAnsi="Arial"/>
      <w:b/>
      <w:sz w:val="24"/>
    </w:rPr>
  </w:style>
  <w:style w:type="paragraph" w:customStyle="1" w:styleId="bullets-2ndlevel">
    <w:name w:val="bullets-2nd level"/>
    <w:basedOn w:val="Normal"/>
    <w:rsid w:val="00C76560"/>
    <w:pPr>
      <w:numPr>
        <w:ilvl w:val="1"/>
        <w:numId w:val="15"/>
      </w:numPr>
      <w:tabs>
        <w:tab w:val="clear" w:pos="2160"/>
      </w:tabs>
      <w:spacing w:after="60"/>
      <w:ind w:left="1440"/>
    </w:pPr>
  </w:style>
  <w:style w:type="paragraph" w:customStyle="1" w:styleId="TablebulletLM">
    <w:name w:val="Table bullet LM"/>
    <w:basedOn w:val="Normal"/>
    <w:qFormat/>
    <w:rsid w:val="002F0926"/>
    <w:pPr>
      <w:widowControl w:val="0"/>
      <w:numPr>
        <w:numId w:val="21"/>
      </w:numPr>
      <w:ind w:left="300" w:right="90" w:hanging="270"/>
    </w:pPr>
    <w:rPr>
      <w:rFonts w:asciiTheme="majorBidi" w:hAnsiTheme="majorBidi" w:cstheme="majorBidi"/>
      <w:sz w:val="20"/>
    </w:rPr>
  </w:style>
  <w:style w:type="paragraph" w:customStyle="1" w:styleId="Tablebullet-2">
    <w:name w:val="Table bullet-2"/>
    <w:basedOn w:val="bullets-2ndlevel"/>
    <w:qFormat/>
    <w:rsid w:val="005D01FB"/>
    <w:pPr>
      <w:ind w:left="604"/>
    </w:pPr>
    <w:rPr>
      <w:rFonts w:ascii="Arial" w:hAnsi="Arial"/>
      <w:sz w:val="20"/>
    </w:rPr>
  </w:style>
  <w:style w:type="paragraph" w:customStyle="1" w:styleId="tablecont">
    <w:name w:val="table_cont"/>
    <w:basedOn w:val="Normal"/>
    <w:qFormat/>
    <w:rsid w:val="00F4179D"/>
    <w:pPr>
      <w:jc w:val="right"/>
    </w:pPr>
    <w:rPr>
      <w:sz w:val="18"/>
    </w:rPr>
  </w:style>
  <w:style w:type="paragraph" w:customStyle="1" w:styleId="Sourcebullet">
    <w:name w:val="Source_bullet"/>
    <w:basedOn w:val="BodyText"/>
    <w:qFormat/>
    <w:rsid w:val="007A4CF4"/>
    <w:pPr>
      <w:numPr>
        <w:numId w:val="27"/>
      </w:numPr>
      <w:spacing w:after="0"/>
    </w:pPr>
    <w:rPr>
      <w:sz w:val="18"/>
    </w:rPr>
  </w:style>
  <w:style w:type="paragraph" w:customStyle="1" w:styleId="TableText-center">
    <w:name w:val="Table Text-center"/>
    <w:basedOn w:val="TableText"/>
    <w:qFormat/>
    <w:rsid w:val="00F4179D"/>
    <w:pPr>
      <w:jc w:val="center"/>
    </w:pPr>
  </w:style>
  <w:style w:type="paragraph" w:styleId="NoSpacing">
    <w:name w:val="No Spacing"/>
    <w:link w:val="NoSpacingChar"/>
    <w:uiPriority w:val="1"/>
    <w:qFormat/>
    <w:rsid w:val="008A7929"/>
    <w:rPr>
      <w:rFonts w:ascii="Calibri" w:hAnsi="Calibri" w:cs="Arial"/>
      <w:sz w:val="22"/>
      <w:szCs w:val="22"/>
    </w:rPr>
  </w:style>
  <w:style w:type="paragraph" w:customStyle="1" w:styleId="biblio">
    <w:name w:val="biblio"/>
    <w:basedOn w:val="Normal"/>
    <w:rsid w:val="00E47419"/>
    <w:pPr>
      <w:keepLines/>
      <w:spacing w:after="240"/>
      <w:ind w:left="720" w:hanging="720"/>
    </w:pPr>
    <w:rPr>
      <w:szCs w:val="22"/>
    </w:rPr>
  </w:style>
  <w:style w:type="paragraph" w:customStyle="1" w:styleId="Subheading">
    <w:name w:val="Subheading"/>
    <w:basedOn w:val="Heading3"/>
    <w:qFormat/>
    <w:rsid w:val="00DE6275"/>
    <w:rPr>
      <w:i/>
    </w:rPr>
  </w:style>
  <w:style w:type="character" w:customStyle="1" w:styleId="BodyTextChar2">
    <w:name w:val="Body Text Char2"/>
    <w:basedOn w:val="DefaultParagraphFont"/>
    <w:rsid w:val="00E75D33"/>
    <w:rPr>
      <w:sz w:val="24"/>
    </w:rPr>
  </w:style>
  <w:style w:type="character" w:styleId="PlaceholderText">
    <w:name w:val="Placeholder Text"/>
    <w:basedOn w:val="DefaultParagraphFont"/>
    <w:uiPriority w:val="99"/>
    <w:semiHidden/>
    <w:rsid w:val="00C719F6"/>
    <w:rPr>
      <w:color w:val="808080"/>
    </w:rPr>
  </w:style>
  <w:style w:type="paragraph" w:customStyle="1" w:styleId="Source-9-1">
    <w:name w:val="Source-9-1"/>
    <w:basedOn w:val="Normal"/>
    <w:rsid w:val="00950102"/>
    <w:pPr>
      <w:keepLines/>
      <w:spacing w:before="60" w:after="60"/>
    </w:pPr>
    <w:rPr>
      <w:rFonts w:eastAsia="Calibri"/>
      <w:sz w:val="18"/>
    </w:rPr>
  </w:style>
  <w:style w:type="paragraph" w:customStyle="1" w:styleId="bulletslast">
    <w:name w:val="bullets last"/>
    <w:basedOn w:val="bullets"/>
    <w:qFormat/>
    <w:rsid w:val="0058399B"/>
    <w:pPr>
      <w:numPr>
        <w:numId w:val="0"/>
      </w:numPr>
      <w:spacing w:after="240"/>
    </w:pPr>
  </w:style>
  <w:style w:type="table" w:customStyle="1" w:styleId="TableGrid1">
    <w:name w:val="Table Grid1"/>
    <w:basedOn w:val="TableNormal"/>
    <w:next w:val="TableGrid"/>
    <w:uiPriority w:val="39"/>
    <w:rsid w:val="00F40E5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40E5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40E5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D062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33B9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33B9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36E1"/>
    <w:rPr>
      <w:i/>
      <w:iCs/>
    </w:rPr>
  </w:style>
  <w:style w:type="character" w:customStyle="1" w:styleId="apple-converted-space">
    <w:name w:val="apple-converted-space"/>
    <w:basedOn w:val="DefaultParagraphFont"/>
    <w:rsid w:val="00AB36E1"/>
  </w:style>
  <w:style w:type="paragraph" w:customStyle="1" w:styleId="TOC0">
    <w:name w:val="TOC_0"/>
    <w:basedOn w:val="Normal"/>
    <w:qFormat/>
    <w:rsid w:val="00DC58AB"/>
    <w:pPr>
      <w:tabs>
        <w:tab w:val="left" w:leader="dot" w:pos="1980"/>
      </w:tabs>
      <w:spacing w:after="240"/>
      <w:jc w:val="center"/>
    </w:pPr>
    <w:rPr>
      <w:rFonts w:ascii="Arial" w:hAnsi="Arial" w:cs="Arial"/>
      <w:b/>
      <w:bCs/>
      <w:sz w:val="36"/>
      <w:szCs w:val="36"/>
    </w:rPr>
  </w:style>
  <w:style w:type="paragraph" w:customStyle="1" w:styleId="figure">
    <w:name w:val="figure"/>
    <w:basedOn w:val="Normal"/>
    <w:rsid w:val="00DC58AB"/>
    <w:pPr>
      <w:jc w:val="center"/>
    </w:pPr>
    <w:rPr>
      <w:rFonts w:ascii="Verdana" w:eastAsia="MS Mincho" w:hAnsi="Verdana"/>
      <w:sz w:val="20"/>
    </w:rPr>
  </w:style>
  <w:style w:type="paragraph" w:customStyle="1" w:styleId="figurebox">
    <w:name w:val="figure box"/>
    <w:basedOn w:val="Normal"/>
    <w:rsid w:val="00DC58AB"/>
    <w:pPr>
      <w:pBdr>
        <w:top w:val="single" w:sz="12" w:space="9" w:color="auto"/>
        <w:left w:val="single" w:sz="12" w:space="6" w:color="auto"/>
        <w:bottom w:val="single" w:sz="12" w:space="9" w:color="auto"/>
        <w:right w:val="single" w:sz="12" w:space="4" w:color="auto"/>
      </w:pBdr>
      <w:ind w:left="180" w:right="180"/>
      <w:jc w:val="center"/>
    </w:pPr>
    <w:rPr>
      <w:rFonts w:ascii="Verdana" w:eastAsia="MS Mincho" w:hAnsi="Verdana"/>
      <w:sz w:val="20"/>
    </w:rPr>
  </w:style>
  <w:style w:type="paragraph" w:customStyle="1" w:styleId="table-title">
    <w:name w:val="table-title"/>
    <w:basedOn w:val="Normal"/>
    <w:rsid w:val="00DC58AB"/>
    <w:pPr>
      <w:keepNext/>
      <w:keepLines/>
      <w:snapToGrid w:val="0"/>
      <w:spacing w:before="120" w:after="80"/>
      <w:ind w:left="1080" w:hanging="1080"/>
    </w:pPr>
    <w:rPr>
      <w:rFonts w:ascii="Arial" w:eastAsia="SimSun" w:hAnsi="Arial"/>
      <w:sz w:val="20"/>
      <w:szCs w:val="22"/>
    </w:rPr>
  </w:style>
  <w:style w:type="character" w:customStyle="1" w:styleId="table-title-bold">
    <w:name w:val="table-title-bold"/>
    <w:uiPriority w:val="1"/>
    <w:qFormat/>
    <w:rsid w:val="00DC58AB"/>
    <w:rPr>
      <w:rFonts w:ascii="Arial" w:hAnsi="Arial"/>
      <w:b/>
      <w:sz w:val="18"/>
      <w:lang w:eastAsia="en-US"/>
    </w:rPr>
  </w:style>
  <w:style w:type="paragraph" w:customStyle="1" w:styleId="bullets2col">
    <w:name w:val="bullets_2col"/>
    <w:basedOn w:val="bullets"/>
    <w:qFormat/>
    <w:rsid w:val="007A4CF4"/>
    <w:pPr>
      <w:numPr>
        <w:numId w:val="0"/>
      </w:numPr>
      <w:ind w:left="343"/>
    </w:pPr>
  </w:style>
  <w:style w:type="character" w:customStyle="1" w:styleId="UnresolvedMention1">
    <w:name w:val="Unresolved Mention1"/>
    <w:basedOn w:val="DefaultParagraphFont"/>
    <w:uiPriority w:val="99"/>
    <w:semiHidden/>
    <w:unhideWhenUsed/>
    <w:rsid w:val="00F21444"/>
    <w:rPr>
      <w:color w:val="808080"/>
      <w:shd w:val="clear" w:color="auto" w:fill="E6E6E6"/>
    </w:rPr>
  </w:style>
  <w:style w:type="paragraph" w:customStyle="1" w:styleId="aequ">
    <w:name w:val="aequ"/>
    <w:basedOn w:val="Normal"/>
    <w:qFormat/>
    <w:rsid w:val="00944BDD"/>
    <w:pPr>
      <w:spacing w:after="240"/>
      <w:jc w:val="center"/>
    </w:pPr>
  </w:style>
  <w:style w:type="paragraph" w:customStyle="1" w:styleId="BodyText-aft">
    <w:name w:val="Body Text-aft"/>
    <w:basedOn w:val="BodyText"/>
    <w:qFormat/>
    <w:rsid w:val="00944BDD"/>
    <w:pPr>
      <w:spacing w:before="240"/>
    </w:pPr>
  </w:style>
  <w:style w:type="paragraph" w:customStyle="1" w:styleId="awhere">
    <w:name w:val="awhere"/>
    <w:basedOn w:val="BodyText"/>
    <w:qFormat/>
    <w:rsid w:val="00944BDD"/>
    <w:pPr>
      <w:spacing w:after="120"/>
      <w:ind w:left="540" w:hanging="540"/>
    </w:pPr>
  </w:style>
  <w:style w:type="paragraph" w:customStyle="1" w:styleId="App-1">
    <w:name w:val="App-1"/>
    <w:basedOn w:val="Heading1"/>
    <w:qFormat/>
    <w:rsid w:val="00C0342F"/>
    <w:pPr>
      <w:numPr>
        <w:numId w:val="0"/>
      </w:numPr>
    </w:pPr>
  </w:style>
  <w:style w:type="paragraph" w:styleId="EndnoteText">
    <w:name w:val="endnote text"/>
    <w:basedOn w:val="Normal"/>
    <w:link w:val="EndnoteTextChar"/>
    <w:uiPriority w:val="99"/>
    <w:unhideWhenUsed/>
    <w:rsid w:val="00872DCF"/>
    <w:rPr>
      <w:sz w:val="20"/>
    </w:rPr>
  </w:style>
  <w:style w:type="character" w:customStyle="1" w:styleId="EndnoteTextChar">
    <w:name w:val="Endnote Text Char"/>
    <w:basedOn w:val="DefaultParagraphFont"/>
    <w:link w:val="EndnoteText"/>
    <w:uiPriority w:val="99"/>
    <w:rsid w:val="00872DCF"/>
  </w:style>
  <w:style w:type="character" w:styleId="EndnoteReference">
    <w:name w:val="endnote reference"/>
    <w:basedOn w:val="DefaultParagraphFont"/>
    <w:uiPriority w:val="99"/>
    <w:unhideWhenUsed/>
    <w:rsid w:val="00872DCF"/>
    <w:rPr>
      <w:vertAlign w:val="superscript"/>
    </w:rPr>
  </w:style>
  <w:style w:type="paragraph" w:customStyle="1" w:styleId="TableHeading-10">
    <w:name w:val="Table Heading-10"/>
    <w:basedOn w:val="Normal"/>
    <w:link w:val="TableHeading-10Char"/>
    <w:rsid w:val="0030099C"/>
    <w:pPr>
      <w:widowControl w:val="0"/>
      <w:spacing w:before="20" w:after="20"/>
      <w:jc w:val="center"/>
    </w:pPr>
    <w:rPr>
      <w:rFonts w:eastAsia="Calibri"/>
      <w:b/>
      <w:sz w:val="20"/>
    </w:rPr>
  </w:style>
  <w:style w:type="character" w:customStyle="1" w:styleId="TableHeading-10Char">
    <w:name w:val="Table Heading-10 Char"/>
    <w:basedOn w:val="DefaultParagraphFont"/>
    <w:link w:val="TableHeading-10"/>
    <w:rsid w:val="0030099C"/>
    <w:rPr>
      <w:rFonts w:eastAsia="Calibri"/>
      <w:b/>
    </w:rPr>
  </w:style>
  <w:style w:type="paragraph" w:customStyle="1" w:styleId="TableText-10">
    <w:name w:val="Table Text-10"/>
    <w:basedOn w:val="Normal"/>
    <w:link w:val="TableText-10Char"/>
    <w:rsid w:val="00E47419"/>
    <w:pPr>
      <w:widowControl w:val="0"/>
      <w:spacing w:before="20" w:after="20"/>
      <w:ind w:left="62"/>
    </w:pPr>
    <w:rPr>
      <w:rFonts w:asciiTheme="majorBidi" w:eastAsia="Calibri" w:hAnsiTheme="majorBidi" w:cstheme="majorBidi"/>
      <w:sz w:val="20"/>
    </w:rPr>
  </w:style>
  <w:style w:type="character" w:customStyle="1" w:styleId="TableText-10Char">
    <w:name w:val="Table Text-10 Char"/>
    <w:basedOn w:val="DefaultParagraphFont"/>
    <w:link w:val="TableText-10"/>
    <w:rsid w:val="00E47419"/>
    <w:rPr>
      <w:rFonts w:asciiTheme="majorBidi" w:eastAsia="Calibri" w:hAnsiTheme="majorBidi" w:cstheme="majorBidi"/>
    </w:rPr>
  </w:style>
  <w:style w:type="paragraph" w:customStyle="1" w:styleId="TableText-center-10">
    <w:name w:val="Table Text-center-10"/>
    <w:basedOn w:val="TableText-10"/>
    <w:qFormat/>
    <w:rsid w:val="0030099C"/>
    <w:pPr>
      <w:jc w:val="center"/>
    </w:pPr>
  </w:style>
  <w:style w:type="paragraph" w:customStyle="1" w:styleId="Source10">
    <w:name w:val="Source10"/>
    <w:basedOn w:val="Source-9-1"/>
    <w:qFormat/>
    <w:rsid w:val="00950102"/>
    <w:pPr>
      <w:spacing w:after="20"/>
    </w:pPr>
    <w:rPr>
      <w:sz w:val="20"/>
    </w:rPr>
  </w:style>
  <w:style w:type="paragraph" w:customStyle="1" w:styleId="TableHeading-12">
    <w:name w:val="Table Heading-12"/>
    <w:basedOn w:val="TableHeading-10"/>
    <w:qFormat/>
    <w:rsid w:val="00A322E7"/>
    <w:rPr>
      <w:sz w:val="24"/>
      <w:szCs w:val="24"/>
    </w:rPr>
  </w:style>
  <w:style w:type="paragraph" w:customStyle="1" w:styleId="TableText-12">
    <w:name w:val="Table Text-12"/>
    <w:basedOn w:val="TableText-10"/>
    <w:qFormat/>
    <w:rsid w:val="00A322E7"/>
    <w:rPr>
      <w:sz w:val="24"/>
      <w:szCs w:val="24"/>
    </w:rPr>
  </w:style>
  <w:style w:type="paragraph" w:customStyle="1" w:styleId="TableText-center-12">
    <w:name w:val="Table Text-center-12"/>
    <w:basedOn w:val="TableText-center-10"/>
    <w:qFormat/>
    <w:rsid w:val="00A322E7"/>
    <w:rPr>
      <w:sz w:val="24"/>
      <w:szCs w:val="24"/>
    </w:rPr>
  </w:style>
  <w:style w:type="paragraph" w:customStyle="1" w:styleId="Tabltext-dec-9">
    <w:name w:val="Tabl text-dec-9"/>
    <w:basedOn w:val="TableText-center-10"/>
    <w:qFormat/>
    <w:rsid w:val="00A322E7"/>
    <w:pPr>
      <w:tabs>
        <w:tab w:val="decimal" w:pos="360"/>
      </w:tabs>
      <w:jc w:val="left"/>
    </w:pPr>
  </w:style>
  <w:style w:type="paragraph" w:customStyle="1" w:styleId="table-bulletLM">
    <w:name w:val="table-bullet_LM"/>
    <w:basedOn w:val="Normal"/>
    <w:qFormat/>
    <w:rsid w:val="00A322E7"/>
    <w:pPr>
      <w:widowControl w:val="0"/>
      <w:numPr>
        <w:numId w:val="45"/>
      </w:numPr>
      <w:spacing w:before="40" w:after="40"/>
      <w:contextualSpacing/>
    </w:pPr>
    <w:rPr>
      <w:rFonts w:eastAsia="SimSun"/>
      <w:sz w:val="18"/>
      <w:lang w:eastAsia="zh-CN"/>
    </w:rPr>
  </w:style>
  <w:style w:type="paragraph" w:customStyle="1" w:styleId="TableText10-1">
    <w:name w:val="Table Text10-1"/>
    <w:basedOn w:val="TableText-10"/>
    <w:qFormat/>
    <w:rsid w:val="00E368C3"/>
    <w:pPr>
      <w:ind w:left="198"/>
    </w:pPr>
  </w:style>
  <w:style w:type="paragraph" w:customStyle="1" w:styleId="TableText-10-bold">
    <w:name w:val="Table Text-10-bold"/>
    <w:basedOn w:val="TableText-10"/>
    <w:qFormat/>
    <w:rsid w:val="00E368C3"/>
    <w:rPr>
      <w:b/>
    </w:rPr>
  </w:style>
  <w:style w:type="paragraph" w:customStyle="1" w:styleId="TableText10-2">
    <w:name w:val="Table Text10-2"/>
    <w:basedOn w:val="TableText10-1"/>
    <w:qFormat/>
    <w:rsid w:val="00E368C3"/>
    <w:pPr>
      <w:ind w:left="408"/>
    </w:pPr>
  </w:style>
  <w:style w:type="paragraph" w:customStyle="1" w:styleId="Tabletext-right-10">
    <w:name w:val="Table text-right-10"/>
    <w:basedOn w:val="Tabltext-dec-9"/>
    <w:qFormat/>
    <w:rsid w:val="00E368C3"/>
    <w:pPr>
      <w:tabs>
        <w:tab w:val="clear" w:pos="360"/>
      </w:tabs>
      <w:ind w:right="115"/>
      <w:jc w:val="right"/>
    </w:pPr>
  </w:style>
  <w:style w:type="paragraph" w:customStyle="1" w:styleId="Tabletext-dec-12">
    <w:name w:val="Table text-dec-12"/>
    <w:basedOn w:val="Tabltext-dec-9"/>
    <w:qFormat/>
    <w:rsid w:val="00E368C3"/>
    <w:pPr>
      <w:tabs>
        <w:tab w:val="clear" w:pos="360"/>
        <w:tab w:val="decimal" w:pos="834"/>
      </w:tabs>
    </w:pPr>
    <w:rPr>
      <w:sz w:val="24"/>
      <w:szCs w:val="24"/>
    </w:rPr>
  </w:style>
  <w:style w:type="character" w:customStyle="1" w:styleId="bulletsChar">
    <w:name w:val="bullets Char"/>
    <w:aliases w:val="bu Char"/>
    <w:basedOn w:val="DefaultParagraphFont"/>
    <w:link w:val="bullets"/>
    <w:rsid w:val="0016447C"/>
    <w:rPr>
      <w:rFonts w:cs="Arial"/>
      <w:bCs/>
      <w:sz w:val="24"/>
    </w:rPr>
  </w:style>
  <w:style w:type="paragraph" w:customStyle="1" w:styleId="a2colbul">
    <w:name w:val="a2col_bul"/>
    <w:basedOn w:val="bullets"/>
    <w:rsid w:val="0016447C"/>
    <w:pPr>
      <w:numPr>
        <w:numId w:val="16"/>
      </w:numPr>
      <w:tabs>
        <w:tab w:val="left" w:pos="720"/>
      </w:tabs>
      <w:spacing w:after="0"/>
      <w:ind w:left="342"/>
    </w:pPr>
    <w:rPr>
      <w:rFonts w:eastAsia="SimSun" w:cs="Times New Roman"/>
      <w:bCs w:val="0"/>
      <w:sz w:val="22"/>
      <w:szCs w:val="22"/>
      <w:lang w:eastAsia="zh-CN"/>
    </w:rPr>
  </w:style>
  <w:style w:type="character" w:customStyle="1" w:styleId="abolditalic">
    <w:name w:val="abold_italic"/>
    <w:qFormat/>
    <w:rsid w:val="0016447C"/>
    <w:rPr>
      <w:rFonts w:ascii="Times New Roman" w:hAnsi="Times New Roman"/>
      <w:b/>
      <w:i/>
      <w:sz w:val="22"/>
    </w:rPr>
  </w:style>
  <w:style w:type="paragraph" w:customStyle="1" w:styleId="aboxtxt">
    <w:name w:val="abox_txt"/>
    <w:basedOn w:val="Normal"/>
    <w:rsid w:val="0016447C"/>
    <w:pPr>
      <w:framePr w:hSpace="288" w:wrap="around" w:vAnchor="text" w:hAnchor="text" w:xAlign="right" w:y="1"/>
      <w:spacing w:before="60" w:after="60"/>
      <w:suppressOverlap/>
    </w:pPr>
    <w:rPr>
      <w:rFonts w:ascii="Arial" w:hAnsi="Arial"/>
      <w:sz w:val="18"/>
    </w:rPr>
  </w:style>
  <w:style w:type="paragraph" w:customStyle="1" w:styleId="aboxtitle">
    <w:name w:val="abox_title"/>
    <w:basedOn w:val="aboxtxt"/>
    <w:rsid w:val="0016447C"/>
    <w:pPr>
      <w:framePr w:wrap="around"/>
      <w:jc w:val="center"/>
    </w:pPr>
    <w:rPr>
      <w:b/>
    </w:rPr>
  </w:style>
  <w:style w:type="paragraph" w:customStyle="1" w:styleId="aboxtxtdia">
    <w:name w:val="abox_txt_dia"/>
    <w:basedOn w:val="Normal"/>
    <w:rsid w:val="0016447C"/>
    <w:pPr>
      <w:framePr w:hSpace="288" w:wrap="around" w:vAnchor="text" w:hAnchor="text" w:xAlign="right" w:y="1"/>
      <w:tabs>
        <w:tab w:val="left" w:pos="360"/>
      </w:tabs>
      <w:spacing w:after="20"/>
      <w:suppressOverlap/>
    </w:pPr>
    <w:rPr>
      <w:rFonts w:ascii="Arial" w:hAnsi="Arial"/>
      <w:sz w:val="18"/>
      <w:szCs w:val="18"/>
    </w:rPr>
  </w:style>
  <w:style w:type="paragraph" w:customStyle="1" w:styleId="agraph">
    <w:name w:val="agraph"/>
    <w:basedOn w:val="Normal"/>
    <w:rsid w:val="0016447C"/>
    <w:pPr>
      <w:keepNext/>
      <w:spacing w:before="60" w:after="60"/>
      <w:jc w:val="center"/>
    </w:pPr>
  </w:style>
  <w:style w:type="paragraph" w:customStyle="1" w:styleId="aexhital">
    <w:name w:val="aexh_ital"/>
    <w:basedOn w:val="agraph"/>
    <w:rsid w:val="0016447C"/>
    <w:pPr>
      <w:jc w:val="left"/>
    </w:pPr>
    <w:rPr>
      <w:i/>
    </w:rPr>
  </w:style>
  <w:style w:type="paragraph" w:customStyle="1" w:styleId="aft-0-0">
    <w:name w:val="aft-0-0"/>
    <w:basedOn w:val="BodyText"/>
    <w:qFormat/>
    <w:rsid w:val="0016447C"/>
    <w:pPr>
      <w:spacing w:after="60" w:line="360" w:lineRule="auto"/>
    </w:pPr>
    <w:rPr>
      <w:rFonts w:cs="Times New Roman"/>
      <w:bCs w:val="0"/>
      <w:iCs/>
      <w:color w:val="000000"/>
    </w:rPr>
  </w:style>
  <w:style w:type="paragraph" w:customStyle="1" w:styleId="bodytextpsg">
    <w:name w:val="body text_psg"/>
    <w:basedOn w:val="Normal"/>
    <w:link w:val="bodytextpsgChar"/>
    <w:rsid w:val="0016447C"/>
    <w:pPr>
      <w:spacing w:after="240" w:line="320" w:lineRule="exact"/>
      <w:ind w:firstLine="720"/>
    </w:pPr>
  </w:style>
  <w:style w:type="character" w:customStyle="1" w:styleId="bodytextpsgChar">
    <w:name w:val="body text_psg Char"/>
    <w:basedOn w:val="DefaultParagraphFont"/>
    <w:link w:val="bodytextpsg"/>
    <w:rsid w:val="0016447C"/>
    <w:rPr>
      <w:sz w:val="24"/>
    </w:rPr>
  </w:style>
  <w:style w:type="paragraph" w:customStyle="1" w:styleId="aft-12">
    <w:name w:val="aft-12"/>
    <w:basedOn w:val="bodytextpsg"/>
    <w:rsid w:val="0016447C"/>
    <w:pPr>
      <w:spacing w:before="240"/>
    </w:pPr>
  </w:style>
  <w:style w:type="table" w:customStyle="1" w:styleId="anewtable">
    <w:name w:val="anewtable"/>
    <w:basedOn w:val="TableNormal"/>
    <w:rsid w:val="0016447C"/>
    <w:tblPr/>
    <w:tblStylePr w:type="firstRow">
      <w:tblPr/>
      <w:tcPr>
        <w:shd w:val="clear" w:color="auto" w:fill="CCCCCC"/>
      </w:tcPr>
    </w:tblStylePr>
  </w:style>
  <w:style w:type="paragraph" w:customStyle="1" w:styleId="AppHeading1">
    <w:name w:val="App Heading 1"/>
    <w:basedOn w:val="Heading1Blue"/>
    <w:rsid w:val="0016447C"/>
    <w:pPr>
      <w:ind w:left="720" w:hanging="720"/>
    </w:pPr>
  </w:style>
  <w:style w:type="paragraph" w:customStyle="1" w:styleId="apptoc">
    <w:name w:val="app_toc"/>
    <w:basedOn w:val="TOC1"/>
    <w:rsid w:val="0016447C"/>
    <w:pPr>
      <w:tabs>
        <w:tab w:val="clear" w:pos="9350"/>
        <w:tab w:val="right" w:pos="9360"/>
      </w:tabs>
      <w:spacing w:before="0" w:after="100"/>
      <w:ind w:left="720" w:hanging="446"/>
    </w:pPr>
    <w:rPr>
      <w:rFonts w:eastAsia="SimSun"/>
      <w:noProof w:val="0"/>
      <w:color w:val="0A357E"/>
      <w:sz w:val="24"/>
      <w:szCs w:val="22"/>
      <w:lang w:eastAsia="zh-CN"/>
    </w:rPr>
  </w:style>
  <w:style w:type="paragraph" w:customStyle="1" w:styleId="atabbul">
    <w:name w:val="atab_bul"/>
    <w:basedOn w:val="Normal"/>
    <w:rsid w:val="0016447C"/>
    <w:pPr>
      <w:tabs>
        <w:tab w:val="left" w:pos="270"/>
      </w:tabs>
      <w:spacing w:line="200" w:lineRule="exact"/>
    </w:pPr>
    <w:rPr>
      <w:rFonts w:ascii="Arial" w:hAnsi="Arial"/>
      <w:sz w:val="18"/>
    </w:rPr>
  </w:style>
  <w:style w:type="paragraph" w:customStyle="1" w:styleId="atabtxt">
    <w:name w:val="atab_txt"/>
    <w:basedOn w:val="Normal"/>
    <w:rsid w:val="0016447C"/>
    <w:rPr>
      <w:rFonts w:ascii="Arial" w:hAnsi="Arial"/>
      <w:snapToGrid w:val="0"/>
    </w:rPr>
  </w:style>
  <w:style w:type="table" w:customStyle="1" w:styleId="athicktop">
    <w:name w:val="athick_top"/>
    <w:basedOn w:val="TableNormal"/>
    <w:rsid w:val="0016447C"/>
    <w:rPr>
      <w:rFonts w:ascii="Arial" w:eastAsiaTheme="minorHAnsi" w:hAnsi="Arial"/>
      <w:sz w:val="18"/>
      <w:szCs w:val="22"/>
    </w:rPr>
    <w:tblPr/>
    <w:tblStylePr w:type="firstRow">
      <w:rPr>
        <w:rFonts w:ascii="Arial" w:hAnsi="Arial"/>
        <w:sz w:val="18"/>
      </w:rPr>
      <w:tblPr/>
      <w:tcPr>
        <w:tcBorders>
          <w:top w:val="single" w:sz="12" w:space="0" w:color="auto"/>
          <w:bottom w:val="single" w:sz="6" w:space="0" w:color="auto"/>
        </w:tcBorders>
      </w:tcPr>
    </w:tblStylePr>
    <w:tblStylePr w:type="lastRow">
      <w:tblPr/>
      <w:tcPr>
        <w:tcBorders>
          <w:bottom w:val="single" w:sz="12" w:space="0" w:color="auto"/>
        </w:tcBorders>
      </w:tcPr>
    </w:tblStylePr>
  </w:style>
  <w:style w:type="paragraph" w:customStyle="1" w:styleId="CaptionText">
    <w:name w:val="Caption Text"/>
    <w:basedOn w:val="Normal"/>
    <w:qFormat/>
    <w:rsid w:val="0016447C"/>
    <w:pPr>
      <w:framePr w:hSpace="187" w:wrap="around" w:vAnchor="text" w:hAnchor="page" w:xAlign="right" w:y="15"/>
      <w:spacing w:before="120" w:after="120"/>
      <w:suppressOverlap/>
    </w:pPr>
    <w:rPr>
      <w:rFonts w:ascii="Arial" w:hAnsi="Arial" w:cs="Arial"/>
      <w:sz w:val="18"/>
      <w:szCs w:val="18"/>
    </w:rPr>
  </w:style>
  <w:style w:type="paragraph" w:customStyle="1" w:styleId="BodyTextaft-12">
    <w:name w:val="Body Text_aft-12"/>
    <w:basedOn w:val="Normal"/>
    <w:next w:val="BodyText"/>
    <w:qFormat/>
    <w:rsid w:val="0016447C"/>
    <w:pPr>
      <w:spacing w:before="240" w:after="120"/>
    </w:pPr>
  </w:style>
  <w:style w:type="paragraph" w:customStyle="1" w:styleId="bulletslast0">
    <w:name w:val="bullets_last"/>
    <w:basedOn w:val="bullets"/>
    <w:qFormat/>
    <w:rsid w:val="0016447C"/>
    <w:pPr>
      <w:numPr>
        <w:numId w:val="0"/>
      </w:numPr>
      <w:tabs>
        <w:tab w:val="left" w:pos="720"/>
      </w:tabs>
      <w:spacing w:after="120"/>
      <w:ind w:left="720" w:hanging="360"/>
    </w:pPr>
    <w:rPr>
      <w:rFonts w:eastAsia="SimSun" w:cs="Times New Roman"/>
      <w:bCs w:val="0"/>
      <w:sz w:val="22"/>
      <w:szCs w:val="22"/>
      <w:lang w:eastAsia="zh-CN"/>
    </w:rPr>
  </w:style>
  <w:style w:type="paragraph" w:customStyle="1" w:styleId="bullets-3rdlevel">
    <w:name w:val="bullets-3rd level"/>
    <w:basedOn w:val="bullets-2ndlevel"/>
    <w:rsid w:val="0016447C"/>
    <w:pPr>
      <w:numPr>
        <w:ilvl w:val="0"/>
        <w:numId w:val="47"/>
      </w:numPr>
      <w:tabs>
        <w:tab w:val="left" w:pos="1080"/>
      </w:tabs>
      <w:spacing w:after="80"/>
    </w:pPr>
  </w:style>
  <w:style w:type="paragraph" w:customStyle="1" w:styleId="bullets-blank">
    <w:name w:val="bullets-blank"/>
    <w:basedOn w:val="Normal"/>
    <w:rsid w:val="0016447C"/>
    <w:pPr>
      <w:spacing w:after="80"/>
      <w:ind w:left="720" w:hanging="360"/>
    </w:pPr>
  </w:style>
  <w:style w:type="paragraph" w:customStyle="1" w:styleId="Char1">
    <w:name w:val="Char1"/>
    <w:basedOn w:val="Normal"/>
    <w:semiHidden/>
    <w:rsid w:val="0016447C"/>
    <w:pPr>
      <w:spacing w:before="80" w:after="80"/>
      <w:ind w:left="4320"/>
      <w:jc w:val="both"/>
    </w:pPr>
    <w:rPr>
      <w:rFonts w:ascii="Arial" w:hAnsi="Arial"/>
      <w:szCs w:val="24"/>
    </w:rPr>
  </w:style>
  <w:style w:type="paragraph" w:customStyle="1" w:styleId="exhibitsource">
    <w:name w:val="exhibit source"/>
    <w:basedOn w:val="Normal"/>
    <w:rsid w:val="0016447C"/>
    <w:pPr>
      <w:keepLines/>
      <w:spacing w:before="60" w:after="240"/>
      <w:ind w:left="187" w:hanging="187"/>
    </w:pPr>
    <w:rPr>
      <w:rFonts w:ascii="Arial" w:hAnsi="Arial"/>
    </w:rPr>
  </w:style>
  <w:style w:type="paragraph" w:customStyle="1" w:styleId="ExhibitTitleContinued0">
    <w:name w:val="Exhibit Title Continued"/>
    <w:basedOn w:val="ExhibitTitle"/>
    <w:rsid w:val="00950102"/>
    <w:pPr>
      <w:pageBreakBefore/>
    </w:pPr>
  </w:style>
  <w:style w:type="numbering" w:customStyle="1" w:styleId="Format4508">
    <w:name w:val="Format4_508"/>
    <w:uiPriority w:val="99"/>
    <w:rsid w:val="0016447C"/>
    <w:pPr>
      <w:numPr>
        <w:numId w:val="51"/>
      </w:numPr>
    </w:pPr>
  </w:style>
  <w:style w:type="table" w:customStyle="1" w:styleId="Graytablecomplex">
    <w:name w:val="Gray_table_complex"/>
    <w:basedOn w:val="TableNormal"/>
    <w:rsid w:val="0016447C"/>
    <w:rPr>
      <w:rFonts w:ascii="Arial" w:eastAsiaTheme="minorHAnsi" w:hAnsi="Arial"/>
    </w:rPr>
    <w:tblPr>
      <w:tblBorders>
        <w:top w:val="single" w:sz="6" w:space="0" w:color="auto"/>
        <w:bottom w:val="single" w:sz="6" w:space="0" w:color="auto"/>
        <w:insideH w:val="single" w:sz="6" w:space="0" w:color="auto"/>
        <w:insideV w:val="single" w:sz="6" w:space="0" w:color="auto"/>
      </w:tblBorders>
    </w:tblPr>
    <w:tblStylePr w:type="firstRow">
      <w:pPr>
        <w:wordWrap/>
        <w:spacing w:beforeLines="0" w:before="0" w:beforeAutospacing="0" w:afterLines="0" w:after="0" w:afterAutospacing="0" w:line="240" w:lineRule="auto"/>
        <w:contextualSpacing w:val="0"/>
        <w:jc w:val="center"/>
      </w:pPr>
      <w:tblPr/>
      <w:tcPr>
        <w:tcBorders>
          <w:top w:val="single" w:sz="12" w:space="0" w:color="auto"/>
          <w:insideV w:val="single" w:sz="6" w:space="0" w:color="FFFFFF"/>
        </w:tcBorders>
        <w:shd w:val="clear" w:color="auto" w:fill="0A357E"/>
        <w:vAlign w:val="bottom"/>
      </w:tcPr>
    </w:tblStylePr>
    <w:tblStylePr w:type="lastRow">
      <w:tblPr/>
      <w:tcPr>
        <w:tcBorders>
          <w:top w:val="nil"/>
          <w:left w:val="nil"/>
          <w:bottom w:val="single" w:sz="12" w:space="0" w:color="auto"/>
          <w:right w:val="nil"/>
          <w:insideH w:val="nil"/>
          <w:insideV w:val="single" w:sz="6" w:space="0" w:color="auto"/>
        </w:tcBorders>
      </w:tcPr>
    </w:tblStylePr>
    <w:tblStylePr w:type="firstCol">
      <w:tblPr/>
      <w:tcPr>
        <w:shd w:val="clear" w:color="auto" w:fill="D9D9D9"/>
      </w:tcPr>
    </w:tblStylePr>
  </w:style>
  <w:style w:type="table" w:customStyle="1" w:styleId="Graytablesimple">
    <w:name w:val="Gray_table_simple"/>
    <w:basedOn w:val="TableNormal"/>
    <w:rsid w:val="0016447C"/>
    <w:pPr>
      <w:contextualSpacing/>
    </w:pPr>
    <w:rPr>
      <w:rFonts w:ascii="Arial" w:eastAsiaTheme="minorHAnsi" w:hAnsi="Arial"/>
      <w:sz w:val="22"/>
      <w:szCs w:val="22"/>
    </w:rPr>
    <w:tblPr>
      <w:tblBorders>
        <w:insideH w:val="single" w:sz="4" w:space="0" w:color="auto"/>
      </w:tblBorders>
      <w:tblCellMar>
        <w:top w:w="29" w:type="dxa"/>
        <w:left w:w="72" w:type="dxa"/>
        <w:right w:w="72" w:type="dxa"/>
      </w:tblCellMar>
    </w:tblPr>
    <w:trPr>
      <w:cantSplit/>
    </w:trPr>
    <w:tblStylePr w:type="firstRow">
      <w:pPr>
        <w:wordWrap/>
        <w:spacing w:beforeLines="0" w:beforeAutospacing="0" w:afterLines="0" w:afterAutospacing="0" w:line="240" w:lineRule="auto"/>
        <w:contextualSpacing w:val="0"/>
      </w:pPr>
      <w:rPr>
        <w:rFonts w:ascii="Arial" w:hAnsi="Arial"/>
        <w:sz w:val="20"/>
        <w:szCs w:val="20"/>
      </w:rPr>
      <w:tblPr/>
      <w:tcPr>
        <w:tcBorders>
          <w:top w:val="single" w:sz="12" w:space="0" w:color="auto"/>
          <w:bottom w:val="single" w:sz="6" w:space="0" w:color="auto"/>
        </w:tcBorders>
        <w:shd w:val="clear" w:color="auto" w:fill="0A387B"/>
        <w:vAlign w:val="bottom"/>
      </w:tcPr>
    </w:tblStylePr>
    <w:tblStylePr w:type="lastRow">
      <w:tblPr/>
      <w:tcPr>
        <w:tcBorders>
          <w:bottom w:val="single" w:sz="12" w:space="0" w:color="auto"/>
        </w:tcBorders>
      </w:tcPr>
    </w:tblStylePr>
    <w:tblStylePr w:type="firstCol">
      <w:tblPr/>
      <w:tcPr>
        <w:shd w:val="clear" w:color="auto" w:fill="D9D9D9"/>
      </w:tcPr>
    </w:tblStylePr>
  </w:style>
  <w:style w:type="paragraph" w:customStyle="1" w:styleId="Heading1Blue">
    <w:name w:val="Heading 1 Blue"/>
    <w:basedOn w:val="Heading1"/>
    <w:qFormat/>
    <w:rsid w:val="0016447C"/>
    <w:pPr>
      <w:numPr>
        <w:numId w:val="0"/>
      </w:numPr>
      <w:spacing w:before="120"/>
      <w:ind w:right="1347"/>
      <w:jc w:val="left"/>
      <w:outlineLvl w:val="9"/>
    </w:pPr>
    <w:rPr>
      <w:rFonts w:cs="Times New Roman"/>
      <w:bCs w:val="0"/>
      <w:color w:val="0A357E"/>
      <w:kern w:val="0"/>
      <w:sz w:val="32"/>
    </w:rPr>
  </w:style>
  <w:style w:type="character" w:customStyle="1" w:styleId="Heading5Char">
    <w:name w:val="Heading 5 Char"/>
    <w:link w:val="Heading5"/>
    <w:uiPriority w:val="9"/>
    <w:rsid w:val="0016447C"/>
    <w:rPr>
      <w:b/>
      <w:sz w:val="24"/>
    </w:rPr>
  </w:style>
  <w:style w:type="character" w:customStyle="1" w:styleId="Heading6Char">
    <w:name w:val="Heading 6 Char"/>
    <w:link w:val="Heading6"/>
    <w:rsid w:val="0016447C"/>
    <w:rPr>
      <w:b/>
      <w:bCs/>
      <w:sz w:val="24"/>
      <w:szCs w:val="24"/>
      <w:u w:val="single"/>
    </w:rPr>
  </w:style>
  <w:style w:type="character" w:customStyle="1" w:styleId="Heading7Char">
    <w:name w:val="Heading 7 Char"/>
    <w:link w:val="Heading7"/>
    <w:rsid w:val="000D0627"/>
    <w:rPr>
      <w:u w:val="single"/>
    </w:rPr>
  </w:style>
  <w:style w:type="character" w:customStyle="1" w:styleId="Heading8Char">
    <w:name w:val="Heading 8 Char"/>
    <w:link w:val="Heading8"/>
    <w:rsid w:val="0016447C"/>
    <w:rPr>
      <w:i/>
      <w:sz w:val="24"/>
    </w:rPr>
  </w:style>
  <w:style w:type="character" w:customStyle="1" w:styleId="Heading9Char">
    <w:name w:val="Heading 9 Char"/>
    <w:link w:val="Heading9"/>
    <w:rsid w:val="0016447C"/>
    <w:rPr>
      <w:b/>
      <w:i/>
      <w:sz w:val="18"/>
    </w:rPr>
  </w:style>
  <w:style w:type="table" w:customStyle="1" w:styleId="StandardBoldBorder">
    <w:name w:val="StandardBoldBorder"/>
    <w:basedOn w:val="TableNormal"/>
    <w:uiPriority w:val="99"/>
    <w:qFormat/>
    <w:rsid w:val="0016447C"/>
    <w:rPr>
      <w:rFonts w:ascii="Verdana" w:eastAsiaTheme="minorHAnsi" w:hAnsi="Verdana"/>
      <w:sz w:val="18"/>
    </w:rPr>
    <w:tblPr>
      <w:tblBorders>
        <w:top w:val="single" w:sz="12" w:space="0" w:color="auto"/>
        <w:bottom w:val="single" w:sz="12" w:space="0" w:color="000000"/>
      </w:tblBorders>
    </w:tblPr>
    <w:tblStylePr w:type="firstRow">
      <w:tblPr/>
      <w:tcPr>
        <w:tcBorders>
          <w:top w:val="single" w:sz="12" w:space="0" w:color="auto"/>
          <w:left w:val="nil"/>
          <w:bottom w:val="single" w:sz="6" w:space="0" w:color="000000"/>
          <w:right w:val="nil"/>
          <w:insideH w:val="nil"/>
          <w:insideV w:val="nil"/>
          <w:tl2br w:val="nil"/>
          <w:tr2bl w:val="nil"/>
        </w:tcBorders>
      </w:tcPr>
    </w:tblStylePr>
  </w:style>
  <w:style w:type="table" w:customStyle="1" w:styleId="Style1">
    <w:name w:val="Style1"/>
    <w:basedOn w:val="TableNormal"/>
    <w:uiPriority w:val="99"/>
    <w:rsid w:val="0016447C"/>
    <w:rPr>
      <w:rFonts w:ascii="Arial" w:eastAsiaTheme="minorHAnsi" w:hAnsi="Arial"/>
    </w:rPr>
    <w:tblPr/>
  </w:style>
  <w:style w:type="paragraph" w:customStyle="1" w:styleId="Tableheader">
    <w:name w:val="Table header"/>
    <w:basedOn w:val="Normal"/>
    <w:qFormat/>
    <w:rsid w:val="0016447C"/>
    <w:pPr>
      <w:spacing w:before="80" w:after="80"/>
      <w:jc w:val="center"/>
    </w:pPr>
    <w:rPr>
      <w:b/>
      <w:sz w:val="18"/>
    </w:rPr>
  </w:style>
  <w:style w:type="paragraph" w:customStyle="1" w:styleId="Tabletext1">
    <w:name w:val="Table text1"/>
    <w:basedOn w:val="Normal"/>
    <w:qFormat/>
    <w:rsid w:val="0016447C"/>
    <w:pPr>
      <w:spacing w:before="40" w:after="40"/>
    </w:pPr>
    <w:rPr>
      <w:sz w:val="18"/>
      <w:szCs w:val="18"/>
    </w:rPr>
  </w:style>
  <w:style w:type="paragraph" w:customStyle="1" w:styleId="Tableright">
    <w:name w:val="Table_right"/>
    <w:basedOn w:val="Tabletext0"/>
    <w:qFormat/>
    <w:rsid w:val="0016447C"/>
    <w:pPr>
      <w:framePr w:hSpace="180" w:wrap="around" w:vAnchor="text" w:hAnchor="margin" w:xAlign="right" w:y="266"/>
      <w:ind w:right="235"/>
      <w:suppressOverlap/>
      <w:jc w:val="right"/>
    </w:pPr>
  </w:style>
  <w:style w:type="paragraph" w:customStyle="1" w:styleId="TextboxBulletBlue">
    <w:name w:val="Textbox Bullet Blue"/>
    <w:basedOn w:val="ListParagraph"/>
    <w:qFormat/>
    <w:rsid w:val="0016447C"/>
    <w:pPr>
      <w:framePr w:hSpace="187" w:wrap="around" w:vAnchor="page" w:hAnchor="text" w:x="-1439" w:y="1441"/>
      <w:spacing w:after="120" w:line="259" w:lineRule="auto"/>
      <w:ind w:left="0" w:firstLine="0"/>
      <w:contextualSpacing w:val="0"/>
      <w:suppressOverlap/>
    </w:pPr>
    <w:rPr>
      <w:rFonts w:ascii="Arial" w:eastAsia="SimSun" w:hAnsi="Arial"/>
      <w:color w:val="0A357E"/>
      <w:sz w:val="18"/>
      <w:szCs w:val="22"/>
      <w:lang w:eastAsia="zh-CN"/>
    </w:rPr>
  </w:style>
  <w:style w:type="paragraph" w:customStyle="1" w:styleId="Textboxheading">
    <w:name w:val="Textbox heading"/>
    <w:basedOn w:val="Normal"/>
    <w:qFormat/>
    <w:rsid w:val="0016447C"/>
    <w:pPr>
      <w:framePr w:hSpace="187" w:wrap="around" w:vAnchor="text" w:hAnchor="page" w:x="7014" w:y="1"/>
      <w:spacing w:before="160" w:after="120" w:line="259" w:lineRule="auto"/>
      <w:suppressOverlap/>
    </w:pPr>
    <w:rPr>
      <w:rFonts w:ascii="Arial" w:hAnsi="Arial"/>
      <w:b/>
      <w:bCs/>
      <w:color w:val="00447C"/>
      <w:szCs w:val="24"/>
    </w:rPr>
  </w:style>
  <w:style w:type="paragraph" w:customStyle="1" w:styleId="TextboxText">
    <w:name w:val="Textbox Text"/>
    <w:basedOn w:val="TextboxBulletBlue"/>
    <w:qFormat/>
    <w:rsid w:val="0016447C"/>
    <w:pPr>
      <w:framePr w:wrap="around"/>
      <w:ind w:left="-18"/>
    </w:pPr>
  </w:style>
  <w:style w:type="paragraph" w:customStyle="1" w:styleId="TOC00">
    <w:name w:val="TOC 0"/>
    <w:basedOn w:val="Heading1Blue"/>
    <w:rsid w:val="0016447C"/>
    <w:pPr>
      <w:ind w:left="720" w:hanging="720"/>
    </w:pPr>
  </w:style>
  <w:style w:type="paragraph" w:customStyle="1" w:styleId="TOCHeader">
    <w:name w:val="TOC Header"/>
    <w:basedOn w:val="Normal"/>
    <w:rsid w:val="0016447C"/>
    <w:pPr>
      <w:keepNext/>
      <w:keepLines/>
      <w:tabs>
        <w:tab w:val="right" w:pos="9360"/>
      </w:tabs>
      <w:spacing w:before="240" w:after="240"/>
    </w:pPr>
    <w:rPr>
      <w:b/>
    </w:rPr>
  </w:style>
  <w:style w:type="paragraph" w:customStyle="1" w:styleId="TOCHeaderApp">
    <w:name w:val="TOC Header App"/>
    <w:basedOn w:val="TOCHeader"/>
    <w:rsid w:val="0016447C"/>
    <w:pPr>
      <w:spacing w:after="120"/>
    </w:pPr>
  </w:style>
  <w:style w:type="paragraph" w:customStyle="1" w:styleId="TOCapp">
    <w:name w:val="TOC_app"/>
    <w:basedOn w:val="Basetext"/>
    <w:rsid w:val="0016447C"/>
    <w:pPr>
      <w:tabs>
        <w:tab w:val="right" w:leader="dot" w:pos="9346"/>
      </w:tabs>
      <w:spacing w:before="60"/>
      <w:ind w:left="720" w:right="778" w:hanging="389"/>
    </w:pPr>
  </w:style>
  <w:style w:type="paragraph" w:customStyle="1" w:styleId="app-heading1">
    <w:name w:val="app-heading_1"/>
    <w:basedOn w:val="Baseheading"/>
    <w:rsid w:val="0016447C"/>
    <w:pPr>
      <w:keepNext/>
      <w:spacing w:before="120" w:after="120"/>
      <w:ind w:left="2088" w:right="1440" w:hanging="2088"/>
    </w:pPr>
    <w:rPr>
      <w:b/>
      <w:color w:val="0A357E"/>
      <w:sz w:val="32"/>
    </w:rPr>
  </w:style>
  <w:style w:type="paragraph" w:customStyle="1" w:styleId="TextboxBulletBlue-2">
    <w:name w:val="Textbox Bullet Blue-2"/>
    <w:basedOn w:val="Tablebullet2nd"/>
    <w:qFormat/>
    <w:rsid w:val="0016447C"/>
    <w:pPr>
      <w:ind w:left="425" w:hanging="216"/>
    </w:pPr>
    <w:rPr>
      <w:color w:val="0A357E"/>
    </w:rPr>
  </w:style>
  <w:style w:type="paragraph" w:customStyle="1" w:styleId="abold">
    <w:name w:val="abold"/>
    <w:basedOn w:val="ExhibitTitle"/>
    <w:link w:val="aboldChar"/>
    <w:qFormat/>
    <w:rsid w:val="0016447C"/>
    <w:pPr>
      <w:framePr w:hSpace="180" w:wrap="around" w:vAnchor="text" w:hAnchor="text" w:xAlign="right" w:y="1"/>
      <w:suppressOverlap/>
    </w:pPr>
    <w:rPr>
      <w:b w:val="0"/>
    </w:rPr>
  </w:style>
  <w:style w:type="character" w:customStyle="1" w:styleId="aboldChar">
    <w:name w:val="abold Char"/>
    <w:basedOn w:val="DefaultParagraphFont"/>
    <w:link w:val="abold"/>
    <w:rsid w:val="0016447C"/>
    <w:rPr>
      <w:rFonts w:ascii="Arial" w:hAnsi="Arial"/>
      <w:bCs/>
      <w:sz w:val="24"/>
    </w:rPr>
  </w:style>
  <w:style w:type="paragraph" w:customStyle="1" w:styleId="AppHeadingSub1">
    <w:name w:val="App Heading Sub1"/>
    <w:basedOn w:val="AppHeading1"/>
    <w:qFormat/>
    <w:rsid w:val="0016447C"/>
    <w:pPr>
      <w:pBdr>
        <w:top w:val="thinThickLargeGap" w:sz="8" w:space="6" w:color="0A357E"/>
        <w:left w:val="thinThickLargeGap" w:sz="8" w:space="4" w:color="0A357E"/>
        <w:bottom w:val="thickThinLargeGap" w:sz="8" w:space="6" w:color="0A357E"/>
        <w:right w:val="thickThinLargeGap" w:sz="8" w:space="4" w:color="0A357E"/>
      </w:pBdr>
      <w:spacing w:before="240" w:after="240" w:line="360" w:lineRule="exact"/>
      <w:ind w:left="0" w:right="0" w:firstLine="0"/>
      <w:jc w:val="center"/>
      <w:outlineLvl w:val="0"/>
    </w:pPr>
    <w:rPr>
      <w:rFonts w:ascii="Arial Bold" w:hAnsi="Arial Bold"/>
      <w:b w:val="0"/>
    </w:rPr>
  </w:style>
  <w:style w:type="table" w:customStyle="1" w:styleId="BlueTable">
    <w:name w:val="Blue Table"/>
    <w:basedOn w:val="TableNormal"/>
    <w:uiPriority w:val="99"/>
    <w:rsid w:val="0016447C"/>
    <w:rPr>
      <w:rFonts w:ascii="Arial" w:hAnsi="Arial"/>
    </w:rPr>
    <w:tblPr>
      <w:tblStyleRowBandSize w:val="1"/>
      <w:tblBorders>
        <w:bottom w:val="single" w:sz="4" w:space="0" w:color="0A357E"/>
        <w:insideV w:val="single" w:sz="4" w:space="0" w:color="D9D9D9"/>
      </w:tblBorders>
    </w:tblPr>
    <w:tcPr>
      <w:shd w:val="clear" w:color="auto" w:fill="auto"/>
    </w:tcPr>
    <w:tblStylePr w:type="firstRow">
      <w:pPr>
        <w:jc w:val="center"/>
      </w:pPr>
      <w:tblPr/>
      <w:tcPr>
        <w:tcBorders>
          <w:top w:val="single" w:sz="12" w:space="0" w:color="0A357E"/>
          <w:left w:val="nil"/>
          <w:bottom w:val="single" w:sz="4" w:space="0" w:color="0A357E"/>
          <w:right w:val="nil"/>
          <w:insideH w:val="nil"/>
          <w:insideV w:val="single" w:sz="4" w:space="0" w:color="D9D9D9"/>
          <w:tl2br w:val="nil"/>
          <w:tr2bl w:val="nil"/>
        </w:tcBorders>
        <w:shd w:val="clear" w:color="auto" w:fill="0A357E"/>
        <w:vAlign w:val="bottom"/>
      </w:tcPr>
    </w:tblStylePr>
    <w:tblStylePr w:type="lastRow">
      <w:tblPr/>
      <w:tcPr>
        <w:tcBorders>
          <w:bottom w:val="single" w:sz="4" w:space="0" w:color="0A357E"/>
        </w:tcBorders>
        <w:shd w:val="clear" w:color="auto" w:fill="auto"/>
      </w:tcPr>
    </w:tblStylePr>
    <w:tblStylePr w:type="band1Horz">
      <w:tblPr/>
      <w:tcPr>
        <w:tcBorders>
          <w:bottom w:val="single" w:sz="4" w:space="0" w:color="D9D9D9"/>
        </w:tcBorders>
        <w:shd w:val="clear" w:color="auto" w:fill="auto"/>
      </w:tcPr>
    </w:tblStylePr>
    <w:tblStylePr w:type="band2Horz">
      <w:tblPr/>
      <w:tcPr>
        <w:tcBorders>
          <w:top w:val="nil"/>
          <w:left w:val="nil"/>
          <w:bottom w:val="single" w:sz="4" w:space="0" w:color="D9D9D9"/>
          <w:right w:val="nil"/>
          <w:insideH w:val="nil"/>
          <w:insideV w:val="single" w:sz="4" w:space="0" w:color="D9D9D9"/>
          <w:tl2br w:val="nil"/>
          <w:tr2bl w:val="nil"/>
        </w:tcBorders>
        <w:shd w:val="clear" w:color="auto" w:fill="D5E3FB"/>
      </w:tcPr>
    </w:tblStylePr>
  </w:style>
  <w:style w:type="paragraph" w:customStyle="1" w:styleId="BodyText1">
    <w:name w:val="Body Text1"/>
    <w:basedOn w:val="Normal"/>
    <w:rsid w:val="0016447C"/>
    <w:pPr>
      <w:spacing w:after="240" w:line="320" w:lineRule="exact"/>
      <w:ind w:firstLine="720"/>
    </w:pPr>
  </w:style>
  <w:style w:type="paragraph" w:customStyle="1" w:styleId="ChNumber">
    <w:name w:val="ChNumber"/>
    <w:semiHidden/>
    <w:rsid w:val="0016447C"/>
    <w:pPr>
      <w:widowControl w:val="0"/>
      <w:tabs>
        <w:tab w:val="left" w:pos="0"/>
        <w:tab w:val="left" w:pos="864"/>
        <w:tab w:val="left" w:pos="1297"/>
        <w:tab w:val="left" w:pos="1730"/>
        <w:tab w:val="left" w:pos="2163"/>
        <w:tab w:val="left" w:pos="2596"/>
        <w:tab w:val="left" w:pos="3030"/>
        <w:tab w:val="left" w:pos="3463"/>
        <w:tab w:val="left" w:pos="3896"/>
        <w:tab w:val="left" w:pos="4329"/>
        <w:tab w:val="left" w:pos="4762"/>
        <w:tab w:val="left" w:pos="5196"/>
        <w:tab w:val="left" w:pos="5629"/>
        <w:tab w:val="left" w:pos="6062"/>
        <w:tab w:val="left" w:pos="6495"/>
        <w:tab w:val="left" w:pos="6928"/>
        <w:tab w:val="left" w:pos="7362"/>
        <w:tab w:val="left" w:pos="7795"/>
        <w:tab w:val="left" w:pos="8228"/>
        <w:tab w:val="left" w:pos="8661"/>
        <w:tab w:val="left" w:pos="9094"/>
        <w:tab w:val="left" w:pos="9528"/>
        <w:tab w:val="left" w:pos="9961"/>
        <w:tab w:val="left" w:pos="10394"/>
      </w:tabs>
      <w:jc w:val="right"/>
    </w:pPr>
    <w:rPr>
      <w:rFonts w:ascii="Arial" w:hAnsi="Arial"/>
      <w:b/>
      <w:i/>
      <w:sz w:val="60"/>
    </w:rPr>
  </w:style>
  <w:style w:type="character" w:customStyle="1" w:styleId="CommentSubjectChar">
    <w:name w:val="Comment Subject Char"/>
    <w:link w:val="CommentSubject"/>
    <w:uiPriority w:val="99"/>
    <w:semiHidden/>
    <w:rsid w:val="0016447C"/>
    <w:rPr>
      <w:b/>
      <w:bCs/>
    </w:rPr>
  </w:style>
  <w:style w:type="paragraph" w:customStyle="1" w:styleId="Coverdate">
    <w:name w:val="Cover_date"/>
    <w:basedOn w:val="Normal"/>
    <w:qFormat/>
    <w:rsid w:val="0016447C"/>
    <w:pPr>
      <w:tabs>
        <w:tab w:val="left" w:pos="260"/>
      </w:tabs>
      <w:autoSpaceDE w:val="0"/>
      <w:autoSpaceDN w:val="0"/>
      <w:adjustRightInd w:val="0"/>
      <w:spacing w:before="90" w:line="288" w:lineRule="auto"/>
      <w:ind w:left="-25"/>
      <w:textAlignment w:val="center"/>
    </w:pPr>
    <w:rPr>
      <w:rFonts w:ascii="Arial Narrow" w:hAnsi="Arial Narrow" w:cs="Arial"/>
      <w:b/>
      <w:bCs/>
      <w:spacing w:val="-3"/>
      <w:szCs w:val="24"/>
    </w:rPr>
  </w:style>
  <w:style w:type="paragraph" w:customStyle="1" w:styleId="CoverPropNo">
    <w:name w:val="Cover_PropNo"/>
    <w:basedOn w:val="Normal"/>
    <w:qFormat/>
    <w:rsid w:val="0016447C"/>
    <w:pPr>
      <w:tabs>
        <w:tab w:val="left" w:pos="260"/>
      </w:tabs>
      <w:autoSpaceDE w:val="0"/>
      <w:autoSpaceDN w:val="0"/>
      <w:adjustRightInd w:val="0"/>
      <w:spacing w:before="180" w:line="288" w:lineRule="auto"/>
      <w:ind w:left="-25"/>
      <w:textAlignment w:val="center"/>
    </w:pPr>
    <w:rPr>
      <w:rFonts w:ascii="Arial Narrow" w:hAnsi="Arial Narrow" w:cs="Arial"/>
      <w:spacing w:val="-3"/>
      <w:szCs w:val="24"/>
    </w:rPr>
  </w:style>
  <w:style w:type="paragraph" w:customStyle="1" w:styleId="CoverRFP">
    <w:name w:val="Cover_RFP"/>
    <w:basedOn w:val="Normal"/>
    <w:qFormat/>
    <w:rsid w:val="0016447C"/>
    <w:pPr>
      <w:tabs>
        <w:tab w:val="left" w:pos="260"/>
      </w:tabs>
      <w:autoSpaceDE w:val="0"/>
      <w:autoSpaceDN w:val="0"/>
      <w:adjustRightInd w:val="0"/>
      <w:spacing w:line="288" w:lineRule="auto"/>
      <w:ind w:left="-25"/>
      <w:textAlignment w:val="center"/>
    </w:pPr>
    <w:rPr>
      <w:rFonts w:ascii="Arial Narrow" w:hAnsi="Arial Narrow" w:cs="Arial"/>
      <w:spacing w:val="-3"/>
      <w:szCs w:val="24"/>
    </w:rPr>
  </w:style>
  <w:style w:type="paragraph" w:customStyle="1" w:styleId="Covervol">
    <w:name w:val="Cover_vol"/>
    <w:basedOn w:val="Normal"/>
    <w:qFormat/>
    <w:rsid w:val="0016447C"/>
    <w:pPr>
      <w:tabs>
        <w:tab w:val="left" w:pos="260"/>
      </w:tabs>
      <w:autoSpaceDE w:val="0"/>
      <w:autoSpaceDN w:val="0"/>
      <w:adjustRightInd w:val="0"/>
      <w:spacing w:line="288" w:lineRule="auto"/>
      <w:textAlignment w:val="center"/>
    </w:pPr>
    <w:rPr>
      <w:rFonts w:ascii="Arial Narrow" w:hAnsi="Arial Narrow" w:cs="Arial"/>
      <w:b/>
      <w:bCs/>
      <w:spacing w:val="-3"/>
      <w:sz w:val="32"/>
      <w:szCs w:val="32"/>
    </w:rPr>
  </w:style>
  <w:style w:type="paragraph" w:customStyle="1" w:styleId="Cover-text">
    <w:name w:val="Cover-text"/>
    <w:basedOn w:val="Normal"/>
    <w:qFormat/>
    <w:rsid w:val="0016447C"/>
    <w:pPr>
      <w:autoSpaceDE w:val="0"/>
      <w:autoSpaceDN w:val="0"/>
      <w:adjustRightInd w:val="0"/>
      <w:ind w:left="162"/>
      <w:textAlignment w:val="center"/>
    </w:pPr>
    <w:rPr>
      <w:rFonts w:ascii="Arial Narrow" w:hAnsi="Arial Narrow" w:cs="Arial"/>
      <w:sz w:val="20"/>
    </w:rPr>
  </w:style>
  <w:style w:type="paragraph" w:customStyle="1" w:styleId="Cover-text-bold">
    <w:name w:val="Cover-text-bold"/>
    <w:basedOn w:val="Normal"/>
    <w:qFormat/>
    <w:rsid w:val="0016447C"/>
    <w:pPr>
      <w:autoSpaceDE w:val="0"/>
      <w:autoSpaceDN w:val="0"/>
      <w:adjustRightInd w:val="0"/>
      <w:ind w:left="-18"/>
      <w:textAlignment w:val="center"/>
    </w:pPr>
    <w:rPr>
      <w:rFonts w:ascii="Arial Narrow" w:hAnsi="Arial Narrow" w:cs="Arial"/>
      <w:b/>
      <w:bCs/>
      <w:sz w:val="20"/>
    </w:rPr>
  </w:style>
  <w:style w:type="paragraph" w:customStyle="1" w:styleId="Cover-Title">
    <w:name w:val="Cover-Title"/>
    <w:basedOn w:val="Normal"/>
    <w:qFormat/>
    <w:rsid w:val="0016447C"/>
    <w:rPr>
      <w:rFonts w:ascii="Arial Narrow" w:hAnsi="Arial Narrow"/>
      <w:bCs/>
      <w:sz w:val="60"/>
      <w:szCs w:val="60"/>
    </w:rPr>
  </w:style>
  <w:style w:type="paragraph" w:customStyle="1" w:styleId="DisclaimerBox">
    <w:name w:val="DisclaimerBox"/>
    <w:basedOn w:val="Normal"/>
    <w:qFormat/>
    <w:rsid w:val="0016447C"/>
    <w:pPr>
      <w:pBdr>
        <w:bottom w:val="single" w:sz="2" w:space="6" w:color="auto"/>
      </w:pBdr>
      <w:jc w:val="center"/>
    </w:pPr>
    <w:rPr>
      <w:rFonts w:ascii="Arial" w:hAnsi="Arial"/>
      <w:b/>
      <w:sz w:val="32"/>
      <w:szCs w:val="32"/>
    </w:rPr>
  </w:style>
  <w:style w:type="paragraph" w:customStyle="1" w:styleId="DisclaimerText">
    <w:name w:val="DisclaimerText"/>
    <w:basedOn w:val="Normal"/>
    <w:qFormat/>
    <w:rsid w:val="0016447C"/>
  </w:style>
  <w:style w:type="paragraph" w:customStyle="1" w:styleId="equation">
    <w:name w:val="equation"/>
    <w:basedOn w:val="Basetext"/>
    <w:rsid w:val="0016447C"/>
    <w:pPr>
      <w:tabs>
        <w:tab w:val="center" w:pos="4680"/>
        <w:tab w:val="right" w:pos="9360"/>
      </w:tabs>
      <w:spacing w:after="240" w:line="480" w:lineRule="atLeast"/>
    </w:pPr>
    <w:rPr>
      <w:rFonts w:ascii="Cambria Math" w:hAnsi="Cambria Math"/>
    </w:rPr>
  </w:style>
  <w:style w:type="paragraph" w:customStyle="1" w:styleId="ES-2">
    <w:name w:val="ES-2"/>
    <w:basedOn w:val="Heading2"/>
    <w:next w:val="Normal"/>
    <w:rsid w:val="0016447C"/>
    <w:pPr>
      <w:keepLines w:val="0"/>
      <w:numPr>
        <w:ilvl w:val="0"/>
        <w:numId w:val="0"/>
      </w:numPr>
      <w:spacing w:after="120"/>
    </w:pPr>
    <w:rPr>
      <w:kern w:val="0"/>
      <w:sz w:val="28"/>
    </w:rPr>
  </w:style>
  <w:style w:type="paragraph" w:customStyle="1" w:styleId="ES-3">
    <w:name w:val="ES-3"/>
    <w:basedOn w:val="Heading3"/>
    <w:rsid w:val="0016447C"/>
    <w:pPr>
      <w:keepNext/>
      <w:numPr>
        <w:ilvl w:val="0"/>
        <w:numId w:val="0"/>
      </w:numPr>
      <w:tabs>
        <w:tab w:val="left" w:pos="900"/>
      </w:tabs>
      <w:spacing w:before="120"/>
      <w:ind w:left="900" w:hanging="900"/>
    </w:pPr>
    <w:rPr>
      <w:szCs w:val="24"/>
    </w:rPr>
  </w:style>
  <w:style w:type="paragraph" w:customStyle="1" w:styleId="exhibitsource1">
    <w:name w:val="exhibit source1"/>
    <w:basedOn w:val="Normal"/>
    <w:rsid w:val="0016447C"/>
    <w:pPr>
      <w:keepLines/>
      <w:spacing w:before="120"/>
      <w:ind w:left="187" w:hanging="187"/>
    </w:pPr>
    <w:rPr>
      <w:rFonts w:ascii="Arial" w:hAnsi="Arial"/>
      <w:sz w:val="18"/>
    </w:rPr>
  </w:style>
  <w:style w:type="paragraph" w:customStyle="1" w:styleId="exhibitsource2">
    <w:name w:val="exhibit source2"/>
    <w:basedOn w:val="exhibitsource1"/>
    <w:qFormat/>
    <w:rsid w:val="0016447C"/>
    <w:pPr>
      <w:spacing w:after="240"/>
    </w:pPr>
  </w:style>
  <w:style w:type="paragraph" w:customStyle="1" w:styleId="figurewbox">
    <w:name w:val="figure w/box"/>
    <w:rsid w:val="0016447C"/>
    <w:pPr>
      <w:pBdr>
        <w:top w:val="single" w:sz="12" w:space="9" w:color="auto"/>
        <w:left w:val="single" w:sz="12" w:space="6" w:color="auto"/>
        <w:bottom w:val="single" w:sz="12" w:space="9" w:color="auto"/>
        <w:right w:val="single" w:sz="12" w:space="4" w:color="auto"/>
      </w:pBdr>
      <w:ind w:left="180" w:right="180"/>
      <w:jc w:val="center"/>
    </w:pPr>
    <w:rPr>
      <w:rFonts w:eastAsiaTheme="minorHAnsi"/>
      <w:sz w:val="24"/>
    </w:rPr>
  </w:style>
  <w:style w:type="paragraph" w:customStyle="1" w:styleId="figurewobox">
    <w:name w:val="figure w/o box"/>
    <w:basedOn w:val="figurewbox"/>
    <w:rsid w:val="0016447C"/>
    <w:pPr>
      <w:pBdr>
        <w:top w:val="none" w:sz="0" w:space="0" w:color="auto"/>
        <w:left w:val="none" w:sz="0" w:space="0" w:color="auto"/>
        <w:bottom w:val="none" w:sz="0" w:space="0" w:color="auto"/>
        <w:right w:val="none" w:sz="0" w:space="0" w:color="auto"/>
      </w:pBdr>
      <w:ind w:left="0" w:right="0"/>
    </w:pPr>
  </w:style>
  <w:style w:type="table" w:customStyle="1" w:styleId="GreenTable">
    <w:name w:val="Green Table"/>
    <w:basedOn w:val="TableNormal"/>
    <w:uiPriority w:val="99"/>
    <w:rsid w:val="0016447C"/>
    <w:rPr>
      <w:rFonts w:ascii="Arial" w:eastAsiaTheme="minorHAnsi" w:hAnsi="Arial"/>
    </w:rPr>
    <w:tblPr>
      <w:tblStyleRowBandSize w:val="1"/>
      <w:tblStyleColBandSize w:val="1"/>
      <w:tblBorders>
        <w:bottom w:val="single" w:sz="4" w:space="0" w:color="5D9732"/>
        <w:insideV w:val="single" w:sz="4" w:space="0" w:color="D9D9D9"/>
      </w:tblBorders>
    </w:tblPr>
    <w:tblStylePr w:type="firstRow">
      <w:rPr>
        <w:b/>
      </w:rPr>
      <w:tblPr/>
      <w:tcPr>
        <w:tcBorders>
          <w:top w:val="nil"/>
          <w:left w:val="nil"/>
          <w:bottom w:val="nil"/>
          <w:right w:val="nil"/>
          <w:insideH w:val="nil"/>
          <w:insideV w:val="nil"/>
          <w:tl2br w:val="nil"/>
          <w:tr2bl w:val="nil"/>
        </w:tcBorders>
        <w:shd w:val="clear" w:color="auto" w:fill="5D9732"/>
      </w:tcPr>
    </w:tblStylePr>
    <w:tblStylePr w:type="band2Horz">
      <w:tblPr/>
      <w:tcPr>
        <w:shd w:val="clear" w:color="auto" w:fill="DDEFD0"/>
      </w:tcPr>
    </w:tblStylePr>
  </w:style>
  <w:style w:type="paragraph" w:styleId="Index1">
    <w:name w:val="index 1"/>
    <w:basedOn w:val="Normal"/>
    <w:next w:val="Normal"/>
    <w:autoRedefine/>
    <w:uiPriority w:val="99"/>
    <w:semiHidden/>
    <w:rsid w:val="0016447C"/>
    <w:pPr>
      <w:ind w:left="240" w:hanging="240"/>
    </w:pPr>
  </w:style>
  <w:style w:type="paragraph" w:styleId="Index2">
    <w:name w:val="index 2"/>
    <w:basedOn w:val="Normal"/>
    <w:next w:val="Normal"/>
    <w:autoRedefine/>
    <w:uiPriority w:val="99"/>
    <w:semiHidden/>
    <w:rsid w:val="0016447C"/>
    <w:pPr>
      <w:ind w:left="480" w:hanging="240"/>
    </w:pPr>
  </w:style>
  <w:style w:type="paragraph" w:styleId="Index3">
    <w:name w:val="index 3"/>
    <w:basedOn w:val="Normal"/>
    <w:next w:val="Normal"/>
    <w:autoRedefine/>
    <w:uiPriority w:val="99"/>
    <w:semiHidden/>
    <w:rsid w:val="0016447C"/>
    <w:pPr>
      <w:ind w:left="720" w:hanging="240"/>
    </w:pPr>
  </w:style>
  <w:style w:type="paragraph" w:styleId="Index4">
    <w:name w:val="index 4"/>
    <w:basedOn w:val="Normal"/>
    <w:next w:val="Normal"/>
    <w:autoRedefine/>
    <w:uiPriority w:val="99"/>
    <w:semiHidden/>
    <w:rsid w:val="0016447C"/>
    <w:pPr>
      <w:ind w:left="960" w:hanging="240"/>
    </w:pPr>
  </w:style>
  <w:style w:type="paragraph" w:styleId="Index5">
    <w:name w:val="index 5"/>
    <w:basedOn w:val="Normal"/>
    <w:next w:val="Normal"/>
    <w:autoRedefine/>
    <w:uiPriority w:val="99"/>
    <w:semiHidden/>
    <w:rsid w:val="0016447C"/>
    <w:pPr>
      <w:ind w:left="1200" w:hanging="240"/>
    </w:pPr>
  </w:style>
  <w:style w:type="paragraph" w:styleId="Index6">
    <w:name w:val="index 6"/>
    <w:basedOn w:val="Normal"/>
    <w:next w:val="Normal"/>
    <w:autoRedefine/>
    <w:uiPriority w:val="99"/>
    <w:semiHidden/>
    <w:rsid w:val="0016447C"/>
    <w:pPr>
      <w:ind w:left="1440" w:hanging="240"/>
    </w:pPr>
  </w:style>
  <w:style w:type="paragraph" w:styleId="Index7">
    <w:name w:val="index 7"/>
    <w:basedOn w:val="Normal"/>
    <w:next w:val="Normal"/>
    <w:autoRedefine/>
    <w:uiPriority w:val="99"/>
    <w:semiHidden/>
    <w:rsid w:val="0016447C"/>
    <w:pPr>
      <w:ind w:left="1680" w:hanging="240"/>
    </w:pPr>
  </w:style>
  <w:style w:type="paragraph" w:styleId="Index8">
    <w:name w:val="index 8"/>
    <w:basedOn w:val="Normal"/>
    <w:next w:val="Normal"/>
    <w:autoRedefine/>
    <w:uiPriority w:val="99"/>
    <w:semiHidden/>
    <w:rsid w:val="0016447C"/>
    <w:pPr>
      <w:ind w:left="1920" w:hanging="240"/>
    </w:pPr>
  </w:style>
  <w:style w:type="paragraph" w:styleId="Index9">
    <w:name w:val="index 9"/>
    <w:basedOn w:val="Normal"/>
    <w:next w:val="Normal"/>
    <w:autoRedefine/>
    <w:uiPriority w:val="99"/>
    <w:semiHidden/>
    <w:rsid w:val="0016447C"/>
    <w:pPr>
      <w:ind w:left="2160" w:hanging="240"/>
    </w:pPr>
  </w:style>
  <w:style w:type="paragraph" w:styleId="IndexHeading">
    <w:name w:val="index heading"/>
    <w:basedOn w:val="Normal"/>
    <w:next w:val="Index1"/>
    <w:uiPriority w:val="99"/>
    <w:semiHidden/>
    <w:rsid w:val="0016447C"/>
  </w:style>
  <w:style w:type="table" w:styleId="LightList">
    <w:name w:val="Light List"/>
    <w:basedOn w:val="TableNormal"/>
    <w:uiPriority w:val="61"/>
    <w:rsid w:val="0016447C"/>
    <w:rPr>
      <w:rFonts w:ascii="Calibri" w:eastAsia="MS Mincho" w:hAnsi="Calibri" w:cs="Arial"/>
      <w:sz w:val="22"/>
      <w:szCs w:val="22"/>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2">
    <w:name w:val="Light List Accent 2"/>
    <w:basedOn w:val="TableNormal"/>
    <w:uiPriority w:val="61"/>
    <w:rsid w:val="0016447C"/>
    <w:rPr>
      <w:rFonts w:eastAsiaTheme="minorHAnsi"/>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ediumGrid3-Accent1">
    <w:name w:val="Medium Grid 3 Accent 1"/>
    <w:basedOn w:val="TableNormal"/>
    <w:uiPriority w:val="69"/>
    <w:rsid w:val="0016447C"/>
    <w:rPr>
      <w:rFonts w:eastAsiaTheme="minorHAns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1-Accent1">
    <w:name w:val="Medium List 1 Accent 1"/>
    <w:basedOn w:val="TableNormal"/>
    <w:uiPriority w:val="65"/>
    <w:rsid w:val="0016447C"/>
    <w:rPr>
      <w:rFonts w:eastAsiaTheme="minorHAnsi"/>
      <w:color w:val="000000"/>
    </w:rPr>
    <w:tblPr>
      <w:tblStyleRowBandSize w:val="1"/>
      <w:tblStyleColBandSize w:val="1"/>
      <w:tblBorders>
        <w:top w:val="single" w:sz="8" w:space="0" w:color="4F81BD"/>
        <w:bottom w:val="single" w:sz="8" w:space="0" w:color="4F81BD"/>
      </w:tblBorders>
    </w:tblPr>
    <w:tblStylePr w:type="firstRow">
      <w:rPr>
        <w:rFonts w:ascii="Bahnschrift" w:eastAsia="Times New Roman" w:hAnsi="Bahnschrif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ProposalTable">
    <w:name w:val="Proposal Table"/>
    <w:basedOn w:val="TableNormal"/>
    <w:uiPriority w:val="99"/>
    <w:rsid w:val="0016447C"/>
    <w:rPr>
      <w:rFonts w:ascii="Arial" w:eastAsiaTheme="minorHAnsi" w:hAnsi="Arial"/>
    </w:rPr>
    <w:tblPr>
      <w:tblStyleRowBandSize w:val="1"/>
      <w:tblBorders>
        <w:bottom w:val="single" w:sz="8" w:space="0" w:color="FFC525"/>
        <w:insideV w:val="single" w:sz="4" w:space="0" w:color="D9D9D9"/>
      </w:tblBorders>
    </w:tblPr>
    <w:tblStylePr w:type="firstRow">
      <w:rPr>
        <w:b w:val="0"/>
      </w:rPr>
      <w:tblPr/>
      <w:tcPr>
        <w:shd w:val="clear" w:color="auto" w:fill="FFDC7C"/>
      </w:tcPr>
    </w:tblStylePr>
    <w:tblStylePr w:type="band2Horz">
      <w:tblPr/>
      <w:tcPr>
        <w:shd w:val="clear" w:color="auto" w:fill="FFF3D3"/>
      </w:tcPr>
    </w:tblStylePr>
  </w:style>
  <w:style w:type="table" w:customStyle="1" w:styleId="PurpleTable">
    <w:name w:val="Purple Table"/>
    <w:basedOn w:val="TableNormal"/>
    <w:uiPriority w:val="99"/>
    <w:rsid w:val="0016447C"/>
    <w:rPr>
      <w:rFonts w:ascii="Arial" w:eastAsiaTheme="minorHAnsi" w:hAnsi="Arial"/>
      <w:sz w:val="18"/>
    </w:rPr>
    <w:tblPr>
      <w:tblStyleRowBandSize w:val="1"/>
      <w:tblBorders>
        <w:bottom w:val="single" w:sz="4" w:space="0" w:color="4F2683"/>
      </w:tblBorders>
    </w:tblPr>
    <w:tblStylePr w:type="firstRow">
      <w:rPr>
        <w:color w:val="FFFFFF"/>
      </w:rPr>
      <w:tblPr/>
      <w:tcPr>
        <w:shd w:val="clear" w:color="auto" w:fill="4F2683"/>
      </w:tcPr>
    </w:tblStylePr>
    <w:tblStylePr w:type="band2Horz">
      <w:tblPr/>
      <w:tcPr>
        <w:shd w:val="clear" w:color="auto" w:fill="DACAEF"/>
      </w:tcPr>
    </w:tblStylePr>
  </w:style>
  <w:style w:type="table" w:customStyle="1" w:styleId="Style2">
    <w:name w:val="Style2"/>
    <w:basedOn w:val="TableNormal"/>
    <w:uiPriority w:val="99"/>
    <w:rsid w:val="0016447C"/>
    <w:rPr>
      <w:rFonts w:ascii="Arial" w:eastAsiaTheme="minorHAnsi" w:hAnsi="Arial"/>
    </w:rPr>
    <w:tblPr>
      <w:tblStyleRowBandSize w:val="1"/>
    </w:tblPr>
    <w:tblStylePr w:type="firstRow">
      <w:rPr>
        <w:b/>
      </w:r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D5E3FB"/>
      </w:tcPr>
    </w:tblStylePr>
  </w:style>
  <w:style w:type="table" w:styleId="Table3Deffects3">
    <w:name w:val="Table 3D effects 3"/>
    <w:basedOn w:val="TableNormal"/>
    <w:uiPriority w:val="99"/>
    <w:rsid w:val="0016447C"/>
    <w:rPr>
      <w:rFonts w:eastAsiaTheme="minorHAns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
    <w:name w:val="Table bullet"/>
    <w:basedOn w:val="Normal"/>
    <w:rsid w:val="0016447C"/>
    <w:pPr>
      <w:ind w:left="432" w:hanging="216"/>
    </w:pPr>
    <w:rPr>
      <w:rFonts w:ascii="Arial" w:hAnsi="Arial"/>
      <w:sz w:val="18"/>
    </w:rPr>
  </w:style>
  <w:style w:type="paragraph" w:customStyle="1" w:styleId="Tablebullet2nd">
    <w:name w:val="Table bullet 2nd"/>
    <w:basedOn w:val="Normal"/>
    <w:qFormat/>
    <w:rsid w:val="0016447C"/>
    <w:pPr>
      <w:numPr>
        <w:numId w:val="48"/>
      </w:numPr>
      <w:spacing w:before="40" w:after="40"/>
    </w:pPr>
    <w:rPr>
      <w:rFonts w:ascii="Arial" w:hAnsi="Arial"/>
      <w:sz w:val="18"/>
    </w:rPr>
  </w:style>
  <w:style w:type="paragraph" w:customStyle="1" w:styleId="TablebulletLM0">
    <w:name w:val="Table bullet_LM"/>
    <w:basedOn w:val="Tablebullet"/>
    <w:qFormat/>
    <w:rsid w:val="0016447C"/>
    <w:pPr>
      <w:spacing w:before="40" w:after="40"/>
      <w:ind w:left="216"/>
      <w:contextualSpacing/>
    </w:pPr>
    <w:rPr>
      <w:snapToGrid w:val="0"/>
    </w:rPr>
  </w:style>
  <w:style w:type="table" w:styleId="TableColorful3">
    <w:name w:val="Table Colorful 3"/>
    <w:basedOn w:val="TableNormal"/>
    <w:uiPriority w:val="99"/>
    <w:rsid w:val="0016447C"/>
    <w:rPr>
      <w:rFonts w:eastAsiaTheme="minorHAns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rsid w:val="0016447C"/>
    <w:rPr>
      <w:rFonts w:eastAsiaTheme="minorHAns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text0">
    <w:name w:val="Table text"/>
    <w:qFormat/>
    <w:rsid w:val="0016447C"/>
    <w:pPr>
      <w:spacing w:before="40" w:after="40"/>
    </w:pPr>
    <w:rPr>
      <w:rFonts w:ascii="Arial" w:eastAsiaTheme="minorHAnsi" w:hAnsi="Arial"/>
      <w:sz w:val="18"/>
    </w:rPr>
  </w:style>
  <w:style w:type="paragraph" w:customStyle="1" w:styleId="TableTextIndent1">
    <w:name w:val="Table Text Indent1"/>
    <w:basedOn w:val="Tabletext0"/>
    <w:qFormat/>
    <w:rsid w:val="0016447C"/>
    <w:pPr>
      <w:ind w:left="245"/>
    </w:pPr>
  </w:style>
  <w:style w:type="paragraph" w:customStyle="1" w:styleId="Tabletextbold">
    <w:name w:val="Table text_bold"/>
    <w:basedOn w:val="Tabletext0"/>
    <w:qFormat/>
    <w:rsid w:val="0016447C"/>
    <w:pPr>
      <w:spacing w:before="20" w:after="20"/>
    </w:pPr>
    <w:rPr>
      <w:rFonts w:cs="Arial"/>
      <w:b/>
      <w:szCs w:val="18"/>
    </w:rPr>
  </w:style>
  <w:style w:type="paragraph" w:customStyle="1" w:styleId="Tabletextcenter">
    <w:name w:val="Table text_center"/>
    <w:basedOn w:val="Tabletext0"/>
    <w:qFormat/>
    <w:rsid w:val="0016447C"/>
    <w:pPr>
      <w:framePr w:hSpace="288" w:wrap="around" w:vAnchor="text" w:hAnchor="text" w:xAlign="right" w:y="1"/>
      <w:suppressOverlap/>
      <w:jc w:val="center"/>
    </w:pPr>
  </w:style>
  <w:style w:type="paragraph" w:customStyle="1" w:styleId="Tablecont0">
    <w:name w:val="Table_cont"/>
    <w:basedOn w:val="Normal"/>
    <w:qFormat/>
    <w:rsid w:val="0016447C"/>
    <w:pPr>
      <w:jc w:val="right"/>
    </w:pPr>
    <w:rPr>
      <w:rFonts w:ascii="Arial" w:hAnsi="Arial" w:cs="Arial"/>
      <w:sz w:val="18"/>
    </w:rPr>
  </w:style>
  <w:style w:type="paragraph" w:customStyle="1" w:styleId="Tableboxtext">
    <w:name w:val="Tablebox_text"/>
    <w:basedOn w:val="TextboxBulletBlue"/>
    <w:qFormat/>
    <w:rsid w:val="0016447C"/>
    <w:pPr>
      <w:framePr w:wrap="around"/>
      <w:spacing w:before="120"/>
      <w:ind w:left="-14"/>
    </w:pPr>
    <w:rPr>
      <w:rFonts w:eastAsiaTheme="minorHAnsi"/>
    </w:rPr>
  </w:style>
  <w:style w:type="paragraph" w:customStyle="1" w:styleId="Tableboxtextbold">
    <w:name w:val="Tablebox_text_bold"/>
    <w:basedOn w:val="Tableboxtext"/>
    <w:qFormat/>
    <w:rsid w:val="0016447C"/>
    <w:pPr>
      <w:framePr w:wrap="around"/>
    </w:pPr>
    <w:rPr>
      <w:b/>
    </w:rPr>
  </w:style>
  <w:style w:type="paragraph" w:customStyle="1" w:styleId="TextboxBulletBluelast">
    <w:name w:val="Textbox Bullet Blue_last"/>
    <w:basedOn w:val="TextboxBulletBlue"/>
    <w:qFormat/>
    <w:rsid w:val="0016447C"/>
    <w:pPr>
      <w:framePr w:hSpace="288" w:wrap="around" w:vAnchor="text" w:hAnchor="page" w:x="7014" w:y="1"/>
      <w:spacing w:before="20" w:line="240" w:lineRule="auto"/>
      <w:ind w:left="418" w:hanging="288"/>
    </w:pPr>
    <w:rPr>
      <w:rFonts w:ascii="Arial Narrow" w:hAnsi="Arial Narrow"/>
      <w:sz w:val="24"/>
      <w:szCs w:val="24"/>
    </w:rPr>
  </w:style>
  <w:style w:type="paragraph" w:customStyle="1" w:styleId="BodyTextb4">
    <w:name w:val="Body Text_b4"/>
    <w:basedOn w:val="BodyText"/>
    <w:qFormat/>
    <w:rsid w:val="0016447C"/>
    <w:pPr>
      <w:ind w:firstLine="360"/>
    </w:pPr>
    <w:rPr>
      <w:rFonts w:ascii="Garamond" w:hAnsi="Garamond" w:cs="Times New Roman"/>
      <w:bCs w:val="0"/>
    </w:rPr>
  </w:style>
  <w:style w:type="paragraph" w:customStyle="1" w:styleId="BodyText1212">
    <w:name w:val="Body Text_12_12"/>
    <w:basedOn w:val="BodyTextaft-12"/>
    <w:qFormat/>
    <w:rsid w:val="0016447C"/>
    <w:pPr>
      <w:spacing w:before="120" w:after="240"/>
    </w:pPr>
  </w:style>
  <w:style w:type="table" w:customStyle="1" w:styleId="Format4new">
    <w:name w:val="Format4_new"/>
    <w:basedOn w:val="TableNormal"/>
    <w:uiPriority w:val="99"/>
    <w:rsid w:val="0016447C"/>
    <w:rPr>
      <w:rFonts w:ascii="Verdana" w:eastAsiaTheme="minorHAnsi" w:hAnsi="Verdana"/>
      <w:sz w:val="18"/>
    </w:rPr>
    <w:tblPr/>
    <w:tblStylePr w:type="firstRow">
      <w:pPr>
        <w:jc w:val="center"/>
      </w:pPr>
      <w:tblPr/>
      <w:tcPr>
        <w:tcBorders>
          <w:top w:val="single" w:sz="12" w:space="0" w:color="auto"/>
          <w:bottom w:val="single" w:sz="4" w:space="0" w:color="auto"/>
        </w:tcBorders>
        <w:vAlign w:val="bottom"/>
      </w:tcPr>
    </w:tblStylePr>
    <w:tblStylePr w:type="lastRow">
      <w:tblPr/>
      <w:tcPr>
        <w:tcBorders>
          <w:bottom w:val="single" w:sz="12" w:space="0" w:color="auto"/>
        </w:tcBorders>
      </w:tcPr>
    </w:tblStylePr>
  </w:style>
  <w:style w:type="paragraph" w:customStyle="1" w:styleId="table-text-center">
    <w:name w:val="table-text-center"/>
    <w:basedOn w:val="TableText-9"/>
    <w:qFormat/>
    <w:rsid w:val="0016447C"/>
    <w:pPr>
      <w:jc w:val="center"/>
    </w:pPr>
    <w:rPr>
      <w:szCs w:val="20"/>
    </w:rPr>
  </w:style>
  <w:style w:type="paragraph" w:customStyle="1" w:styleId="aboxbulletlast">
    <w:name w:val="abox_bullet_last"/>
    <w:basedOn w:val="Normal"/>
    <w:qFormat/>
    <w:rsid w:val="0016447C"/>
    <w:pPr>
      <w:framePr w:hSpace="144" w:wrap="around" w:vAnchor="text" w:hAnchor="margin" w:xAlign="right" w:y="1"/>
      <w:numPr>
        <w:numId w:val="49"/>
      </w:numPr>
      <w:tabs>
        <w:tab w:val="num" w:pos="270"/>
      </w:tabs>
      <w:spacing w:after="120"/>
      <w:ind w:left="274" w:hanging="274"/>
      <w:suppressOverlap/>
    </w:pPr>
    <w:rPr>
      <w:rFonts w:ascii="Arial" w:hAnsi="Arial"/>
      <w:sz w:val="18"/>
      <w:szCs w:val="18"/>
    </w:rPr>
  </w:style>
  <w:style w:type="character" w:customStyle="1" w:styleId="tabletitlebold">
    <w:name w:val="table_title_bold"/>
    <w:basedOn w:val="DefaultParagraphFont"/>
    <w:uiPriority w:val="1"/>
    <w:qFormat/>
    <w:rsid w:val="0016447C"/>
    <w:rPr>
      <w:b/>
    </w:rPr>
  </w:style>
  <w:style w:type="paragraph" w:customStyle="1" w:styleId="textbox-bullet2nd">
    <w:name w:val="textbox-bullet_2nd"/>
    <w:basedOn w:val="Normal"/>
    <w:qFormat/>
    <w:rsid w:val="0016447C"/>
    <w:pPr>
      <w:spacing w:before="40" w:after="40"/>
    </w:pPr>
    <w:rPr>
      <w:rFonts w:ascii="Arial" w:hAnsi="Arial"/>
      <w:color w:val="0A357E"/>
      <w:sz w:val="18"/>
    </w:rPr>
  </w:style>
  <w:style w:type="paragraph" w:customStyle="1" w:styleId="table-continued">
    <w:name w:val="table-continued"/>
    <w:basedOn w:val="Basetext"/>
    <w:rsid w:val="00245172"/>
    <w:pPr>
      <w:jc w:val="right"/>
    </w:pPr>
    <w:rPr>
      <w:sz w:val="20"/>
    </w:rPr>
  </w:style>
  <w:style w:type="paragraph" w:customStyle="1" w:styleId="BodyText-b4">
    <w:name w:val="Body Text-b4"/>
    <w:basedOn w:val="BodyText"/>
    <w:qFormat/>
    <w:rsid w:val="0016447C"/>
    <w:rPr>
      <w:rFonts w:cs="Times New Roman"/>
      <w:bCs w:val="0"/>
    </w:rPr>
  </w:style>
  <w:style w:type="paragraph" w:customStyle="1" w:styleId="table-text-bold">
    <w:name w:val="table-text-bold"/>
    <w:basedOn w:val="TableText-9"/>
    <w:qFormat/>
    <w:rsid w:val="0016447C"/>
    <w:rPr>
      <w:b/>
      <w:szCs w:val="20"/>
    </w:rPr>
  </w:style>
  <w:style w:type="paragraph" w:customStyle="1" w:styleId="es-heading1">
    <w:name w:val="es-heading_1"/>
    <w:basedOn w:val="Baseheading"/>
    <w:next w:val="Normal"/>
    <w:rsid w:val="0016447C"/>
    <w:pPr>
      <w:keepNext/>
      <w:spacing w:before="120" w:after="120"/>
      <w:ind w:right="1440"/>
    </w:pPr>
    <w:rPr>
      <w:b/>
      <w:color w:val="0A357E"/>
      <w:sz w:val="32"/>
    </w:rPr>
  </w:style>
  <w:style w:type="paragraph" w:customStyle="1" w:styleId="BasicParagraph">
    <w:name w:val="[Basic Paragraph]"/>
    <w:basedOn w:val="Normal"/>
    <w:uiPriority w:val="99"/>
    <w:rsid w:val="0016447C"/>
    <w:pPr>
      <w:autoSpaceDE w:val="0"/>
      <w:autoSpaceDN w:val="0"/>
      <w:adjustRightInd w:val="0"/>
      <w:spacing w:line="288" w:lineRule="auto"/>
      <w:textAlignment w:val="center"/>
    </w:pPr>
    <w:rPr>
      <w:rFonts w:ascii="Minion Pro" w:hAnsi="Minion Pro" w:cs="Minion Pro"/>
      <w:color w:val="000000"/>
      <w:szCs w:val="24"/>
    </w:rPr>
  </w:style>
  <w:style w:type="paragraph" w:customStyle="1" w:styleId="Abbreviations">
    <w:name w:val="Abbreviations"/>
    <w:basedOn w:val="Normal"/>
    <w:qFormat/>
    <w:rsid w:val="0016447C"/>
    <w:pPr>
      <w:widowControl w:val="0"/>
      <w:spacing w:after="40"/>
      <w:ind w:left="2160" w:hanging="2160"/>
    </w:pPr>
    <w:rPr>
      <w:rFonts w:ascii="Verdana" w:hAnsi="Verdana"/>
      <w:sz w:val="20"/>
      <w:szCs w:val="24"/>
    </w:rPr>
  </w:style>
  <w:style w:type="paragraph" w:customStyle="1" w:styleId="Baseheading">
    <w:name w:val="Base_heading"/>
    <w:rsid w:val="0016447C"/>
    <w:pPr>
      <w:outlineLvl w:val="0"/>
    </w:pPr>
    <w:rPr>
      <w:rFonts w:ascii="Arial" w:eastAsia="SimSun" w:hAnsi="Arial"/>
      <w:sz w:val="22"/>
      <w:szCs w:val="22"/>
      <w:lang w:eastAsia="zh-CN"/>
    </w:rPr>
  </w:style>
  <w:style w:type="paragraph" w:customStyle="1" w:styleId="app-headingsub">
    <w:name w:val="app-heading_sub"/>
    <w:basedOn w:val="Baseheading"/>
    <w:rsid w:val="0016447C"/>
    <w:pPr>
      <w:pageBreakBefore/>
      <w:pBdr>
        <w:top w:val="thinThickLargeGap" w:sz="8" w:space="6" w:color="0A357E"/>
        <w:left w:val="thinThickLargeGap" w:sz="8" w:space="4" w:color="0A357E"/>
        <w:bottom w:val="thickThinLargeGap" w:sz="8" w:space="6" w:color="0A357E"/>
        <w:right w:val="thickThinLargeGap" w:sz="8" w:space="4" w:color="0A357E"/>
      </w:pBdr>
      <w:spacing w:before="1440" w:after="240" w:line="360" w:lineRule="exact"/>
      <w:jc w:val="center"/>
    </w:pPr>
    <w:rPr>
      <w:b/>
      <w:color w:val="0A357E"/>
      <w:sz w:val="32"/>
    </w:rPr>
  </w:style>
  <w:style w:type="paragraph" w:customStyle="1" w:styleId="author-list-header">
    <w:name w:val="author-list-header"/>
    <w:basedOn w:val="Baseheading"/>
    <w:rsid w:val="0016447C"/>
    <w:pPr>
      <w:keepNext/>
      <w:spacing w:before="120" w:after="120"/>
    </w:pPr>
    <w:rPr>
      <w:b/>
      <w:color w:val="0A357E"/>
      <w:sz w:val="32"/>
    </w:rPr>
  </w:style>
  <w:style w:type="paragraph" w:customStyle="1" w:styleId="Basetext">
    <w:name w:val="Base_text"/>
    <w:rsid w:val="0016447C"/>
    <w:rPr>
      <w:rFonts w:eastAsia="SimSun"/>
      <w:sz w:val="22"/>
      <w:szCs w:val="22"/>
      <w:lang w:eastAsia="zh-CN"/>
    </w:rPr>
  </w:style>
  <w:style w:type="paragraph" w:customStyle="1" w:styleId="author-list-name">
    <w:name w:val="author-list-name"/>
    <w:basedOn w:val="Basetext"/>
    <w:rsid w:val="0016447C"/>
    <w:pPr>
      <w:spacing w:after="120"/>
    </w:pPr>
  </w:style>
  <w:style w:type="paragraph" w:customStyle="1" w:styleId="biblio-entry">
    <w:name w:val="biblio-entry"/>
    <w:basedOn w:val="Basetext"/>
    <w:rsid w:val="0016447C"/>
    <w:pPr>
      <w:keepLines/>
      <w:spacing w:after="240"/>
      <w:ind w:left="720" w:hanging="720"/>
    </w:pPr>
  </w:style>
  <w:style w:type="paragraph" w:customStyle="1" w:styleId="biblio-header">
    <w:name w:val="biblio-header"/>
    <w:basedOn w:val="Baseheading"/>
    <w:rsid w:val="0016447C"/>
    <w:pPr>
      <w:keepNext/>
      <w:spacing w:before="120" w:after="120"/>
      <w:ind w:right="1440"/>
      <w:contextualSpacing/>
    </w:pPr>
    <w:rPr>
      <w:b/>
      <w:color w:val="0A357E"/>
      <w:sz w:val="32"/>
    </w:rPr>
  </w:style>
  <w:style w:type="paragraph" w:customStyle="1" w:styleId="body-textcontinued">
    <w:name w:val="body-text_continued"/>
    <w:basedOn w:val="Basetext"/>
    <w:rsid w:val="0016447C"/>
    <w:pPr>
      <w:spacing w:after="120"/>
    </w:pPr>
  </w:style>
  <w:style w:type="paragraph" w:customStyle="1" w:styleId="body-textspace-after">
    <w:name w:val="body-text_space-after"/>
    <w:basedOn w:val="Basetext"/>
    <w:rsid w:val="0016447C"/>
    <w:pPr>
      <w:spacing w:before="120" w:after="120"/>
    </w:pPr>
  </w:style>
  <w:style w:type="paragraph" w:customStyle="1" w:styleId="bullets2nd-level">
    <w:name w:val="bullets_2nd-level"/>
    <w:basedOn w:val="Basetext"/>
    <w:rsid w:val="00DC45E7"/>
    <w:pPr>
      <w:numPr>
        <w:ilvl w:val="1"/>
        <w:numId w:val="136"/>
      </w:numPr>
      <w:spacing w:after="120"/>
    </w:pPr>
    <w:rPr>
      <w:rFonts w:ascii="Arial" w:hAnsi="Arial"/>
      <w:kern w:val="2"/>
      <w14:ligatures w14:val="standardContextual"/>
    </w:rPr>
  </w:style>
  <w:style w:type="paragraph" w:customStyle="1" w:styleId="bullets3rd-level">
    <w:name w:val="bullets_3rd-level"/>
    <w:basedOn w:val="Basetext"/>
    <w:rsid w:val="00DC45E7"/>
    <w:pPr>
      <w:numPr>
        <w:ilvl w:val="2"/>
        <w:numId w:val="136"/>
      </w:numPr>
      <w:spacing w:after="120"/>
    </w:pPr>
    <w:rPr>
      <w:rFonts w:ascii="Arial" w:hAnsi="Arial"/>
      <w:kern w:val="2"/>
      <w14:ligatures w14:val="standardContextual"/>
    </w:rPr>
  </w:style>
  <w:style w:type="paragraph" w:customStyle="1" w:styleId="bullets-2col">
    <w:name w:val="bullets-2col"/>
    <w:basedOn w:val="bullets"/>
    <w:qFormat/>
    <w:rsid w:val="00DC45E7"/>
    <w:pPr>
      <w:ind w:left="354"/>
    </w:pPr>
  </w:style>
  <w:style w:type="paragraph" w:customStyle="1" w:styleId="cover-address">
    <w:name w:val="cover-address"/>
    <w:basedOn w:val="Basetext"/>
    <w:rsid w:val="0016447C"/>
    <w:pPr>
      <w:ind w:left="158"/>
    </w:pPr>
    <w:rPr>
      <w:rFonts w:ascii="Arial Narrow" w:hAnsi="Arial Narrow"/>
      <w:sz w:val="20"/>
    </w:rPr>
  </w:style>
  <w:style w:type="paragraph" w:customStyle="1" w:styleId="cover-author">
    <w:name w:val="cover-author"/>
    <w:basedOn w:val="Basetext"/>
    <w:rsid w:val="0016447C"/>
    <w:rPr>
      <w:rFonts w:ascii="Arial Narrow" w:hAnsi="Arial Narrow"/>
      <w:sz w:val="20"/>
    </w:rPr>
  </w:style>
  <w:style w:type="paragraph" w:customStyle="1" w:styleId="cover-date">
    <w:name w:val="cover-date"/>
    <w:basedOn w:val="Basetext"/>
    <w:rsid w:val="0016447C"/>
    <w:pPr>
      <w:tabs>
        <w:tab w:val="left" w:pos="259"/>
      </w:tabs>
      <w:spacing w:before="90" w:line="288" w:lineRule="auto"/>
      <w:ind w:left="-29"/>
    </w:pPr>
    <w:rPr>
      <w:rFonts w:ascii="Arial Narrow" w:hAnsi="Arial Narrow"/>
      <w:b/>
      <w:spacing w:val="-3"/>
      <w:sz w:val="24"/>
    </w:rPr>
  </w:style>
  <w:style w:type="paragraph" w:customStyle="1" w:styleId="cover-project-no">
    <w:name w:val="cover-project-no"/>
    <w:basedOn w:val="Basetext"/>
    <w:rsid w:val="0016447C"/>
    <w:pPr>
      <w:tabs>
        <w:tab w:val="left" w:pos="259"/>
      </w:tabs>
      <w:spacing w:before="180" w:line="288" w:lineRule="auto"/>
      <w:ind w:left="-29"/>
      <w:contextualSpacing/>
    </w:pPr>
    <w:rPr>
      <w:rFonts w:ascii="Arial Narrow" w:hAnsi="Arial Narrow"/>
      <w:spacing w:val="-3"/>
      <w:sz w:val="24"/>
    </w:rPr>
  </w:style>
  <w:style w:type="paragraph" w:customStyle="1" w:styleId="cover-subtitle">
    <w:name w:val="cover-subtitle"/>
    <w:basedOn w:val="Baseheading"/>
    <w:rsid w:val="0016447C"/>
    <w:rPr>
      <w:rFonts w:ascii="Arial Narrow" w:hAnsi="Arial Narrow"/>
      <w:sz w:val="60"/>
    </w:rPr>
  </w:style>
  <w:style w:type="paragraph" w:customStyle="1" w:styleId="cover-text0">
    <w:name w:val="cover-text"/>
    <w:basedOn w:val="Basetext"/>
    <w:link w:val="cover-textChar"/>
    <w:rsid w:val="0016447C"/>
    <w:rPr>
      <w:rFonts w:ascii="Arial Narrow" w:hAnsi="Arial Narrow"/>
      <w:sz w:val="20"/>
    </w:rPr>
  </w:style>
  <w:style w:type="paragraph" w:customStyle="1" w:styleId="cover-textbold">
    <w:name w:val="cover-text_bold"/>
    <w:basedOn w:val="Basetext"/>
    <w:rsid w:val="0016447C"/>
    <w:pPr>
      <w:ind w:left="-14"/>
    </w:pPr>
    <w:rPr>
      <w:rFonts w:ascii="Arial Narrow" w:hAnsi="Arial Narrow"/>
      <w:b/>
      <w:sz w:val="20"/>
    </w:rPr>
  </w:style>
  <w:style w:type="paragraph" w:customStyle="1" w:styleId="cover-title0">
    <w:name w:val="cover-title"/>
    <w:basedOn w:val="Baseheading"/>
    <w:rsid w:val="0016447C"/>
    <w:rPr>
      <w:rFonts w:ascii="Arial Narrow" w:hAnsi="Arial Narrow"/>
      <w:sz w:val="60"/>
    </w:rPr>
  </w:style>
  <w:style w:type="paragraph" w:customStyle="1" w:styleId="cover-vol">
    <w:name w:val="cover-vol"/>
    <w:basedOn w:val="Basetext"/>
    <w:rsid w:val="0016447C"/>
    <w:pPr>
      <w:tabs>
        <w:tab w:val="left" w:pos="259"/>
      </w:tabs>
      <w:spacing w:line="288" w:lineRule="auto"/>
      <w:ind w:left="331" w:hanging="360"/>
    </w:pPr>
    <w:rPr>
      <w:rFonts w:ascii="Arial Narrow" w:hAnsi="Arial Narrow"/>
      <w:b/>
      <w:spacing w:val="-3"/>
      <w:sz w:val="32"/>
    </w:rPr>
  </w:style>
  <w:style w:type="paragraph" w:customStyle="1" w:styleId="Default">
    <w:name w:val="Default"/>
    <w:rsid w:val="0016447C"/>
    <w:pPr>
      <w:autoSpaceDE w:val="0"/>
      <w:autoSpaceDN w:val="0"/>
      <w:adjustRightInd w:val="0"/>
    </w:pPr>
    <w:rPr>
      <w:color w:val="000000"/>
      <w:sz w:val="24"/>
      <w:szCs w:val="24"/>
    </w:rPr>
  </w:style>
  <w:style w:type="paragraph" w:customStyle="1" w:styleId="disclaimer-box">
    <w:name w:val="disclaimer-box"/>
    <w:basedOn w:val="Basetext"/>
    <w:rsid w:val="0016447C"/>
    <w:pPr>
      <w:pBdr>
        <w:top w:val="single" w:sz="2" w:space="6" w:color="auto"/>
        <w:left w:val="single" w:sz="2" w:space="4" w:color="auto"/>
        <w:bottom w:val="single" w:sz="2" w:space="6" w:color="auto"/>
        <w:right w:val="single" w:sz="2" w:space="4" w:color="auto"/>
      </w:pBdr>
      <w:jc w:val="center"/>
    </w:pPr>
    <w:rPr>
      <w:rFonts w:ascii="Arial" w:hAnsi="Arial"/>
      <w:b/>
      <w:sz w:val="32"/>
    </w:rPr>
  </w:style>
  <w:style w:type="paragraph" w:customStyle="1" w:styleId="disclaimer-text">
    <w:name w:val="disclaimer-text"/>
    <w:basedOn w:val="Basetext"/>
    <w:rsid w:val="0016447C"/>
    <w:pPr>
      <w:spacing w:before="300"/>
    </w:pPr>
  </w:style>
  <w:style w:type="paragraph" w:styleId="DocumentMap">
    <w:name w:val="Document Map"/>
    <w:basedOn w:val="Normal"/>
    <w:link w:val="DocumentMapChar"/>
    <w:uiPriority w:val="99"/>
    <w:semiHidden/>
    <w:unhideWhenUsed/>
    <w:rsid w:val="0016447C"/>
    <w:rPr>
      <w:szCs w:val="24"/>
    </w:rPr>
  </w:style>
  <w:style w:type="character" w:customStyle="1" w:styleId="DocumentMapChar">
    <w:name w:val="Document Map Char"/>
    <w:basedOn w:val="DefaultParagraphFont"/>
    <w:link w:val="DocumentMap"/>
    <w:uiPriority w:val="99"/>
    <w:semiHidden/>
    <w:rsid w:val="0016447C"/>
    <w:rPr>
      <w:sz w:val="24"/>
      <w:szCs w:val="24"/>
    </w:rPr>
  </w:style>
  <w:style w:type="paragraph" w:customStyle="1" w:styleId="endnote-header">
    <w:name w:val="endnote-header"/>
    <w:basedOn w:val="Baseheading"/>
    <w:rsid w:val="0016447C"/>
    <w:pPr>
      <w:keepNext/>
      <w:spacing w:before="120" w:after="120"/>
    </w:pPr>
    <w:rPr>
      <w:b/>
      <w:color w:val="0A357E"/>
      <w:sz w:val="32"/>
    </w:rPr>
  </w:style>
  <w:style w:type="paragraph" w:customStyle="1" w:styleId="es-heading2">
    <w:name w:val="es-heading_2"/>
    <w:basedOn w:val="Baseheading"/>
    <w:rsid w:val="0016447C"/>
    <w:pPr>
      <w:spacing w:before="240" w:after="120"/>
      <w:ind w:left="720" w:hanging="720"/>
      <w:outlineLvl w:val="1"/>
    </w:pPr>
    <w:rPr>
      <w:b/>
      <w:sz w:val="28"/>
    </w:rPr>
  </w:style>
  <w:style w:type="paragraph" w:customStyle="1" w:styleId="es-heading3">
    <w:name w:val="es-heading_3"/>
    <w:basedOn w:val="Baseheading"/>
    <w:rsid w:val="0016447C"/>
    <w:pPr>
      <w:spacing w:before="120" w:after="120"/>
      <w:ind w:left="720" w:hanging="720"/>
      <w:outlineLvl w:val="2"/>
    </w:pPr>
    <w:rPr>
      <w:b/>
      <w:sz w:val="24"/>
    </w:rPr>
  </w:style>
  <w:style w:type="paragraph" w:customStyle="1" w:styleId="figure-inline">
    <w:name w:val="figure-inline"/>
    <w:basedOn w:val="Basetext"/>
    <w:rsid w:val="0016447C"/>
    <w:pPr>
      <w:jc w:val="center"/>
    </w:pPr>
  </w:style>
  <w:style w:type="paragraph" w:customStyle="1" w:styleId="figure-inlinew-box">
    <w:name w:val="figure-inline_w-box"/>
    <w:basedOn w:val="Basetext"/>
    <w:rsid w:val="0016447C"/>
    <w:pPr>
      <w:pBdr>
        <w:top w:val="single" w:sz="12" w:space="9" w:color="auto"/>
        <w:left w:val="single" w:sz="12" w:space="6" w:color="auto"/>
        <w:bottom w:val="single" w:sz="12" w:space="9" w:color="auto"/>
        <w:right w:val="single" w:sz="12" w:space="6" w:color="auto"/>
      </w:pBdr>
      <w:ind w:left="187" w:right="187"/>
      <w:jc w:val="center"/>
    </w:pPr>
  </w:style>
  <w:style w:type="paragraph" w:customStyle="1" w:styleId="figure-notealt-1">
    <w:name w:val="figure-note_alt-1"/>
    <w:basedOn w:val="Basetext"/>
    <w:rsid w:val="0016447C"/>
    <w:pPr>
      <w:keepLines/>
      <w:spacing w:before="60"/>
      <w:ind w:left="187" w:hanging="187"/>
    </w:pPr>
    <w:rPr>
      <w:rFonts w:ascii="Arial" w:hAnsi="Arial"/>
      <w:sz w:val="18"/>
    </w:rPr>
  </w:style>
  <w:style w:type="paragraph" w:customStyle="1" w:styleId="figure-notealt-2">
    <w:name w:val="figure-note_alt-2"/>
    <w:basedOn w:val="Basetext"/>
    <w:rsid w:val="0016447C"/>
    <w:pPr>
      <w:keepLines/>
      <w:spacing w:before="60" w:after="240"/>
      <w:ind w:left="187" w:hanging="187"/>
    </w:pPr>
    <w:rPr>
      <w:rFonts w:ascii="Arial" w:hAnsi="Arial"/>
      <w:sz w:val="18"/>
    </w:rPr>
  </w:style>
  <w:style w:type="paragraph" w:customStyle="1" w:styleId="figure-notestd">
    <w:name w:val="figure-note_std"/>
    <w:basedOn w:val="Basetext"/>
    <w:rsid w:val="0016447C"/>
    <w:pPr>
      <w:keepLines/>
      <w:spacing w:before="120"/>
      <w:ind w:left="187" w:hanging="187"/>
    </w:pPr>
    <w:rPr>
      <w:rFonts w:ascii="Arial" w:hAnsi="Arial"/>
      <w:sz w:val="18"/>
    </w:rPr>
  </w:style>
  <w:style w:type="paragraph" w:customStyle="1" w:styleId="figure-sourcealt-1">
    <w:name w:val="figure-source_alt-1"/>
    <w:basedOn w:val="Basetext"/>
    <w:rsid w:val="0016447C"/>
    <w:pPr>
      <w:keepLines/>
      <w:spacing w:before="120"/>
      <w:ind w:left="187" w:hanging="187"/>
    </w:pPr>
    <w:rPr>
      <w:rFonts w:ascii="Arial" w:hAnsi="Arial"/>
      <w:sz w:val="18"/>
    </w:rPr>
  </w:style>
  <w:style w:type="paragraph" w:customStyle="1" w:styleId="figure-sourcestd">
    <w:name w:val="figure-source_std"/>
    <w:basedOn w:val="Basetext"/>
    <w:rsid w:val="0016447C"/>
    <w:pPr>
      <w:keepLines/>
      <w:spacing w:before="120" w:after="240"/>
      <w:ind w:left="187" w:hanging="187"/>
    </w:pPr>
    <w:rPr>
      <w:rFonts w:ascii="Arial" w:hAnsi="Arial"/>
      <w:sz w:val="18"/>
    </w:rPr>
  </w:style>
  <w:style w:type="paragraph" w:customStyle="1" w:styleId="figure-title">
    <w:name w:val="figure-title"/>
    <w:basedOn w:val="Basetext"/>
    <w:qFormat/>
    <w:rsid w:val="0016447C"/>
    <w:pPr>
      <w:keepNext/>
      <w:keepLines/>
      <w:snapToGrid w:val="0"/>
      <w:spacing w:before="120" w:after="80"/>
      <w:ind w:left="1080" w:hanging="1080"/>
    </w:pPr>
    <w:rPr>
      <w:rFonts w:ascii="Arial" w:hAnsi="Arial"/>
      <w:b/>
    </w:rPr>
  </w:style>
  <w:style w:type="paragraph" w:customStyle="1" w:styleId="figure-titlecontinued">
    <w:name w:val="figure-title_continued"/>
    <w:basedOn w:val="figure-title"/>
    <w:rsid w:val="0016447C"/>
    <w:pPr>
      <w:snapToGrid/>
    </w:pPr>
    <w:rPr>
      <w:rFonts w:eastAsia="Times New Roman"/>
      <w:snapToGrid w:val="0"/>
      <w:szCs w:val="20"/>
      <w:lang w:eastAsia="en-US"/>
    </w:rPr>
  </w:style>
  <w:style w:type="paragraph" w:styleId="HTMLPreformatted">
    <w:name w:val="HTML Preformatted"/>
    <w:basedOn w:val="Normal"/>
    <w:link w:val="HTMLPreformattedChar"/>
    <w:uiPriority w:val="99"/>
    <w:semiHidden/>
    <w:unhideWhenUsed/>
    <w:rsid w:val="0016447C"/>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16447C"/>
    <w:rPr>
      <w:rFonts w:ascii="Consolas" w:hAnsi="Consolas" w:cs="Consolas"/>
    </w:rPr>
  </w:style>
  <w:style w:type="paragraph" w:styleId="ListContinue">
    <w:name w:val="List Continue"/>
    <w:basedOn w:val="Basetext"/>
    <w:uiPriority w:val="99"/>
    <w:unhideWhenUsed/>
    <w:rsid w:val="0016447C"/>
    <w:pPr>
      <w:spacing w:after="80"/>
      <w:ind w:left="720"/>
    </w:pPr>
  </w:style>
  <w:style w:type="paragraph" w:styleId="ListContinue2">
    <w:name w:val="List Continue 2"/>
    <w:basedOn w:val="Normal"/>
    <w:unhideWhenUsed/>
    <w:rsid w:val="0016447C"/>
    <w:pPr>
      <w:spacing w:after="120"/>
      <w:ind w:left="1080"/>
      <w:contextualSpacing/>
    </w:pPr>
  </w:style>
  <w:style w:type="table" w:styleId="ListTable6Colorful-Accent3">
    <w:name w:val="List Table 6 Colorful Accent 3"/>
    <w:basedOn w:val="TableNormal"/>
    <w:uiPriority w:val="51"/>
    <w:rsid w:val="0016447C"/>
    <w:rPr>
      <w:rFonts w:eastAsiaTheme="minorHAnsi"/>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7Colorful-Accent6">
    <w:name w:val="List Table 7 Colorful Accent 6"/>
    <w:basedOn w:val="TableNormal"/>
    <w:uiPriority w:val="52"/>
    <w:rsid w:val="0016447C"/>
    <w:rPr>
      <w:rFonts w:eastAsiaTheme="minorHAnsi"/>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oSpacingChar">
    <w:name w:val="No Spacing Char"/>
    <w:link w:val="NoSpacing"/>
    <w:uiPriority w:val="1"/>
    <w:rsid w:val="0016447C"/>
    <w:rPr>
      <w:rFonts w:ascii="Calibri" w:hAnsi="Calibri" w:cs="Arial"/>
      <w:sz w:val="22"/>
      <w:szCs w:val="22"/>
    </w:rPr>
  </w:style>
  <w:style w:type="paragraph" w:customStyle="1" w:styleId="numbers">
    <w:name w:val="numbers"/>
    <w:basedOn w:val="Basetext"/>
    <w:rsid w:val="0016447C"/>
    <w:pPr>
      <w:tabs>
        <w:tab w:val="left" w:pos="1080"/>
      </w:tabs>
      <w:spacing w:after="80"/>
      <w:ind w:left="720" w:hanging="360"/>
    </w:pPr>
  </w:style>
  <w:style w:type="paragraph" w:customStyle="1" w:styleId="numbers2nd-level">
    <w:name w:val="numbers_2nd-level"/>
    <w:basedOn w:val="Basetext"/>
    <w:rsid w:val="0016447C"/>
    <w:pPr>
      <w:spacing w:after="80"/>
      <w:ind w:left="1080" w:hanging="360"/>
    </w:pPr>
  </w:style>
  <w:style w:type="paragraph" w:styleId="Quote">
    <w:name w:val="Quote"/>
    <w:basedOn w:val="Basetext"/>
    <w:next w:val="Normal"/>
    <w:link w:val="QuoteChar"/>
    <w:uiPriority w:val="29"/>
    <w:qFormat/>
    <w:rsid w:val="0016447C"/>
    <w:pPr>
      <w:spacing w:after="120"/>
      <w:ind w:left="720" w:right="720"/>
    </w:pPr>
    <w:rPr>
      <w:i/>
      <w:iCs/>
      <w:color w:val="000000"/>
    </w:rPr>
  </w:style>
  <w:style w:type="character" w:customStyle="1" w:styleId="QuoteChar">
    <w:name w:val="Quote Char"/>
    <w:basedOn w:val="DefaultParagraphFont"/>
    <w:link w:val="Quote"/>
    <w:uiPriority w:val="29"/>
    <w:rsid w:val="0016447C"/>
    <w:rPr>
      <w:rFonts w:eastAsia="SimSun"/>
      <w:i/>
      <w:iCs/>
      <w:color w:val="000000"/>
      <w:sz w:val="22"/>
      <w:szCs w:val="22"/>
      <w:lang w:eastAsia="zh-CN"/>
    </w:rPr>
  </w:style>
  <w:style w:type="paragraph" w:customStyle="1" w:styleId="summary-header">
    <w:name w:val="summary-header"/>
    <w:basedOn w:val="Baseheading"/>
    <w:rsid w:val="0016447C"/>
    <w:pPr>
      <w:pBdr>
        <w:top w:val="single" w:sz="4" w:space="4" w:color="auto"/>
        <w:left w:val="single" w:sz="4" w:space="4" w:color="auto"/>
        <w:bottom w:val="single" w:sz="4" w:space="4" w:color="auto"/>
        <w:right w:val="single" w:sz="4" w:space="0" w:color="auto"/>
      </w:pBdr>
      <w:shd w:val="clear" w:color="auto" w:fill="0A357E"/>
      <w:spacing w:after="120"/>
      <w:ind w:left="-2880" w:right="-2160" w:firstLine="2880"/>
      <w:contextualSpacing/>
    </w:pPr>
    <w:rPr>
      <w:b/>
      <w:color w:val="FFFFFF"/>
      <w:sz w:val="32"/>
    </w:rPr>
  </w:style>
  <w:style w:type="paragraph" w:customStyle="1" w:styleId="summary-text">
    <w:name w:val="summary-text"/>
    <w:basedOn w:val="Basetext"/>
    <w:rsid w:val="0016447C"/>
    <w:pPr>
      <w:spacing w:after="120"/>
    </w:pPr>
  </w:style>
  <w:style w:type="character" w:customStyle="1" w:styleId="TableHeadersChar">
    <w:name w:val="Table Headers Char"/>
    <w:link w:val="TableHeaders"/>
    <w:rsid w:val="0016447C"/>
    <w:rPr>
      <w:rFonts w:ascii="Arial" w:hAnsi="Arial"/>
      <w:b/>
      <w:snapToGrid w:val="0"/>
    </w:rPr>
  </w:style>
  <w:style w:type="paragraph" w:customStyle="1" w:styleId="TableParagraph">
    <w:name w:val="Table Paragraph"/>
    <w:basedOn w:val="Normal"/>
    <w:uiPriority w:val="1"/>
    <w:qFormat/>
    <w:rsid w:val="0016447C"/>
    <w:pPr>
      <w:widowControl w:val="0"/>
    </w:pPr>
    <w:rPr>
      <w:rFonts w:ascii="Calibri" w:eastAsia="Calibri" w:hAnsi="Calibri" w:cs="Arial"/>
    </w:rPr>
  </w:style>
  <w:style w:type="table" w:customStyle="1" w:styleId="TableBlue">
    <w:name w:val="Table_Blue"/>
    <w:basedOn w:val="TableNormal"/>
    <w:uiPriority w:val="99"/>
    <w:rsid w:val="0016447C"/>
    <w:rPr>
      <w:rFonts w:ascii="Arial" w:eastAsiaTheme="minorHAnsi" w:hAnsi="Arial"/>
    </w:rPr>
    <w:tblPr>
      <w:tblStyleRowBandSize w:val="1"/>
      <w:tblBorders>
        <w:top w:val="single" w:sz="4" w:space="0" w:color="D9D9D9"/>
        <w:bottom w:val="single" w:sz="4" w:space="0" w:color="D9D9D9"/>
        <w:insideH w:val="single" w:sz="4" w:space="0" w:color="D9D9D9"/>
        <w:insideV w:val="single" w:sz="4" w:space="0" w:color="D9D9D9"/>
      </w:tblBorders>
    </w:tblPr>
    <w:tblStylePr w:type="firstRow">
      <w:rPr>
        <w:color w:val="auto"/>
      </w:rPr>
      <w:tblPr/>
      <w:tcPr>
        <w:tcBorders>
          <w:top w:val="nil"/>
        </w:tcBorders>
        <w:shd w:val="clear" w:color="auto" w:fill="0A357E"/>
      </w:tcPr>
    </w:tblStylePr>
    <w:tblStylePr w:type="lastRow">
      <w:tblPr/>
      <w:tcPr>
        <w:tcBorders>
          <w:bottom w:val="single" w:sz="4" w:space="0" w:color="0A357E"/>
        </w:tcBorders>
      </w:tcPr>
    </w:tblStylePr>
    <w:tblStylePr w:type="band1Horz">
      <w:tblPr/>
      <w:tcPr>
        <w:tcBorders>
          <w:insideH w:val="nil"/>
          <w:insideV w:val="nil"/>
        </w:tcBorders>
        <w:shd w:val="clear" w:color="auto" w:fill="D5E3FB"/>
      </w:tcPr>
    </w:tblStylePr>
  </w:style>
  <w:style w:type="paragraph" w:customStyle="1" w:styleId="table-bullet2nd">
    <w:name w:val="table-bullet_2nd"/>
    <w:basedOn w:val="Basetext"/>
    <w:qFormat/>
    <w:rsid w:val="0016447C"/>
    <w:pPr>
      <w:numPr>
        <w:ilvl w:val="1"/>
        <w:numId w:val="53"/>
      </w:numPr>
      <w:spacing w:before="40" w:after="40"/>
    </w:pPr>
    <w:rPr>
      <w:rFonts w:ascii="Arial" w:hAnsi="Arial"/>
      <w:sz w:val="18"/>
    </w:rPr>
  </w:style>
  <w:style w:type="paragraph" w:customStyle="1" w:styleId="table-bulletind-10">
    <w:name w:val="table-bullet_ind-10"/>
    <w:basedOn w:val="table-bulletLM"/>
    <w:rsid w:val="00E47419"/>
    <w:pPr>
      <w:ind w:left="602" w:hanging="306"/>
    </w:pPr>
  </w:style>
  <w:style w:type="paragraph" w:customStyle="1" w:styleId="TableHeading-9">
    <w:name w:val="Table Heading-9"/>
    <w:basedOn w:val="Basetext"/>
    <w:rsid w:val="00345F85"/>
    <w:pPr>
      <w:widowControl w:val="0"/>
      <w:spacing w:before="40" w:after="40"/>
      <w:jc w:val="center"/>
    </w:pPr>
    <w:rPr>
      <w:b/>
      <w:sz w:val="18"/>
    </w:rPr>
  </w:style>
  <w:style w:type="paragraph" w:customStyle="1" w:styleId="table-notealt-1">
    <w:name w:val="table-note_alt-1"/>
    <w:basedOn w:val="Basetext"/>
    <w:rsid w:val="0016447C"/>
    <w:pPr>
      <w:keepLines/>
      <w:spacing w:before="120"/>
      <w:ind w:left="187" w:hanging="187"/>
    </w:pPr>
    <w:rPr>
      <w:rFonts w:ascii="Arial" w:hAnsi="Arial"/>
      <w:sz w:val="18"/>
    </w:rPr>
  </w:style>
  <w:style w:type="paragraph" w:customStyle="1" w:styleId="table-notealt-2">
    <w:name w:val="table-note_alt-2"/>
    <w:basedOn w:val="Basetext"/>
    <w:rsid w:val="0016447C"/>
    <w:pPr>
      <w:keepLines/>
      <w:spacing w:before="60"/>
      <w:ind w:left="187" w:hanging="187"/>
    </w:pPr>
    <w:rPr>
      <w:rFonts w:ascii="Arial" w:hAnsi="Arial"/>
      <w:sz w:val="18"/>
    </w:rPr>
  </w:style>
  <w:style w:type="paragraph" w:customStyle="1" w:styleId="table-notestd">
    <w:name w:val="table-note_std"/>
    <w:basedOn w:val="Basetext"/>
    <w:rsid w:val="0016447C"/>
    <w:pPr>
      <w:keepLines/>
      <w:spacing w:before="120" w:after="240"/>
      <w:ind w:left="187" w:hanging="187"/>
    </w:pPr>
    <w:rPr>
      <w:rFonts w:ascii="Arial" w:hAnsi="Arial"/>
      <w:sz w:val="18"/>
    </w:rPr>
  </w:style>
  <w:style w:type="paragraph" w:customStyle="1" w:styleId="table-sourcealt-1">
    <w:name w:val="table-source_alt-1"/>
    <w:basedOn w:val="Basetext"/>
    <w:rsid w:val="0016447C"/>
    <w:pPr>
      <w:keepLines/>
      <w:spacing w:before="120"/>
      <w:ind w:left="187" w:hanging="187"/>
    </w:pPr>
    <w:rPr>
      <w:rFonts w:ascii="Arial" w:hAnsi="Arial"/>
      <w:sz w:val="18"/>
    </w:rPr>
  </w:style>
  <w:style w:type="paragraph" w:customStyle="1" w:styleId="table-sourcestd">
    <w:name w:val="table-source_std"/>
    <w:basedOn w:val="Basetext"/>
    <w:rsid w:val="0016447C"/>
    <w:pPr>
      <w:keepLines/>
      <w:spacing w:before="120" w:after="240"/>
      <w:ind w:left="187" w:hanging="187"/>
    </w:pPr>
    <w:rPr>
      <w:rFonts w:ascii="Arial" w:hAnsi="Arial"/>
      <w:sz w:val="18"/>
    </w:rPr>
  </w:style>
  <w:style w:type="paragraph" w:customStyle="1" w:styleId="TableText-9">
    <w:name w:val="Table Text-9"/>
    <w:basedOn w:val="Basetext"/>
    <w:qFormat/>
    <w:rsid w:val="00417711"/>
    <w:pPr>
      <w:widowControl w:val="0"/>
      <w:spacing w:before="20" w:after="20"/>
    </w:pPr>
    <w:rPr>
      <w:sz w:val="18"/>
    </w:rPr>
  </w:style>
  <w:style w:type="paragraph" w:customStyle="1" w:styleId="table-textindent">
    <w:name w:val="table-text_indent"/>
    <w:basedOn w:val="Basetext"/>
    <w:qFormat/>
    <w:rsid w:val="0016447C"/>
    <w:pPr>
      <w:spacing w:before="40" w:after="40"/>
      <w:ind w:left="245"/>
    </w:pPr>
    <w:rPr>
      <w:rFonts w:ascii="Arial" w:hAnsi="Arial"/>
      <w:sz w:val="18"/>
    </w:rPr>
  </w:style>
  <w:style w:type="paragraph" w:customStyle="1" w:styleId="table-titlecontinued">
    <w:name w:val="table-title_continued"/>
    <w:basedOn w:val="Basetext"/>
    <w:rsid w:val="0016447C"/>
    <w:pPr>
      <w:keepNext/>
      <w:keepLines/>
      <w:pageBreakBefore/>
      <w:snapToGrid w:val="0"/>
      <w:spacing w:before="120" w:after="80"/>
      <w:ind w:left="1080" w:hanging="1080"/>
    </w:pPr>
    <w:rPr>
      <w:rFonts w:ascii="Arial" w:hAnsi="Arial"/>
      <w:sz w:val="18"/>
    </w:rPr>
  </w:style>
  <w:style w:type="paragraph" w:customStyle="1" w:styleId="textbox-bullet">
    <w:name w:val="textbox-bullet"/>
    <w:basedOn w:val="Normal"/>
    <w:rsid w:val="0016447C"/>
    <w:pPr>
      <w:framePr w:hSpace="187" w:wrap="around" w:hAnchor="page" w:yAlign="top"/>
      <w:numPr>
        <w:ilvl w:val="1"/>
        <w:numId w:val="54"/>
      </w:numPr>
      <w:spacing w:after="60"/>
      <w:suppressOverlap/>
    </w:pPr>
    <w:rPr>
      <w:rFonts w:ascii="Arial" w:eastAsia="Calibri" w:hAnsi="Arial" w:cs="Arial"/>
      <w:color w:val="0A357E"/>
      <w:sz w:val="18"/>
    </w:rPr>
  </w:style>
  <w:style w:type="paragraph" w:customStyle="1" w:styleId="textbox-heading">
    <w:name w:val="textbox-heading"/>
    <w:basedOn w:val="Basetext"/>
    <w:rsid w:val="0016447C"/>
    <w:pPr>
      <w:spacing w:before="120" w:after="60"/>
    </w:pPr>
    <w:rPr>
      <w:rFonts w:ascii="Arial" w:hAnsi="Arial"/>
      <w:b/>
      <w:color w:val="0A357E"/>
    </w:rPr>
  </w:style>
  <w:style w:type="paragraph" w:customStyle="1" w:styleId="textbox-text">
    <w:name w:val="textbox-text"/>
    <w:basedOn w:val="textbox-bullet"/>
    <w:qFormat/>
    <w:rsid w:val="0016447C"/>
    <w:pPr>
      <w:framePr w:wrap="around"/>
      <w:numPr>
        <w:ilvl w:val="0"/>
        <w:numId w:val="0"/>
      </w:numPr>
      <w:spacing w:before="60"/>
      <w:ind w:left="-14"/>
    </w:pPr>
  </w:style>
  <w:style w:type="paragraph" w:customStyle="1" w:styleId="TOCSubheading">
    <w:name w:val="TOC Subheading"/>
    <w:basedOn w:val="Normal"/>
    <w:rsid w:val="0016447C"/>
    <w:pPr>
      <w:keepNext/>
      <w:keepLines/>
      <w:tabs>
        <w:tab w:val="right" w:pos="9360"/>
      </w:tabs>
      <w:spacing w:before="240" w:after="240"/>
    </w:pPr>
    <w:rPr>
      <w:b/>
    </w:rPr>
  </w:style>
  <w:style w:type="paragraph" w:customStyle="1" w:styleId="TOCsubheading0">
    <w:name w:val="TOC_subheading"/>
    <w:basedOn w:val="Basetext"/>
    <w:rsid w:val="0016447C"/>
    <w:pPr>
      <w:keepNext/>
      <w:keepLines/>
      <w:tabs>
        <w:tab w:val="right" w:pos="9360"/>
      </w:tabs>
      <w:spacing w:before="240" w:after="240"/>
    </w:pPr>
    <w:rPr>
      <w:b/>
      <w:sz w:val="24"/>
    </w:rPr>
  </w:style>
  <w:style w:type="character" w:customStyle="1" w:styleId="abolditalicChar">
    <w:name w:val="abold_italic Char"/>
    <w:rsid w:val="0016447C"/>
    <w:rPr>
      <w:b/>
      <w:i/>
      <w:sz w:val="22"/>
    </w:rPr>
  </w:style>
  <w:style w:type="paragraph" w:customStyle="1" w:styleId="table-heders-side">
    <w:name w:val="table-heders-side"/>
    <w:basedOn w:val="TableHeading-9"/>
    <w:qFormat/>
    <w:rsid w:val="0016447C"/>
    <w:pPr>
      <w:ind w:left="72"/>
      <w:jc w:val="left"/>
    </w:pPr>
  </w:style>
  <w:style w:type="paragraph" w:customStyle="1" w:styleId="table-header-side">
    <w:name w:val="table-header-side"/>
    <w:basedOn w:val="TableHeaders"/>
    <w:qFormat/>
    <w:rsid w:val="0016447C"/>
    <w:pPr>
      <w:keepLines/>
      <w:spacing w:before="40" w:after="40" w:line="240" w:lineRule="auto"/>
      <w:ind w:left="113" w:right="113"/>
      <w:jc w:val="left"/>
    </w:pPr>
    <w:rPr>
      <w:rFonts w:ascii="Arial Narrow" w:hAnsi="Arial Narrow"/>
      <w:color w:val="FFFFFF" w:themeColor="background1"/>
    </w:rPr>
  </w:style>
  <w:style w:type="character" w:customStyle="1" w:styleId="table-titlebold">
    <w:name w:val="table-titlebold"/>
    <w:basedOn w:val="DefaultParagraphFont"/>
    <w:uiPriority w:val="1"/>
    <w:qFormat/>
    <w:rsid w:val="0016447C"/>
    <w:rPr>
      <w:rFonts w:ascii="Arial" w:hAnsi="Arial"/>
      <w:b/>
      <w:sz w:val="20"/>
    </w:rPr>
  </w:style>
  <w:style w:type="paragraph" w:customStyle="1" w:styleId="ablue">
    <w:name w:val="ablue"/>
    <w:basedOn w:val="BodyText"/>
    <w:link w:val="ablueChar"/>
    <w:qFormat/>
    <w:rsid w:val="0016447C"/>
    <w:pPr>
      <w:spacing w:after="0" w:line="360" w:lineRule="auto"/>
      <w:ind w:firstLine="720"/>
    </w:pPr>
    <w:rPr>
      <w:rFonts w:cs="Times New Roman"/>
      <w:b/>
      <w:bCs w:val="0"/>
      <w:i/>
      <w:color w:val="0053CC"/>
      <w:u w:val="single"/>
    </w:rPr>
  </w:style>
  <w:style w:type="character" w:customStyle="1" w:styleId="ablueChar">
    <w:name w:val="ablue Char"/>
    <w:basedOn w:val="BodyTextChar"/>
    <w:link w:val="ablue"/>
    <w:rsid w:val="0016447C"/>
    <w:rPr>
      <w:rFonts w:cs="Times New Roman"/>
      <w:b/>
      <w:i/>
      <w:color w:val="0053CC"/>
      <w:sz w:val="24"/>
      <w:u w:val="single"/>
      <w:lang w:val="en-US" w:eastAsia="en-US" w:bidi="ar-SA"/>
    </w:rPr>
  </w:style>
  <w:style w:type="paragraph" w:customStyle="1" w:styleId="PropFooterPgLimit">
    <w:name w:val="_Prop_Footer_PgLimit"/>
    <w:next w:val="Normal"/>
    <w:rsid w:val="0016447C"/>
    <w:pPr>
      <w:tabs>
        <w:tab w:val="right" w:pos="9288"/>
      </w:tabs>
    </w:pPr>
    <w:rPr>
      <w:rFonts w:ascii="Arial" w:hAnsi="Arial"/>
      <w:i/>
      <w:sz w:val="16"/>
    </w:rPr>
  </w:style>
  <w:style w:type="paragraph" w:customStyle="1" w:styleId="PropHeaderPgLimit">
    <w:name w:val="_Prop_Header_PgLimit"/>
    <w:next w:val="Normal"/>
    <w:rsid w:val="0016447C"/>
    <w:pPr>
      <w:tabs>
        <w:tab w:val="right" w:pos="9360"/>
      </w:tabs>
    </w:pPr>
    <w:rPr>
      <w:rFonts w:ascii="Arial" w:hAnsi="Arial"/>
      <w:sz w:val="16"/>
    </w:rPr>
  </w:style>
  <w:style w:type="paragraph" w:customStyle="1" w:styleId="ack-header">
    <w:name w:val="ack-header"/>
    <w:basedOn w:val="Baseheading"/>
    <w:rsid w:val="0016447C"/>
    <w:pPr>
      <w:keepNext/>
      <w:spacing w:before="240" w:after="240"/>
    </w:pPr>
    <w:rPr>
      <w:rFonts w:cs="Arial"/>
      <w:b/>
      <w:color w:val="0A357E"/>
      <w:kern w:val="28"/>
      <w:sz w:val="32"/>
      <w:szCs w:val="32"/>
    </w:rPr>
  </w:style>
  <w:style w:type="paragraph" w:customStyle="1" w:styleId="ack-text">
    <w:name w:val="ack-text"/>
    <w:basedOn w:val="Basetext"/>
    <w:rsid w:val="0016447C"/>
    <w:pPr>
      <w:spacing w:after="120"/>
    </w:pPr>
  </w:style>
  <w:style w:type="paragraph" w:customStyle="1" w:styleId="app-heading2">
    <w:name w:val="app-heading_2"/>
    <w:basedOn w:val="Baseheading"/>
    <w:rsid w:val="0016447C"/>
    <w:pPr>
      <w:keepNext/>
      <w:spacing w:before="240" w:after="120"/>
      <w:ind w:left="720" w:hanging="720"/>
      <w:outlineLvl w:val="1"/>
    </w:pPr>
    <w:rPr>
      <w:rFonts w:cs="Arial"/>
      <w:b/>
      <w:kern w:val="28"/>
      <w:sz w:val="28"/>
    </w:rPr>
  </w:style>
  <w:style w:type="paragraph" w:customStyle="1" w:styleId="app-heading3">
    <w:name w:val="app-heading_3"/>
    <w:basedOn w:val="Baseheading"/>
    <w:rsid w:val="0016447C"/>
    <w:pPr>
      <w:keepNext/>
      <w:spacing w:before="240" w:after="120"/>
      <w:ind w:left="720" w:hanging="720"/>
      <w:outlineLvl w:val="2"/>
    </w:pPr>
    <w:rPr>
      <w:rFonts w:cs="Arial"/>
      <w:b/>
      <w:kern w:val="28"/>
      <w:sz w:val="24"/>
    </w:rPr>
  </w:style>
  <w:style w:type="paragraph" w:customStyle="1" w:styleId="author-affil-header">
    <w:name w:val="author-affil-header"/>
    <w:basedOn w:val="Baseheading"/>
    <w:rsid w:val="0016447C"/>
    <w:pPr>
      <w:jc w:val="center"/>
    </w:pPr>
  </w:style>
  <w:style w:type="paragraph" w:customStyle="1" w:styleId="author-affil-text">
    <w:name w:val="author-affil-text"/>
    <w:basedOn w:val="Basetext"/>
    <w:rsid w:val="0016447C"/>
    <w:pPr>
      <w:spacing w:after="160" w:line="320" w:lineRule="exact"/>
    </w:pPr>
  </w:style>
  <w:style w:type="paragraph" w:customStyle="1" w:styleId="author-bio-info">
    <w:name w:val="author-bio-info"/>
    <w:basedOn w:val="Basetext"/>
    <w:rsid w:val="0016447C"/>
    <w:pPr>
      <w:spacing w:after="160" w:line="320" w:lineRule="exact"/>
    </w:pPr>
  </w:style>
  <w:style w:type="paragraph" w:styleId="Bibliography">
    <w:name w:val="Bibliography"/>
    <w:basedOn w:val="Normal"/>
    <w:next w:val="Normal"/>
    <w:uiPriority w:val="37"/>
    <w:semiHidden/>
    <w:unhideWhenUsed/>
    <w:rsid w:val="0016447C"/>
  </w:style>
  <w:style w:type="paragraph" w:styleId="BlockText">
    <w:name w:val="Block Text"/>
    <w:basedOn w:val="Normal"/>
    <w:uiPriority w:val="99"/>
    <w:rsid w:val="0016447C"/>
  </w:style>
  <w:style w:type="paragraph" w:customStyle="1" w:styleId="copyright-permissions">
    <w:name w:val="copyright-permissions"/>
    <w:basedOn w:val="Basetext"/>
    <w:rsid w:val="0016447C"/>
    <w:pPr>
      <w:spacing w:after="160" w:line="320" w:lineRule="exact"/>
    </w:pPr>
  </w:style>
  <w:style w:type="paragraph" w:customStyle="1" w:styleId="cover-rfp">
    <w:name w:val="cover-rfp"/>
    <w:basedOn w:val="BasicParagraph"/>
    <w:qFormat/>
    <w:rsid w:val="0016447C"/>
    <w:pPr>
      <w:tabs>
        <w:tab w:val="left" w:pos="260"/>
      </w:tabs>
      <w:ind w:left="-25"/>
    </w:pPr>
    <w:rPr>
      <w:rFonts w:ascii="Arial Narrow" w:hAnsi="Arial Narrow" w:cs="Arial"/>
      <w:color w:val="auto"/>
      <w:spacing w:val="-3"/>
    </w:rPr>
  </w:style>
  <w:style w:type="character" w:customStyle="1" w:styleId="cover-textChar">
    <w:name w:val="cover-text Char"/>
    <w:link w:val="cover-text0"/>
    <w:rsid w:val="0016447C"/>
    <w:rPr>
      <w:rFonts w:ascii="Arial Narrow" w:eastAsia="SimSun" w:hAnsi="Arial Narrow"/>
      <w:szCs w:val="22"/>
      <w:lang w:eastAsia="zh-CN"/>
    </w:rPr>
  </w:style>
  <w:style w:type="paragraph" w:customStyle="1" w:styleId="es-heading4">
    <w:name w:val="es-heading_4"/>
    <w:basedOn w:val="Normal"/>
    <w:rsid w:val="0016447C"/>
    <w:pPr>
      <w:keepNext/>
      <w:spacing w:before="120" w:after="120"/>
      <w:outlineLvl w:val="3"/>
    </w:pPr>
    <w:rPr>
      <w:rFonts w:ascii="Arial" w:hAnsi="Arial" w:cs="Arial"/>
      <w:b/>
      <w:i/>
      <w:kern w:val="28"/>
    </w:rPr>
  </w:style>
  <w:style w:type="paragraph" w:customStyle="1" w:styleId="table-headers-side">
    <w:name w:val="table-headers-side"/>
    <w:basedOn w:val="TableHeading-9"/>
    <w:qFormat/>
    <w:rsid w:val="0016447C"/>
    <w:pPr>
      <w:spacing w:before="80" w:after="80"/>
      <w:ind w:left="72" w:right="72"/>
      <w:jc w:val="left"/>
    </w:pPr>
    <w:rPr>
      <w:rFonts w:ascii="Verdana" w:hAnsi="Verdana"/>
    </w:rPr>
  </w:style>
  <w:style w:type="paragraph" w:customStyle="1" w:styleId="msonormal0">
    <w:name w:val="msonormal"/>
    <w:basedOn w:val="Normal"/>
    <w:rsid w:val="0016447C"/>
    <w:pPr>
      <w:spacing w:before="100" w:beforeAutospacing="1" w:after="100" w:afterAutospacing="1"/>
    </w:pPr>
    <w:rPr>
      <w:szCs w:val="24"/>
    </w:rPr>
  </w:style>
  <w:style w:type="paragraph" w:customStyle="1" w:styleId="font5">
    <w:name w:val="font5"/>
    <w:basedOn w:val="Normal"/>
    <w:rsid w:val="0016447C"/>
    <w:pPr>
      <w:spacing w:before="100" w:beforeAutospacing="1" w:after="100" w:afterAutospacing="1"/>
    </w:pPr>
    <w:rPr>
      <w:color w:val="000000"/>
      <w:sz w:val="20"/>
    </w:rPr>
  </w:style>
  <w:style w:type="paragraph" w:customStyle="1" w:styleId="font6">
    <w:name w:val="font6"/>
    <w:basedOn w:val="Normal"/>
    <w:rsid w:val="0016447C"/>
    <w:pPr>
      <w:spacing w:before="100" w:beforeAutospacing="1" w:after="100" w:afterAutospacing="1"/>
    </w:pPr>
    <w:rPr>
      <w:color w:val="000000"/>
      <w:sz w:val="20"/>
    </w:rPr>
  </w:style>
  <w:style w:type="paragraph" w:customStyle="1" w:styleId="Source102">
    <w:name w:val="Source10_2"/>
    <w:basedOn w:val="Source10"/>
    <w:qFormat/>
    <w:rsid w:val="00950102"/>
    <w:pPr>
      <w:spacing w:after="240"/>
    </w:pPr>
  </w:style>
  <w:style w:type="paragraph" w:customStyle="1" w:styleId="Source-9-2">
    <w:name w:val="Source-9-2"/>
    <w:basedOn w:val="Source-9-1"/>
    <w:qFormat/>
    <w:rsid w:val="00950102"/>
    <w:pPr>
      <w:spacing w:after="240"/>
    </w:pPr>
  </w:style>
  <w:style w:type="paragraph" w:customStyle="1" w:styleId="table-text-bold-10">
    <w:name w:val="table-text-bold-10"/>
    <w:basedOn w:val="table-text-bold"/>
    <w:qFormat/>
    <w:rsid w:val="000D0627"/>
    <w:pPr>
      <w:spacing w:before="60" w:after="60"/>
    </w:pPr>
    <w:rPr>
      <w:sz w:val="20"/>
    </w:rPr>
  </w:style>
  <w:style w:type="paragraph" w:customStyle="1" w:styleId="ared">
    <w:name w:val="ared"/>
    <w:basedOn w:val="Normal"/>
    <w:qFormat/>
    <w:rsid w:val="009D4F31"/>
    <w:pPr>
      <w:keepNext/>
      <w:ind w:left="1962" w:hanging="1962"/>
    </w:pPr>
    <w:rPr>
      <w:rFonts w:cs="Courier New"/>
      <w:b/>
      <w:color w:val="990033"/>
      <w:sz w:val="28"/>
      <w:szCs w:val="22"/>
    </w:rPr>
  </w:style>
  <w:style w:type="paragraph" w:customStyle="1" w:styleId="apage">
    <w:name w:val="apage"/>
    <w:basedOn w:val="Normal"/>
    <w:qFormat/>
    <w:rsid w:val="00B513F2"/>
    <w:pPr>
      <w:tabs>
        <w:tab w:val="left" w:pos="1440"/>
        <w:tab w:val="right" w:leader="dot" w:pos="9350"/>
      </w:tabs>
      <w:jc w:val="center"/>
    </w:pPr>
    <w:rPr>
      <w:i/>
    </w:rPr>
  </w:style>
  <w:style w:type="character" w:customStyle="1" w:styleId="UnresolvedMention2">
    <w:name w:val="Unresolved Mention2"/>
    <w:basedOn w:val="DefaultParagraphFont"/>
    <w:uiPriority w:val="99"/>
    <w:semiHidden/>
    <w:unhideWhenUsed/>
    <w:rsid w:val="004913F0"/>
    <w:rPr>
      <w:color w:val="605E5C"/>
      <w:shd w:val="clear" w:color="auto" w:fill="E1DFDD"/>
    </w:rPr>
  </w:style>
  <w:style w:type="paragraph" w:customStyle="1" w:styleId="xmsonormal">
    <w:name w:val="x_msonormal"/>
    <w:basedOn w:val="Normal"/>
    <w:uiPriority w:val="99"/>
    <w:rsid w:val="00B10103"/>
    <w:rPr>
      <w:rFonts w:ascii="Calibri" w:eastAsiaTheme="minorHAnsi" w:hAnsi="Calibri" w:cs="Calibri"/>
      <w:sz w:val="22"/>
      <w:szCs w:val="22"/>
    </w:rPr>
  </w:style>
  <w:style w:type="character" w:customStyle="1" w:styleId="UnresolvedMention3">
    <w:name w:val="Unresolved Mention3"/>
    <w:basedOn w:val="DefaultParagraphFont"/>
    <w:uiPriority w:val="99"/>
    <w:semiHidden/>
    <w:unhideWhenUsed/>
    <w:rsid w:val="00695C79"/>
    <w:rPr>
      <w:color w:val="605E5C"/>
      <w:shd w:val="clear" w:color="auto" w:fill="E1DFDD"/>
    </w:rPr>
  </w:style>
  <w:style w:type="table" w:customStyle="1" w:styleId="TableGrid111">
    <w:name w:val="Table Grid111"/>
    <w:basedOn w:val="TableNormal"/>
    <w:next w:val="TableGrid"/>
    <w:uiPriority w:val="39"/>
    <w:rsid w:val="0075276E"/>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75276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5E5A4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center-9">
    <w:name w:val="Table Text-center-9"/>
    <w:basedOn w:val="TableText-center"/>
    <w:qFormat/>
    <w:rsid w:val="008563A4"/>
    <w:rPr>
      <w:sz w:val="18"/>
      <w:szCs w:val="18"/>
    </w:rPr>
  </w:style>
  <w:style w:type="character" w:styleId="UnresolvedMention">
    <w:name w:val="Unresolved Mention"/>
    <w:basedOn w:val="DefaultParagraphFont"/>
    <w:uiPriority w:val="99"/>
    <w:semiHidden/>
    <w:unhideWhenUsed/>
    <w:rsid w:val="00C90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174">
      <w:bodyDiv w:val="1"/>
      <w:marLeft w:val="0"/>
      <w:marRight w:val="0"/>
      <w:marTop w:val="0"/>
      <w:marBottom w:val="0"/>
      <w:divBdr>
        <w:top w:val="none" w:sz="0" w:space="0" w:color="auto"/>
        <w:left w:val="none" w:sz="0" w:space="0" w:color="auto"/>
        <w:bottom w:val="none" w:sz="0" w:space="0" w:color="auto"/>
        <w:right w:val="none" w:sz="0" w:space="0" w:color="auto"/>
      </w:divBdr>
    </w:div>
    <w:div w:id="17320471">
      <w:bodyDiv w:val="1"/>
      <w:marLeft w:val="0"/>
      <w:marRight w:val="0"/>
      <w:marTop w:val="0"/>
      <w:marBottom w:val="0"/>
      <w:divBdr>
        <w:top w:val="none" w:sz="0" w:space="0" w:color="auto"/>
        <w:left w:val="none" w:sz="0" w:space="0" w:color="auto"/>
        <w:bottom w:val="none" w:sz="0" w:space="0" w:color="auto"/>
        <w:right w:val="none" w:sz="0" w:space="0" w:color="auto"/>
      </w:divBdr>
    </w:div>
    <w:div w:id="20136774">
      <w:bodyDiv w:val="1"/>
      <w:marLeft w:val="0"/>
      <w:marRight w:val="0"/>
      <w:marTop w:val="0"/>
      <w:marBottom w:val="0"/>
      <w:divBdr>
        <w:top w:val="none" w:sz="0" w:space="0" w:color="auto"/>
        <w:left w:val="none" w:sz="0" w:space="0" w:color="auto"/>
        <w:bottom w:val="none" w:sz="0" w:space="0" w:color="auto"/>
        <w:right w:val="none" w:sz="0" w:space="0" w:color="auto"/>
      </w:divBdr>
    </w:div>
    <w:div w:id="27919840">
      <w:bodyDiv w:val="1"/>
      <w:marLeft w:val="0"/>
      <w:marRight w:val="0"/>
      <w:marTop w:val="0"/>
      <w:marBottom w:val="0"/>
      <w:divBdr>
        <w:top w:val="none" w:sz="0" w:space="0" w:color="auto"/>
        <w:left w:val="none" w:sz="0" w:space="0" w:color="auto"/>
        <w:bottom w:val="none" w:sz="0" w:space="0" w:color="auto"/>
        <w:right w:val="none" w:sz="0" w:space="0" w:color="auto"/>
      </w:divBdr>
    </w:div>
    <w:div w:id="65305254">
      <w:bodyDiv w:val="1"/>
      <w:marLeft w:val="0"/>
      <w:marRight w:val="0"/>
      <w:marTop w:val="0"/>
      <w:marBottom w:val="0"/>
      <w:divBdr>
        <w:top w:val="none" w:sz="0" w:space="0" w:color="auto"/>
        <w:left w:val="none" w:sz="0" w:space="0" w:color="auto"/>
        <w:bottom w:val="none" w:sz="0" w:space="0" w:color="auto"/>
        <w:right w:val="none" w:sz="0" w:space="0" w:color="auto"/>
      </w:divBdr>
    </w:div>
    <w:div w:id="68430948">
      <w:bodyDiv w:val="1"/>
      <w:marLeft w:val="0"/>
      <w:marRight w:val="0"/>
      <w:marTop w:val="0"/>
      <w:marBottom w:val="0"/>
      <w:divBdr>
        <w:top w:val="none" w:sz="0" w:space="0" w:color="auto"/>
        <w:left w:val="none" w:sz="0" w:space="0" w:color="auto"/>
        <w:bottom w:val="none" w:sz="0" w:space="0" w:color="auto"/>
        <w:right w:val="none" w:sz="0" w:space="0" w:color="auto"/>
      </w:divBdr>
    </w:div>
    <w:div w:id="100801556">
      <w:bodyDiv w:val="1"/>
      <w:marLeft w:val="0"/>
      <w:marRight w:val="0"/>
      <w:marTop w:val="0"/>
      <w:marBottom w:val="0"/>
      <w:divBdr>
        <w:top w:val="none" w:sz="0" w:space="0" w:color="auto"/>
        <w:left w:val="none" w:sz="0" w:space="0" w:color="auto"/>
        <w:bottom w:val="none" w:sz="0" w:space="0" w:color="auto"/>
        <w:right w:val="none" w:sz="0" w:space="0" w:color="auto"/>
      </w:divBdr>
    </w:div>
    <w:div w:id="103963858">
      <w:bodyDiv w:val="1"/>
      <w:marLeft w:val="0"/>
      <w:marRight w:val="0"/>
      <w:marTop w:val="0"/>
      <w:marBottom w:val="0"/>
      <w:divBdr>
        <w:top w:val="none" w:sz="0" w:space="0" w:color="auto"/>
        <w:left w:val="none" w:sz="0" w:space="0" w:color="auto"/>
        <w:bottom w:val="none" w:sz="0" w:space="0" w:color="auto"/>
        <w:right w:val="none" w:sz="0" w:space="0" w:color="auto"/>
      </w:divBdr>
    </w:div>
    <w:div w:id="116335726">
      <w:bodyDiv w:val="1"/>
      <w:marLeft w:val="0"/>
      <w:marRight w:val="0"/>
      <w:marTop w:val="0"/>
      <w:marBottom w:val="0"/>
      <w:divBdr>
        <w:top w:val="none" w:sz="0" w:space="0" w:color="auto"/>
        <w:left w:val="none" w:sz="0" w:space="0" w:color="auto"/>
        <w:bottom w:val="none" w:sz="0" w:space="0" w:color="auto"/>
        <w:right w:val="none" w:sz="0" w:space="0" w:color="auto"/>
      </w:divBdr>
    </w:div>
    <w:div w:id="139347833">
      <w:bodyDiv w:val="1"/>
      <w:marLeft w:val="0"/>
      <w:marRight w:val="0"/>
      <w:marTop w:val="0"/>
      <w:marBottom w:val="0"/>
      <w:divBdr>
        <w:top w:val="none" w:sz="0" w:space="0" w:color="auto"/>
        <w:left w:val="none" w:sz="0" w:space="0" w:color="auto"/>
        <w:bottom w:val="none" w:sz="0" w:space="0" w:color="auto"/>
        <w:right w:val="none" w:sz="0" w:space="0" w:color="auto"/>
      </w:divBdr>
    </w:div>
    <w:div w:id="145632553">
      <w:bodyDiv w:val="1"/>
      <w:marLeft w:val="0"/>
      <w:marRight w:val="0"/>
      <w:marTop w:val="0"/>
      <w:marBottom w:val="0"/>
      <w:divBdr>
        <w:top w:val="none" w:sz="0" w:space="0" w:color="auto"/>
        <w:left w:val="none" w:sz="0" w:space="0" w:color="auto"/>
        <w:bottom w:val="none" w:sz="0" w:space="0" w:color="auto"/>
        <w:right w:val="none" w:sz="0" w:space="0" w:color="auto"/>
      </w:divBdr>
    </w:div>
    <w:div w:id="155221884">
      <w:bodyDiv w:val="1"/>
      <w:marLeft w:val="0"/>
      <w:marRight w:val="0"/>
      <w:marTop w:val="0"/>
      <w:marBottom w:val="0"/>
      <w:divBdr>
        <w:top w:val="none" w:sz="0" w:space="0" w:color="auto"/>
        <w:left w:val="none" w:sz="0" w:space="0" w:color="auto"/>
        <w:bottom w:val="none" w:sz="0" w:space="0" w:color="auto"/>
        <w:right w:val="none" w:sz="0" w:space="0" w:color="auto"/>
      </w:divBdr>
    </w:div>
    <w:div w:id="199825009">
      <w:bodyDiv w:val="1"/>
      <w:marLeft w:val="0"/>
      <w:marRight w:val="0"/>
      <w:marTop w:val="0"/>
      <w:marBottom w:val="0"/>
      <w:divBdr>
        <w:top w:val="none" w:sz="0" w:space="0" w:color="auto"/>
        <w:left w:val="none" w:sz="0" w:space="0" w:color="auto"/>
        <w:bottom w:val="none" w:sz="0" w:space="0" w:color="auto"/>
        <w:right w:val="none" w:sz="0" w:space="0" w:color="auto"/>
      </w:divBdr>
    </w:div>
    <w:div w:id="235435458">
      <w:bodyDiv w:val="1"/>
      <w:marLeft w:val="0"/>
      <w:marRight w:val="0"/>
      <w:marTop w:val="0"/>
      <w:marBottom w:val="0"/>
      <w:divBdr>
        <w:top w:val="none" w:sz="0" w:space="0" w:color="auto"/>
        <w:left w:val="none" w:sz="0" w:space="0" w:color="auto"/>
        <w:bottom w:val="none" w:sz="0" w:space="0" w:color="auto"/>
        <w:right w:val="none" w:sz="0" w:space="0" w:color="auto"/>
      </w:divBdr>
    </w:div>
    <w:div w:id="274410907">
      <w:bodyDiv w:val="1"/>
      <w:marLeft w:val="0"/>
      <w:marRight w:val="0"/>
      <w:marTop w:val="0"/>
      <w:marBottom w:val="0"/>
      <w:divBdr>
        <w:top w:val="none" w:sz="0" w:space="0" w:color="auto"/>
        <w:left w:val="none" w:sz="0" w:space="0" w:color="auto"/>
        <w:bottom w:val="none" w:sz="0" w:space="0" w:color="auto"/>
        <w:right w:val="none" w:sz="0" w:space="0" w:color="auto"/>
      </w:divBdr>
    </w:div>
    <w:div w:id="276912292">
      <w:bodyDiv w:val="1"/>
      <w:marLeft w:val="0"/>
      <w:marRight w:val="0"/>
      <w:marTop w:val="0"/>
      <w:marBottom w:val="0"/>
      <w:divBdr>
        <w:top w:val="none" w:sz="0" w:space="0" w:color="auto"/>
        <w:left w:val="none" w:sz="0" w:space="0" w:color="auto"/>
        <w:bottom w:val="none" w:sz="0" w:space="0" w:color="auto"/>
        <w:right w:val="none" w:sz="0" w:space="0" w:color="auto"/>
      </w:divBdr>
    </w:div>
    <w:div w:id="277689050">
      <w:bodyDiv w:val="1"/>
      <w:marLeft w:val="0"/>
      <w:marRight w:val="0"/>
      <w:marTop w:val="0"/>
      <w:marBottom w:val="0"/>
      <w:divBdr>
        <w:top w:val="none" w:sz="0" w:space="0" w:color="auto"/>
        <w:left w:val="none" w:sz="0" w:space="0" w:color="auto"/>
        <w:bottom w:val="none" w:sz="0" w:space="0" w:color="auto"/>
        <w:right w:val="none" w:sz="0" w:space="0" w:color="auto"/>
      </w:divBdr>
    </w:div>
    <w:div w:id="284964487">
      <w:bodyDiv w:val="1"/>
      <w:marLeft w:val="0"/>
      <w:marRight w:val="0"/>
      <w:marTop w:val="0"/>
      <w:marBottom w:val="0"/>
      <w:divBdr>
        <w:top w:val="none" w:sz="0" w:space="0" w:color="auto"/>
        <w:left w:val="none" w:sz="0" w:space="0" w:color="auto"/>
        <w:bottom w:val="none" w:sz="0" w:space="0" w:color="auto"/>
        <w:right w:val="none" w:sz="0" w:space="0" w:color="auto"/>
      </w:divBdr>
    </w:div>
    <w:div w:id="296032771">
      <w:bodyDiv w:val="1"/>
      <w:marLeft w:val="0"/>
      <w:marRight w:val="0"/>
      <w:marTop w:val="0"/>
      <w:marBottom w:val="0"/>
      <w:divBdr>
        <w:top w:val="none" w:sz="0" w:space="0" w:color="auto"/>
        <w:left w:val="none" w:sz="0" w:space="0" w:color="auto"/>
        <w:bottom w:val="none" w:sz="0" w:space="0" w:color="auto"/>
        <w:right w:val="none" w:sz="0" w:space="0" w:color="auto"/>
      </w:divBdr>
    </w:div>
    <w:div w:id="306057817">
      <w:bodyDiv w:val="1"/>
      <w:marLeft w:val="0"/>
      <w:marRight w:val="0"/>
      <w:marTop w:val="0"/>
      <w:marBottom w:val="0"/>
      <w:divBdr>
        <w:top w:val="none" w:sz="0" w:space="0" w:color="auto"/>
        <w:left w:val="none" w:sz="0" w:space="0" w:color="auto"/>
        <w:bottom w:val="none" w:sz="0" w:space="0" w:color="auto"/>
        <w:right w:val="none" w:sz="0" w:space="0" w:color="auto"/>
      </w:divBdr>
    </w:div>
    <w:div w:id="308098037">
      <w:bodyDiv w:val="1"/>
      <w:marLeft w:val="0"/>
      <w:marRight w:val="0"/>
      <w:marTop w:val="0"/>
      <w:marBottom w:val="0"/>
      <w:divBdr>
        <w:top w:val="none" w:sz="0" w:space="0" w:color="auto"/>
        <w:left w:val="none" w:sz="0" w:space="0" w:color="auto"/>
        <w:bottom w:val="none" w:sz="0" w:space="0" w:color="auto"/>
        <w:right w:val="none" w:sz="0" w:space="0" w:color="auto"/>
      </w:divBdr>
    </w:div>
    <w:div w:id="333455065">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1977743">
      <w:bodyDiv w:val="1"/>
      <w:marLeft w:val="0"/>
      <w:marRight w:val="0"/>
      <w:marTop w:val="0"/>
      <w:marBottom w:val="0"/>
      <w:divBdr>
        <w:top w:val="none" w:sz="0" w:space="0" w:color="auto"/>
        <w:left w:val="none" w:sz="0" w:space="0" w:color="auto"/>
        <w:bottom w:val="none" w:sz="0" w:space="0" w:color="auto"/>
        <w:right w:val="none" w:sz="0" w:space="0" w:color="auto"/>
      </w:divBdr>
    </w:div>
    <w:div w:id="349644384">
      <w:bodyDiv w:val="1"/>
      <w:marLeft w:val="0"/>
      <w:marRight w:val="0"/>
      <w:marTop w:val="0"/>
      <w:marBottom w:val="0"/>
      <w:divBdr>
        <w:top w:val="none" w:sz="0" w:space="0" w:color="auto"/>
        <w:left w:val="none" w:sz="0" w:space="0" w:color="auto"/>
        <w:bottom w:val="none" w:sz="0" w:space="0" w:color="auto"/>
        <w:right w:val="none" w:sz="0" w:space="0" w:color="auto"/>
      </w:divBdr>
      <w:divsChild>
        <w:div w:id="368071303">
          <w:marLeft w:val="375"/>
          <w:marRight w:val="0"/>
          <w:marTop w:val="0"/>
          <w:marBottom w:val="0"/>
          <w:divBdr>
            <w:top w:val="none" w:sz="0" w:space="0" w:color="auto"/>
            <w:left w:val="none" w:sz="0" w:space="0" w:color="auto"/>
            <w:bottom w:val="none" w:sz="0" w:space="0" w:color="auto"/>
            <w:right w:val="none" w:sz="0" w:space="0" w:color="auto"/>
          </w:divBdr>
        </w:div>
      </w:divsChild>
    </w:div>
    <w:div w:id="354959639">
      <w:bodyDiv w:val="1"/>
      <w:marLeft w:val="0"/>
      <w:marRight w:val="0"/>
      <w:marTop w:val="0"/>
      <w:marBottom w:val="0"/>
      <w:divBdr>
        <w:top w:val="none" w:sz="0" w:space="0" w:color="auto"/>
        <w:left w:val="none" w:sz="0" w:space="0" w:color="auto"/>
        <w:bottom w:val="none" w:sz="0" w:space="0" w:color="auto"/>
        <w:right w:val="none" w:sz="0" w:space="0" w:color="auto"/>
      </w:divBdr>
    </w:div>
    <w:div w:id="363754436">
      <w:bodyDiv w:val="1"/>
      <w:marLeft w:val="0"/>
      <w:marRight w:val="0"/>
      <w:marTop w:val="0"/>
      <w:marBottom w:val="0"/>
      <w:divBdr>
        <w:top w:val="none" w:sz="0" w:space="0" w:color="auto"/>
        <w:left w:val="none" w:sz="0" w:space="0" w:color="auto"/>
        <w:bottom w:val="none" w:sz="0" w:space="0" w:color="auto"/>
        <w:right w:val="none" w:sz="0" w:space="0" w:color="auto"/>
      </w:divBdr>
    </w:div>
    <w:div w:id="367686676">
      <w:bodyDiv w:val="1"/>
      <w:marLeft w:val="0"/>
      <w:marRight w:val="0"/>
      <w:marTop w:val="0"/>
      <w:marBottom w:val="0"/>
      <w:divBdr>
        <w:top w:val="none" w:sz="0" w:space="0" w:color="auto"/>
        <w:left w:val="none" w:sz="0" w:space="0" w:color="auto"/>
        <w:bottom w:val="none" w:sz="0" w:space="0" w:color="auto"/>
        <w:right w:val="none" w:sz="0" w:space="0" w:color="auto"/>
      </w:divBdr>
    </w:div>
    <w:div w:id="389230446">
      <w:bodyDiv w:val="1"/>
      <w:marLeft w:val="0"/>
      <w:marRight w:val="0"/>
      <w:marTop w:val="0"/>
      <w:marBottom w:val="0"/>
      <w:divBdr>
        <w:top w:val="none" w:sz="0" w:space="0" w:color="auto"/>
        <w:left w:val="none" w:sz="0" w:space="0" w:color="auto"/>
        <w:bottom w:val="none" w:sz="0" w:space="0" w:color="auto"/>
        <w:right w:val="none" w:sz="0" w:space="0" w:color="auto"/>
      </w:divBdr>
    </w:div>
    <w:div w:id="398750990">
      <w:bodyDiv w:val="1"/>
      <w:marLeft w:val="0"/>
      <w:marRight w:val="0"/>
      <w:marTop w:val="0"/>
      <w:marBottom w:val="0"/>
      <w:divBdr>
        <w:top w:val="none" w:sz="0" w:space="0" w:color="auto"/>
        <w:left w:val="none" w:sz="0" w:space="0" w:color="auto"/>
        <w:bottom w:val="none" w:sz="0" w:space="0" w:color="auto"/>
        <w:right w:val="none" w:sz="0" w:space="0" w:color="auto"/>
      </w:divBdr>
    </w:div>
    <w:div w:id="399401263">
      <w:bodyDiv w:val="1"/>
      <w:marLeft w:val="0"/>
      <w:marRight w:val="0"/>
      <w:marTop w:val="0"/>
      <w:marBottom w:val="0"/>
      <w:divBdr>
        <w:top w:val="none" w:sz="0" w:space="0" w:color="auto"/>
        <w:left w:val="none" w:sz="0" w:space="0" w:color="auto"/>
        <w:bottom w:val="none" w:sz="0" w:space="0" w:color="auto"/>
        <w:right w:val="none" w:sz="0" w:space="0" w:color="auto"/>
      </w:divBdr>
    </w:div>
    <w:div w:id="405036336">
      <w:bodyDiv w:val="1"/>
      <w:marLeft w:val="0"/>
      <w:marRight w:val="0"/>
      <w:marTop w:val="0"/>
      <w:marBottom w:val="0"/>
      <w:divBdr>
        <w:top w:val="none" w:sz="0" w:space="0" w:color="auto"/>
        <w:left w:val="none" w:sz="0" w:space="0" w:color="auto"/>
        <w:bottom w:val="none" w:sz="0" w:space="0" w:color="auto"/>
        <w:right w:val="none" w:sz="0" w:space="0" w:color="auto"/>
      </w:divBdr>
    </w:div>
    <w:div w:id="414087965">
      <w:bodyDiv w:val="1"/>
      <w:marLeft w:val="0"/>
      <w:marRight w:val="0"/>
      <w:marTop w:val="0"/>
      <w:marBottom w:val="0"/>
      <w:divBdr>
        <w:top w:val="none" w:sz="0" w:space="0" w:color="auto"/>
        <w:left w:val="none" w:sz="0" w:space="0" w:color="auto"/>
        <w:bottom w:val="none" w:sz="0" w:space="0" w:color="auto"/>
        <w:right w:val="none" w:sz="0" w:space="0" w:color="auto"/>
      </w:divBdr>
    </w:div>
    <w:div w:id="439498577">
      <w:bodyDiv w:val="1"/>
      <w:marLeft w:val="0"/>
      <w:marRight w:val="0"/>
      <w:marTop w:val="0"/>
      <w:marBottom w:val="0"/>
      <w:divBdr>
        <w:top w:val="none" w:sz="0" w:space="0" w:color="auto"/>
        <w:left w:val="none" w:sz="0" w:space="0" w:color="auto"/>
        <w:bottom w:val="none" w:sz="0" w:space="0" w:color="auto"/>
        <w:right w:val="none" w:sz="0" w:space="0" w:color="auto"/>
      </w:divBdr>
    </w:div>
    <w:div w:id="453444282">
      <w:bodyDiv w:val="1"/>
      <w:marLeft w:val="0"/>
      <w:marRight w:val="0"/>
      <w:marTop w:val="0"/>
      <w:marBottom w:val="0"/>
      <w:divBdr>
        <w:top w:val="none" w:sz="0" w:space="0" w:color="auto"/>
        <w:left w:val="none" w:sz="0" w:space="0" w:color="auto"/>
        <w:bottom w:val="none" w:sz="0" w:space="0" w:color="auto"/>
        <w:right w:val="none" w:sz="0" w:space="0" w:color="auto"/>
      </w:divBdr>
    </w:div>
    <w:div w:id="460808290">
      <w:bodyDiv w:val="1"/>
      <w:marLeft w:val="0"/>
      <w:marRight w:val="0"/>
      <w:marTop w:val="0"/>
      <w:marBottom w:val="0"/>
      <w:divBdr>
        <w:top w:val="none" w:sz="0" w:space="0" w:color="auto"/>
        <w:left w:val="none" w:sz="0" w:space="0" w:color="auto"/>
        <w:bottom w:val="none" w:sz="0" w:space="0" w:color="auto"/>
        <w:right w:val="none" w:sz="0" w:space="0" w:color="auto"/>
      </w:divBdr>
    </w:div>
    <w:div w:id="474181789">
      <w:bodyDiv w:val="1"/>
      <w:marLeft w:val="0"/>
      <w:marRight w:val="0"/>
      <w:marTop w:val="0"/>
      <w:marBottom w:val="0"/>
      <w:divBdr>
        <w:top w:val="none" w:sz="0" w:space="0" w:color="auto"/>
        <w:left w:val="none" w:sz="0" w:space="0" w:color="auto"/>
        <w:bottom w:val="none" w:sz="0" w:space="0" w:color="auto"/>
        <w:right w:val="none" w:sz="0" w:space="0" w:color="auto"/>
      </w:divBdr>
    </w:div>
    <w:div w:id="502822187">
      <w:bodyDiv w:val="1"/>
      <w:marLeft w:val="0"/>
      <w:marRight w:val="0"/>
      <w:marTop w:val="0"/>
      <w:marBottom w:val="0"/>
      <w:divBdr>
        <w:top w:val="none" w:sz="0" w:space="0" w:color="auto"/>
        <w:left w:val="none" w:sz="0" w:space="0" w:color="auto"/>
        <w:bottom w:val="none" w:sz="0" w:space="0" w:color="auto"/>
        <w:right w:val="none" w:sz="0" w:space="0" w:color="auto"/>
      </w:divBdr>
    </w:div>
    <w:div w:id="517429149">
      <w:bodyDiv w:val="1"/>
      <w:marLeft w:val="0"/>
      <w:marRight w:val="0"/>
      <w:marTop w:val="0"/>
      <w:marBottom w:val="0"/>
      <w:divBdr>
        <w:top w:val="none" w:sz="0" w:space="0" w:color="auto"/>
        <w:left w:val="none" w:sz="0" w:space="0" w:color="auto"/>
        <w:bottom w:val="none" w:sz="0" w:space="0" w:color="auto"/>
        <w:right w:val="none" w:sz="0" w:space="0" w:color="auto"/>
      </w:divBdr>
    </w:div>
    <w:div w:id="535197128">
      <w:bodyDiv w:val="1"/>
      <w:marLeft w:val="0"/>
      <w:marRight w:val="0"/>
      <w:marTop w:val="0"/>
      <w:marBottom w:val="0"/>
      <w:divBdr>
        <w:top w:val="none" w:sz="0" w:space="0" w:color="auto"/>
        <w:left w:val="none" w:sz="0" w:space="0" w:color="auto"/>
        <w:bottom w:val="none" w:sz="0" w:space="0" w:color="auto"/>
        <w:right w:val="none" w:sz="0" w:space="0" w:color="auto"/>
      </w:divBdr>
    </w:div>
    <w:div w:id="541403935">
      <w:bodyDiv w:val="1"/>
      <w:marLeft w:val="0"/>
      <w:marRight w:val="0"/>
      <w:marTop w:val="0"/>
      <w:marBottom w:val="0"/>
      <w:divBdr>
        <w:top w:val="none" w:sz="0" w:space="0" w:color="auto"/>
        <w:left w:val="none" w:sz="0" w:space="0" w:color="auto"/>
        <w:bottom w:val="none" w:sz="0" w:space="0" w:color="auto"/>
        <w:right w:val="none" w:sz="0" w:space="0" w:color="auto"/>
      </w:divBdr>
    </w:div>
    <w:div w:id="545946826">
      <w:bodyDiv w:val="1"/>
      <w:marLeft w:val="0"/>
      <w:marRight w:val="0"/>
      <w:marTop w:val="0"/>
      <w:marBottom w:val="0"/>
      <w:divBdr>
        <w:top w:val="none" w:sz="0" w:space="0" w:color="auto"/>
        <w:left w:val="none" w:sz="0" w:space="0" w:color="auto"/>
        <w:bottom w:val="none" w:sz="0" w:space="0" w:color="auto"/>
        <w:right w:val="none" w:sz="0" w:space="0" w:color="auto"/>
      </w:divBdr>
    </w:div>
    <w:div w:id="567154809">
      <w:bodyDiv w:val="1"/>
      <w:marLeft w:val="0"/>
      <w:marRight w:val="0"/>
      <w:marTop w:val="0"/>
      <w:marBottom w:val="0"/>
      <w:divBdr>
        <w:top w:val="none" w:sz="0" w:space="0" w:color="auto"/>
        <w:left w:val="none" w:sz="0" w:space="0" w:color="auto"/>
        <w:bottom w:val="none" w:sz="0" w:space="0" w:color="auto"/>
        <w:right w:val="none" w:sz="0" w:space="0" w:color="auto"/>
      </w:divBdr>
    </w:div>
    <w:div w:id="585845142">
      <w:bodyDiv w:val="1"/>
      <w:marLeft w:val="0"/>
      <w:marRight w:val="0"/>
      <w:marTop w:val="0"/>
      <w:marBottom w:val="0"/>
      <w:divBdr>
        <w:top w:val="none" w:sz="0" w:space="0" w:color="auto"/>
        <w:left w:val="none" w:sz="0" w:space="0" w:color="auto"/>
        <w:bottom w:val="none" w:sz="0" w:space="0" w:color="auto"/>
        <w:right w:val="none" w:sz="0" w:space="0" w:color="auto"/>
      </w:divBdr>
    </w:div>
    <w:div w:id="593784286">
      <w:bodyDiv w:val="1"/>
      <w:marLeft w:val="0"/>
      <w:marRight w:val="0"/>
      <w:marTop w:val="0"/>
      <w:marBottom w:val="0"/>
      <w:divBdr>
        <w:top w:val="none" w:sz="0" w:space="0" w:color="auto"/>
        <w:left w:val="none" w:sz="0" w:space="0" w:color="auto"/>
        <w:bottom w:val="none" w:sz="0" w:space="0" w:color="auto"/>
        <w:right w:val="none" w:sz="0" w:space="0" w:color="auto"/>
      </w:divBdr>
    </w:div>
    <w:div w:id="594902078">
      <w:bodyDiv w:val="1"/>
      <w:marLeft w:val="0"/>
      <w:marRight w:val="0"/>
      <w:marTop w:val="0"/>
      <w:marBottom w:val="0"/>
      <w:divBdr>
        <w:top w:val="none" w:sz="0" w:space="0" w:color="auto"/>
        <w:left w:val="none" w:sz="0" w:space="0" w:color="auto"/>
        <w:bottom w:val="none" w:sz="0" w:space="0" w:color="auto"/>
        <w:right w:val="none" w:sz="0" w:space="0" w:color="auto"/>
      </w:divBdr>
    </w:div>
    <w:div w:id="598638080">
      <w:bodyDiv w:val="1"/>
      <w:marLeft w:val="0"/>
      <w:marRight w:val="0"/>
      <w:marTop w:val="0"/>
      <w:marBottom w:val="0"/>
      <w:divBdr>
        <w:top w:val="none" w:sz="0" w:space="0" w:color="auto"/>
        <w:left w:val="none" w:sz="0" w:space="0" w:color="auto"/>
        <w:bottom w:val="none" w:sz="0" w:space="0" w:color="auto"/>
        <w:right w:val="none" w:sz="0" w:space="0" w:color="auto"/>
      </w:divBdr>
    </w:div>
    <w:div w:id="602541171">
      <w:bodyDiv w:val="1"/>
      <w:marLeft w:val="0"/>
      <w:marRight w:val="0"/>
      <w:marTop w:val="0"/>
      <w:marBottom w:val="0"/>
      <w:divBdr>
        <w:top w:val="none" w:sz="0" w:space="0" w:color="auto"/>
        <w:left w:val="none" w:sz="0" w:space="0" w:color="auto"/>
        <w:bottom w:val="none" w:sz="0" w:space="0" w:color="auto"/>
        <w:right w:val="none" w:sz="0" w:space="0" w:color="auto"/>
      </w:divBdr>
    </w:div>
    <w:div w:id="618030778">
      <w:bodyDiv w:val="1"/>
      <w:marLeft w:val="0"/>
      <w:marRight w:val="0"/>
      <w:marTop w:val="0"/>
      <w:marBottom w:val="0"/>
      <w:divBdr>
        <w:top w:val="none" w:sz="0" w:space="0" w:color="auto"/>
        <w:left w:val="none" w:sz="0" w:space="0" w:color="auto"/>
        <w:bottom w:val="none" w:sz="0" w:space="0" w:color="auto"/>
        <w:right w:val="none" w:sz="0" w:space="0" w:color="auto"/>
      </w:divBdr>
    </w:div>
    <w:div w:id="620577872">
      <w:bodyDiv w:val="1"/>
      <w:marLeft w:val="0"/>
      <w:marRight w:val="0"/>
      <w:marTop w:val="0"/>
      <w:marBottom w:val="0"/>
      <w:divBdr>
        <w:top w:val="none" w:sz="0" w:space="0" w:color="auto"/>
        <w:left w:val="none" w:sz="0" w:space="0" w:color="auto"/>
        <w:bottom w:val="none" w:sz="0" w:space="0" w:color="auto"/>
        <w:right w:val="none" w:sz="0" w:space="0" w:color="auto"/>
      </w:divBdr>
    </w:div>
    <w:div w:id="628323861">
      <w:bodyDiv w:val="1"/>
      <w:marLeft w:val="0"/>
      <w:marRight w:val="0"/>
      <w:marTop w:val="0"/>
      <w:marBottom w:val="0"/>
      <w:divBdr>
        <w:top w:val="none" w:sz="0" w:space="0" w:color="auto"/>
        <w:left w:val="none" w:sz="0" w:space="0" w:color="auto"/>
        <w:bottom w:val="none" w:sz="0" w:space="0" w:color="auto"/>
        <w:right w:val="none" w:sz="0" w:space="0" w:color="auto"/>
      </w:divBdr>
    </w:div>
    <w:div w:id="657810841">
      <w:bodyDiv w:val="1"/>
      <w:marLeft w:val="0"/>
      <w:marRight w:val="0"/>
      <w:marTop w:val="0"/>
      <w:marBottom w:val="0"/>
      <w:divBdr>
        <w:top w:val="none" w:sz="0" w:space="0" w:color="auto"/>
        <w:left w:val="none" w:sz="0" w:space="0" w:color="auto"/>
        <w:bottom w:val="none" w:sz="0" w:space="0" w:color="auto"/>
        <w:right w:val="none" w:sz="0" w:space="0" w:color="auto"/>
      </w:divBdr>
    </w:div>
    <w:div w:id="659888928">
      <w:bodyDiv w:val="1"/>
      <w:marLeft w:val="0"/>
      <w:marRight w:val="0"/>
      <w:marTop w:val="0"/>
      <w:marBottom w:val="0"/>
      <w:divBdr>
        <w:top w:val="none" w:sz="0" w:space="0" w:color="auto"/>
        <w:left w:val="none" w:sz="0" w:space="0" w:color="auto"/>
        <w:bottom w:val="none" w:sz="0" w:space="0" w:color="auto"/>
        <w:right w:val="none" w:sz="0" w:space="0" w:color="auto"/>
      </w:divBdr>
    </w:div>
    <w:div w:id="683170523">
      <w:bodyDiv w:val="1"/>
      <w:marLeft w:val="0"/>
      <w:marRight w:val="0"/>
      <w:marTop w:val="0"/>
      <w:marBottom w:val="0"/>
      <w:divBdr>
        <w:top w:val="none" w:sz="0" w:space="0" w:color="auto"/>
        <w:left w:val="none" w:sz="0" w:space="0" w:color="auto"/>
        <w:bottom w:val="none" w:sz="0" w:space="0" w:color="auto"/>
        <w:right w:val="none" w:sz="0" w:space="0" w:color="auto"/>
      </w:divBdr>
    </w:div>
    <w:div w:id="692848501">
      <w:bodyDiv w:val="1"/>
      <w:marLeft w:val="0"/>
      <w:marRight w:val="0"/>
      <w:marTop w:val="0"/>
      <w:marBottom w:val="0"/>
      <w:divBdr>
        <w:top w:val="none" w:sz="0" w:space="0" w:color="auto"/>
        <w:left w:val="none" w:sz="0" w:space="0" w:color="auto"/>
        <w:bottom w:val="none" w:sz="0" w:space="0" w:color="auto"/>
        <w:right w:val="none" w:sz="0" w:space="0" w:color="auto"/>
      </w:divBdr>
    </w:div>
    <w:div w:id="705300458">
      <w:bodyDiv w:val="1"/>
      <w:marLeft w:val="0"/>
      <w:marRight w:val="0"/>
      <w:marTop w:val="0"/>
      <w:marBottom w:val="0"/>
      <w:divBdr>
        <w:top w:val="none" w:sz="0" w:space="0" w:color="auto"/>
        <w:left w:val="none" w:sz="0" w:space="0" w:color="auto"/>
        <w:bottom w:val="none" w:sz="0" w:space="0" w:color="auto"/>
        <w:right w:val="none" w:sz="0" w:space="0" w:color="auto"/>
      </w:divBdr>
    </w:div>
    <w:div w:id="725300505">
      <w:bodyDiv w:val="1"/>
      <w:marLeft w:val="0"/>
      <w:marRight w:val="0"/>
      <w:marTop w:val="0"/>
      <w:marBottom w:val="0"/>
      <w:divBdr>
        <w:top w:val="none" w:sz="0" w:space="0" w:color="auto"/>
        <w:left w:val="none" w:sz="0" w:space="0" w:color="auto"/>
        <w:bottom w:val="none" w:sz="0" w:space="0" w:color="auto"/>
        <w:right w:val="none" w:sz="0" w:space="0" w:color="auto"/>
      </w:divBdr>
    </w:div>
    <w:div w:id="745418385">
      <w:bodyDiv w:val="1"/>
      <w:marLeft w:val="0"/>
      <w:marRight w:val="0"/>
      <w:marTop w:val="0"/>
      <w:marBottom w:val="0"/>
      <w:divBdr>
        <w:top w:val="none" w:sz="0" w:space="0" w:color="auto"/>
        <w:left w:val="none" w:sz="0" w:space="0" w:color="auto"/>
        <w:bottom w:val="none" w:sz="0" w:space="0" w:color="auto"/>
        <w:right w:val="none" w:sz="0" w:space="0" w:color="auto"/>
      </w:divBdr>
    </w:div>
    <w:div w:id="770275363">
      <w:bodyDiv w:val="1"/>
      <w:marLeft w:val="0"/>
      <w:marRight w:val="0"/>
      <w:marTop w:val="0"/>
      <w:marBottom w:val="0"/>
      <w:divBdr>
        <w:top w:val="none" w:sz="0" w:space="0" w:color="auto"/>
        <w:left w:val="none" w:sz="0" w:space="0" w:color="auto"/>
        <w:bottom w:val="none" w:sz="0" w:space="0" w:color="auto"/>
        <w:right w:val="none" w:sz="0" w:space="0" w:color="auto"/>
      </w:divBdr>
    </w:div>
    <w:div w:id="791436293">
      <w:bodyDiv w:val="1"/>
      <w:marLeft w:val="0"/>
      <w:marRight w:val="0"/>
      <w:marTop w:val="0"/>
      <w:marBottom w:val="0"/>
      <w:divBdr>
        <w:top w:val="none" w:sz="0" w:space="0" w:color="auto"/>
        <w:left w:val="none" w:sz="0" w:space="0" w:color="auto"/>
        <w:bottom w:val="none" w:sz="0" w:space="0" w:color="auto"/>
        <w:right w:val="none" w:sz="0" w:space="0" w:color="auto"/>
      </w:divBdr>
    </w:div>
    <w:div w:id="792095616">
      <w:bodyDiv w:val="1"/>
      <w:marLeft w:val="0"/>
      <w:marRight w:val="0"/>
      <w:marTop w:val="0"/>
      <w:marBottom w:val="0"/>
      <w:divBdr>
        <w:top w:val="none" w:sz="0" w:space="0" w:color="auto"/>
        <w:left w:val="none" w:sz="0" w:space="0" w:color="auto"/>
        <w:bottom w:val="none" w:sz="0" w:space="0" w:color="auto"/>
        <w:right w:val="none" w:sz="0" w:space="0" w:color="auto"/>
      </w:divBdr>
    </w:div>
    <w:div w:id="793869636">
      <w:bodyDiv w:val="1"/>
      <w:marLeft w:val="0"/>
      <w:marRight w:val="0"/>
      <w:marTop w:val="0"/>
      <w:marBottom w:val="0"/>
      <w:divBdr>
        <w:top w:val="none" w:sz="0" w:space="0" w:color="auto"/>
        <w:left w:val="none" w:sz="0" w:space="0" w:color="auto"/>
        <w:bottom w:val="none" w:sz="0" w:space="0" w:color="auto"/>
        <w:right w:val="none" w:sz="0" w:space="0" w:color="auto"/>
      </w:divBdr>
    </w:div>
    <w:div w:id="821968791">
      <w:bodyDiv w:val="1"/>
      <w:marLeft w:val="0"/>
      <w:marRight w:val="0"/>
      <w:marTop w:val="0"/>
      <w:marBottom w:val="0"/>
      <w:divBdr>
        <w:top w:val="none" w:sz="0" w:space="0" w:color="auto"/>
        <w:left w:val="none" w:sz="0" w:space="0" w:color="auto"/>
        <w:bottom w:val="none" w:sz="0" w:space="0" w:color="auto"/>
        <w:right w:val="none" w:sz="0" w:space="0" w:color="auto"/>
      </w:divBdr>
    </w:div>
    <w:div w:id="825360619">
      <w:bodyDiv w:val="1"/>
      <w:marLeft w:val="0"/>
      <w:marRight w:val="0"/>
      <w:marTop w:val="0"/>
      <w:marBottom w:val="0"/>
      <w:divBdr>
        <w:top w:val="none" w:sz="0" w:space="0" w:color="auto"/>
        <w:left w:val="none" w:sz="0" w:space="0" w:color="auto"/>
        <w:bottom w:val="none" w:sz="0" w:space="0" w:color="auto"/>
        <w:right w:val="none" w:sz="0" w:space="0" w:color="auto"/>
      </w:divBdr>
    </w:div>
    <w:div w:id="831261835">
      <w:bodyDiv w:val="1"/>
      <w:marLeft w:val="0"/>
      <w:marRight w:val="0"/>
      <w:marTop w:val="0"/>
      <w:marBottom w:val="0"/>
      <w:divBdr>
        <w:top w:val="none" w:sz="0" w:space="0" w:color="auto"/>
        <w:left w:val="none" w:sz="0" w:space="0" w:color="auto"/>
        <w:bottom w:val="none" w:sz="0" w:space="0" w:color="auto"/>
        <w:right w:val="none" w:sz="0" w:space="0" w:color="auto"/>
      </w:divBdr>
    </w:div>
    <w:div w:id="851333622">
      <w:bodyDiv w:val="1"/>
      <w:marLeft w:val="0"/>
      <w:marRight w:val="0"/>
      <w:marTop w:val="0"/>
      <w:marBottom w:val="0"/>
      <w:divBdr>
        <w:top w:val="none" w:sz="0" w:space="0" w:color="auto"/>
        <w:left w:val="none" w:sz="0" w:space="0" w:color="auto"/>
        <w:bottom w:val="none" w:sz="0" w:space="0" w:color="auto"/>
        <w:right w:val="none" w:sz="0" w:space="0" w:color="auto"/>
      </w:divBdr>
    </w:div>
    <w:div w:id="904225532">
      <w:bodyDiv w:val="1"/>
      <w:marLeft w:val="0"/>
      <w:marRight w:val="0"/>
      <w:marTop w:val="0"/>
      <w:marBottom w:val="0"/>
      <w:divBdr>
        <w:top w:val="none" w:sz="0" w:space="0" w:color="auto"/>
        <w:left w:val="none" w:sz="0" w:space="0" w:color="auto"/>
        <w:bottom w:val="none" w:sz="0" w:space="0" w:color="auto"/>
        <w:right w:val="none" w:sz="0" w:space="0" w:color="auto"/>
      </w:divBdr>
    </w:div>
    <w:div w:id="905146852">
      <w:bodyDiv w:val="1"/>
      <w:marLeft w:val="0"/>
      <w:marRight w:val="0"/>
      <w:marTop w:val="0"/>
      <w:marBottom w:val="0"/>
      <w:divBdr>
        <w:top w:val="none" w:sz="0" w:space="0" w:color="auto"/>
        <w:left w:val="none" w:sz="0" w:space="0" w:color="auto"/>
        <w:bottom w:val="none" w:sz="0" w:space="0" w:color="auto"/>
        <w:right w:val="none" w:sz="0" w:space="0" w:color="auto"/>
      </w:divBdr>
    </w:div>
    <w:div w:id="934364915">
      <w:bodyDiv w:val="1"/>
      <w:marLeft w:val="0"/>
      <w:marRight w:val="0"/>
      <w:marTop w:val="0"/>
      <w:marBottom w:val="0"/>
      <w:divBdr>
        <w:top w:val="none" w:sz="0" w:space="0" w:color="auto"/>
        <w:left w:val="none" w:sz="0" w:space="0" w:color="auto"/>
        <w:bottom w:val="none" w:sz="0" w:space="0" w:color="auto"/>
        <w:right w:val="none" w:sz="0" w:space="0" w:color="auto"/>
      </w:divBdr>
    </w:div>
    <w:div w:id="943461511">
      <w:bodyDiv w:val="1"/>
      <w:marLeft w:val="0"/>
      <w:marRight w:val="0"/>
      <w:marTop w:val="0"/>
      <w:marBottom w:val="0"/>
      <w:divBdr>
        <w:top w:val="none" w:sz="0" w:space="0" w:color="auto"/>
        <w:left w:val="none" w:sz="0" w:space="0" w:color="auto"/>
        <w:bottom w:val="none" w:sz="0" w:space="0" w:color="auto"/>
        <w:right w:val="none" w:sz="0" w:space="0" w:color="auto"/>
      </w:divBdr>
    </w:div>
    <w:div w:id="951478772">
      <w:bodyDiv w:val="1"/>
      <w:marLeft w:val="0"/>
      <w:marRight w:val="0"/>
      <w:marTop w:val="0"/>
      <w:marBottom w:val="0"/>
      <w:divBdr>
        <w:top w:val="none" w:sz="0" w:space="0" w:color="auto"/>
        <w:left w:val="none" w:sz="0" w:space="0" w:color="auto"/>
        <w:bottom w:val="none" w:sz="0" w:space="0" w:color="auto"/>
        <w:right w:val="none" w:sz="0" w:space="0" w:color="auto"/>
      </w:divBdr>
    </w:div>
    <w:div w:id="953902359">
      <w:bodyDiv w:val="1"/>
      <w:marLeft w:val="0"/>
      <w:marRight w:val="0"/>
      <w:marTop w:val="0"/>
      <w:marBottom w:val="0"/>
      <w:divBdr>
        <w:top w:val="none" w:sz="0" w:space="0" w:color="auto"/>
        <w:left w:val="none" w:sz="0" w:space="0" w:color="auto"/>
        <w:bottom w:val="none" w:sz="0" w:space="0" w:color="auto"/>
        <w:right w:val="none" w:sz="0" w:space="0" w:color="auto"/>
      </w:divBdr>
    </w:div>
    <w:div w:id="966543205">
      <w:bodyDiv w:val="1"/>
      <w:marLeft w:val="0"/>
      <w:marRight w:val="0"/>
      <w:marTop w:val="0"/>
      <w:marBottom w:val="0"/>
      <w:divBdr>
        <w:top w:val="none" w:sz="0" w:space="0" w:color="auto"/>
        <w:left w:val="none" w:sz="0" w:space="0" w:color="auto"/>
        <w:bottom w:val="none" w:sz="0" w:space="0" w:color="auto"/>
        <w:right w:val="none" w:sz="0" w:space="0" w:color="auto"/>
      </w:divBdr>
    </w:div>
    <w:div w:id="985353129">
      <w:bodyDiv w:val="1"/>
      <w:marLeft w:val="0"/>
      <w:marRight w:val="0"/>
      <w:marTop w:val="0"/>
      <w:marBottom w:val="0"/>
      <w:divBdr>
        <w:top w:val="none" w:sz="0" w:space="0" w:color="auto"/>
        <w:left w:val="none" w:sz="0" w:space="0" w:color="auto"/>
        <w:bottom w:val="none" w:sz="0" w:space="0" w:color="auto"/>
        <w:right w:val="none" w:sz="0" w:space="0" w:color="auto"/>
      </w:divBdr>
    </w:div>
    <w:div w:id="996419331">
      <w:bodyDiv w:val="1"/>
      <w:marLeft w:val="0"/>
      <w:marRight w:val="0"/>
      <w:marTop w:val="0"/>
      <w:marBottom w:val="0"/>
      <w:divBdr>
        <w:top w:val="none" w:sz="0" w:space="0" w:color="auto"/>
        <w:left w:val="none" w:sz="0" w:space="0" w:color="auto"/>
        <w:bottom w:val="none" w:sz="0" w:space="0" w:color="auto"/>
        <w:right w:val="none" w:sz="0" w:space="0" w:color="auto"/>
      </w:divBdr>
    </w:div>
    <w:div w:id="1009988250">
      <w:bodyDiv w:val="1"/>
      <w:marLeft w:val="0"/>
      <w:marRight w:val="0"/>
      <w:marTop w:val="0"/>
      <w:marBottom w:val="0"/>
      <w:divBdr>
        <w:top w:val="none" w:sz="0" w:space="0" w:color="auto"/>
        <w:left w:val="none" w:sz="0" w:space="0" w:color="auto"/>
        <w:bottom w:val="none" w:sz="0" w:space="0" w:color="auto"/>
        <w:right w:val="none" w:sz="0" w:space="0" w:color="auto"/>
      </w:divBdr>
    </w:div>
    <w:div w:id="1029798247">
      <w:bodyDiv w:val="1"/>
      <w:marLeft w:val="0"/>
      <w:marRight w:val="0"/>
      <w:marTop w:val="0"/>
      <w:marBottom w:val="0"/>
      <w:divBdr>
        <w:top w:val="none" w:sz="0" w:space="0" w:color="auto"/>
        <w:left w:val="none" w:sz="0" w:space="0" w:color="auto"/>
        <w:bottom w:val="none" w:sz="0" w:space="0" w:color="auto"/>
        <w:right w:val="none" w:sz="0" w:space="0" w:color="auto"/>
      </w:divBdr>
    </w:div>
    <w:div w:id="1032027004">
      <w:bodyDiv w:val="1"/>
      <w:marLeft w:val="0"/>
      <w:marRight w:val="0"/>
      <w:marTop w:val="0"/>
      <w:marBottom w:val="0"/>
      <w:divBdr>
        <w:top w:val="none" w:sz="0" w:space="0" w:color="auto"/>
        <w:left w:val="none" w:sz="0" w:space="0" w:color="auto"/>
        <w:bottom w:val="none" w:sz="0" w:space="0" w:color="auto"/>
        <w:right w:val="none" w:sz="0" w:space="0" w:color="auto"/>
      </w:divBdr>
    </w:div>
    <w:div w:id="1036347927">
      <w:bodyDiv w:val="1"/>
      <w:marLeft w:val="0"/>
      <w:marRight w:val="0"/>
      <w:marTop w:val="0"/>
      <w:marBottom w:val="0"/>
      <w:divBdr>
        <w:top w:val="none" w:sz="0" w:space="0" w:color="auto"/>
        <w:left w:val="none" w:sz="0" w:space="0" w:color="auto"/>
        <w:bottom w:val="none" w:sz="0" w:space="0" w:color="auto"/>
        <w:right w:val="none" w:sz="0" w:space="0" w:color="auto"/>
      </w:divBdr>
    </w:div>
    <w:div w:id="1045133170">
      <w:bodyDiv w:val="1"/>
      <w:marLeft w:val="0"/>
      <w:marRight w:val="0"/>
      <w:marTop w:val="0"/>
      <w:marBottom w:val="0"/>
      <w:divBdr>
        <w:top w:val="none" w:sz="0" w:space="0" w:color="auto"/>
        <w:left w:val="none" w:sz="0" w:space="0" w:color="auto"/>
        <w:bottom w:val="none" w:sz="0" w:space="0" w:color="auto"/>
        <w:right w:val="none" w:sz="0" w:space="0" w:color="auto"/>
      </w:divBdr>
    </w:div>
    <w:div w:id="1060059054">
      <w:bodyDiv w:val="1"/>
      <w:marLeft w:val="0"/>
      <w:marRight w:val="0"/>
      <w:marTop w:val="0"/>
      <w:marBottom w:val="0"/>
      <w:divBdr>
        <w:top w:val="none" w:sz="0" w:space="0" w:color="auto"/>
        <w:left w:val="none" w:sz="0" w:space="0" w:color="auto"/>
        <w:bottom w:val="none" w:sz="0" w:space="0" w:color="auto"/>
        <w:right w:val="none" w:sz="0" w:space="0" w:color="auto"/>
      </w:divBdr>
    </w:div>
    <w:div w:id="1120608201">
      <w:bodyDiv w:val="1"/>
      <w:marLeft w:val="0"/>
      <w:marRight w:val="0"/>
      <w:marTop w:val="0"/>
      <w:marBottom w:val="0"/>
      <w:divBdr>
        <w:top w:val="none" w:sz="0" w:space="0" w:color="auto"/>
        <w:left w:val="none" w:sz="0" w:space="0" w:color="auto"/>
        <w:bottom w:val="none" w:sz="0" w:space="0" w:color="auto"/>
        <w:right w:val="none" w:sz="0" w:space="0" w:color="auto"/>
      </w:divBdr>
    </w:div>
    <w:div w:id="1134981129">
      <w:bodyDiv w:val="1"/>
      <w:marLeft w:val="0"/>
      <w:marRight w:val="0"/>
      <w:marTop w:val="0"/>
      <w:marBottom w:val="0"/>
      <w:divBdr>
        <w:top w:val="none" w:sz="0" w:space="0" w:color="auto"/>
        <w:left w:val="none" w:sz="0" w:space="0" w:color="auto"/>
        <w:bottom w:val="none" w:sz="0" w:space="0" w:color="auto"/>
        <w:right w:val="none" w:sz="0" w:space="0" w:color="auto"/>
      </w:divBdr>
    </w:div>
    <w:div w:id="1141189990">
      <w:bodyDiv w:val="1"/>
      <w:marLeft w:val="0"/>
      <w:marRight w:val="0"/>
      <w:marTop w:val="0"/>
      <w:marBottom w:val="0"/>
      <w:divBdr>
        <w:top w:val="none" w:sz="0" w:space="0" w:color="auto"/>
        <w:left w:val="none" w:sz="0" w:space="0" w:color="auto"/>
        <w:bottom w:val="none" w:sz="0" w:space="0" w:color="auto"/>
        <w:right w:val="none" w:sz="0" w:space="0" w:color="auto"/>
      </w:divBdr>
    </w:div>
    <w:div w:id="1158690374">
      <w:bodyDiv w:val="1"/>
      <w:marLeft w:val="0"/>
      <w:marRight w:val="0"/>
      <w:marTop w:val="0"/>
      <w:marBottom w:val="0"/>
      <w:divBdr>
        <w:top w:val="none" w:sz="0" w:space="0" w:color="auto"/>
        <w:left w:val="none" w:sz="0" w:space="0" w:color="auto"/>
        <w:bottom w:val="none" w:sz="0" w:space="0" w:color="auto"/>
        <w:right w:val="none" w:sz="0" w:space="0" w:color="auto"/>
      </w:divBdr>
    </w:div>
    <w:div w:id="1164933310">
      <w:bodyDiv w:val="1"/>
      <w:marLeft w:val="0"/>
      <w:marRight w:val="0"/>
      <w:marTop w:val="0"/>
      <w:marBottom w:val="0"/>
      <w:divBdr>
        <w:top w:val="none" w:sz="0" w:space="0" w:color="auto"/>
        <w:left w:val="none" w:sz="0" w:space="0" w:color="auto"/>
        <w:bottom w:val="none" w:sz="0" w:space="0" w:color="auto"/>
        <w:right w:val="none" w:sz="0" w:space="0" w:color="auto"/>
      </w:divBdr>
    </w:div>
    <w:div w:id="1178420532">
      <w:bodyDiv w:val="1"/>
      <w:marLeft w:val="0"/>
      <w:marRight w:val="0"/>
      <w:marTop w:val="0"/>
      <w:marBottom w:val="0"/>
      <w:divBdr>
        <w:top w:val="none" w:sz="0" w:space="0" w:color="auto"/>
        <w:left w:val="none" w:sz="0" w:space="0" w:color="auto"/>
        <w:bottom w:val="none" w:sz="0" w:space="0" w:color="auto"/>
        <w:right w:val="none" w:sz="0" w:space="0" w:color="auto"/>
      </w:divBdr>
    </w:div>
    <w:div w:id="1210991575">
      <w:bodyDiv w:val="1"/>
      <w:marLeft w:val="0"/>
      <w:marRight w:val="0"/>
      <w:marTop w:val="0"/>
      <w:marBottom w:val="0"/>
      <w:divBdr>
        <w:top w:val="none" w:sz="0" w:space="0" w:color="auto"/>
        <w:left w:val="none" w:sz="0" w:space="0" w:color="auto"/>
        <w:bottom w:val="none" w:sz="0" w:space="0" w:color="auto"/>
        <w:right w:val="none" w:sz="0" w:space="0" w:color="auto"/>
      </w:divBdr>
    </w:div>
    <w:div w:id="1211268192">
      <w:bodyDiv w:val="1"/>
      <w:marLeft w:val="0"/>
      <w:marRight w:val="0"/>
      <w:marTop w:val="0"/>
      <w:marBottom w:val="0"/>
      <w:divBdr>
        <w:top w:val="none" w:sz="0" w:space="0" w:color="auto"/>
        <w:left w:val="none" w:sz="0" w:space="0" w:color="auto"/>
        <w:bottom w:val="none" w:sz="0" w:space="0" w:color="auto"/>
        <w:right w:val="none" w:sz="0" w:space="0" w:color="auto"/>
      </w:divBdr>
    </w:div>
    <w:div w:id="1211453095">
      <w:bodyDiv w:val="1"/>
      <w:marLeft w:val="0"/>
      <w:marRight w:val="0"/>
      <w:marTop w:val="0"/>
      <w:marBottom w:val="0"/>
      <w:divBdr>
        <w:top w:val="none" w:sz="0" w:space="0" w:color="auto"/>
        <w:left w:val="none" w:sz="0" w:space="0" w:color="auto"/>
        <w:bottom w:val="none" w:sz="0" w:space="0" w:color="auto"/>
        <w:right w:val="none" w:sz="0" w:space="0" w:color="auto"/>
      </w:divBdr>
    </w:div>
    <w:div w:id="1235899038">
      <w:bodyDiv w:val="1"/>
      <w:marLeft w:val="0"/>
      <w:marRight w:val="0"/>
      <w:marTop w:val="0"/>
      <w:marBottom w:val="0"/>
      <w:divBdr>
        <w:top w:val="none" w:sz="0" w:space="0" w:color="auto"/>
        <w:left w:val="none" w:sz="0" w:space="0" w:color="auto"/>
        <w:bottom w:val="none" w:sz="0" w:space="0" w:color="auto"/>
        <w:right w:val="none" w:sz="0" w:space="0" w:color="auto"/>
      </w:divBdr>
    </w:div>
    <w:div w:id="1274090708">
      <w:bodyDiv w:val="1"/>
      <w:marLeft w:val="0"/>
      <w:marRight w:val="0"/>
      <w:marTop w:val="0"/>
      <w:marBottom w:val="0"/>
      <w:divBdr>
        <w:top w:val="none" w:sz="0" w:space="0" w:color="auto"/>
        <w:left w:val="none" w:sz="0" w:space="0" w:color="auto"/>
        <w:bottom w:val="none" w:sz="0" w:space="0" w:color="auto"/>
        <w:right w:val="none" w:sz="0" w:space="0" w:color="auto"/>
      </w:divBdr>
    </w:div>
    <w:div w:id="1287391897">
      <w:bodyDiv w:val="1"/>
      <w:marLeft w:val="0"/>
      <w:marRight w:val="0"/>
      <w:marTop w:val="0"/>
      <w:marBottom w:val="0"/>
      <w:divBdr>
        <w:top w:val="none" w:sz="0" w:space="0" w:color="auto"/>
        <w:left w:val="none" w:sz="0" w:space="0" w:color="auto"/>
        <w:bottom w:val="none" w:sz="0" w:space="0" w:color="auto"/>
        <w:right w:val="none" w:sz="0" w:space="0" w:color="auto"/>
      </w:divBdr>
    </w:div>
    <w:div w:id="1290357135">
      <w:bodyDiv w:val="1"/>
      <w:marLeft w:val="0"/>
      <w:marRight w:val="0"/>
      <w:marTop w:val="0"/>
      <w:marBottom w:val="0"/>
      <w:divBdr>
        <w:top w:val="none" w:sz="0" w:space="0" w:color="auto"/>
        <w:left w:val="none" w:sz="0" w:space="0" w:color="auto"/>
        <w:bottom w:val="none" w:sz="0" w:space="0" w:color="auto"/>
        <w:right w:val="none" w:sz="0" w:space="0" w:color="auto"/>
      </w:divBdr>
    </w:div>
    <w:div w:id="1301611731">
      <w:bodyDiv w:val="1"/>
      <w:marLeft w:val="0"/>
      <w:marRight w:val="0"/>
      <w:marTop w:val="0"/>
      <w:marBottom w:val="0"/>
      <w:divBdr>
        <w:top w:val="none" w:sz="0" w:space="0" w:color="auto"/>
        <w:left w:val="none" w:sz="0" w:space="0" w:color="auto"/>
        <w:bottom w:val="none" w:sz="0" w:space="0" w:color="auto"/>
        <w:right w:val="none" w:sz="0" w:space="0" w:color="auto"/>
      </w:divBdr>
    </w:div>
    <w:div w:id="1315137183">
      <w:bodyDiv w:val="1"/>
      <w:marLeft w:val="0"/>
      <w:marRight w:val="0"/>
      <w:marTop w:val="0"/>
      <w:marBottom w:val="0"/>
      <w:divBdr>
        <w:top w:val="none" w:sz="0" w:space="0" w:color="auto"/>
        <w:left w:val="none" w:sz="0" w:space="0" w:color="auto"/>
        <w:bottom w:val="none" w:sz="0" w:space="0" w:color="auto"/>
        <w:right w:val="none" w:sz="0" w:space="0" w:color="auto"/>
      </w:divBdr>
    </w:div>
    <w:div w:id="1340081338">
      <w:bodyDiv w:val="1"/>
      <w:marLeft w:val="0"/>
      <w:marRight w:val="0"/>
      <w:marTop w:val="0"/>
      <w:marBottom w:val="0"/>
      <w:divBdr>
        <w:top w:val="none" w:sz="0" w:space="0" w:color="auto"/>
        <w:left w:val="none" w:sz="0" w:space="0" w:color="auto"/>
        <w:bottom w:val="none" w:sz="0" w:space="0" w:color="auto"/>
        <w:right w:val="none" w:sz="0" w:space="0" w:color="auto"/>
      </w:divBdr>
    </w:div>
    <w:div w:id="1344893414">
      <w:bodyDiv w:val="1"/>
      <w:marLeft w:val="0"/>
      <w:marRight w:val="0"/>
      <w:marTop w:val="0"/>
      <w:marBottom w:val="0"/>
      <w:divBdr>
        <w:top w:val="none" w:sz="0" w:space="0" w:color="auto"/>
        <w:left w:val="none" w:sz="0" w:space="0" w:color="auto"/>
        <w:bottom w:val="none" w:sz="0" w:space="0" w:color="auto"/>
        <w:right w:val="none" w:sz="0" w:space="0" w:color="auto"/>
      </w:divBdr>
    </w:div>
    <w:div w:id="1357001610">
      <w:bodyDiv w:val="1"/>
      <w:marLeft w:val="0"/>
      <w:marRight w:val="0"/>
      <w:marTop w:val="0"/>
      <w:marBottom w:val="0"/>
      <w:divBdr>
        <w:top w:val="none" w:sz="0" w:space="0" w:color="auto"/>
        <w:left w:val="none" w:sz="0" w:space="0" w:color="auto"/>
        <w:bottom w:val="none" w:sz="0" w:space="0" w:color="auto"/>
        <w:right w:val="none" w:sz="0" w:space="0" w:color="auto"/>
      </w:divBdr>
    </w:div>
    <w:div w:id="1357658946">
      <w:bodyDiv w:val="1"/>
      <w:marLeft w:val="0"/>
      <w:marRight w:val="0"/>
      <w:marTop w:val="0"/>
      <w:marBottom w:val="0"/>
      <w:divBdr>
        <w:top w:val="none" w:sz="0" w:space="0" w:color="auto"/>
        <w:left w:val="none" w:sz="0" w:space="0" w:color="auto"/>
        <w:bottom w:val="none" w:sz="0" w:space="0" w:color="auto"/>
        <w:right w:val="none" w:sz="0" w:space="0" w:color="auto"/>
      </w:divBdr>
    </w:div>
    <w:div w:id="1388799099">
      <w:bodyDiv w:val="1"/>
      <w:marLeft w:val="0"/>
      <w:marRight w:val="0"/>
      <w:marTop w:val="0"/>
      <w:marBottom w:val="0"/>
      <w:divBdr>
        <w:top w:val="none" w:sz="0" w:space="0" w:color="auto"/>
        <w:left w:val="none" w:sz="0" w:space="0" w:color="auto"/>
        <w:bottom w:val="none" w:sz="0" w:space="0" w:color="auto"/>
        <w:right w:val="none" w:sz="0" w:space="0" w:color="auto"/>
      </w:divBdr>
    </w:div>
    <w:div w:id="1411735880">
      <w:bodyDiv w:val="1"/>
      <w:marLeft w:val="0"/>
      <w:marRight w:val="0"/>
      <w:marTop w:val="0"/>
      <w:marBottom w:val="0"/>
      <w:divBdr>
        <w:top w:val="none" w:sz="0" w:space="0" w:color="auto"/>
        <w:left w:val="none" w:sz="0" w:space="0" w:color="auto"/>
        <w:bottom w:val="none" w:sz="0" w:space="0" w:color="auto"/>
        <w:right w:val="none" w:sz="0" w:space="0" w:color="auto"/>
      </w:divBdr>
    </w:div>
    <w:div w:id="1416828831">
      <w:bodyDiv w:val="1"/>
      <w:marLeft w:val="0"/>
      <w:marRight w:val="0"/>
      <w:marTop w:val="0"/>
      <w:marBottom w:val="0"/>
      <w:divBdr>
        <w:top w:val="none" w:sz="0" w:space="0" w:color="auto"/>
        <w:left w:val="none" w:sz="0" w:space="0" w:color="auto"/>
        <w:bottom w:val="none" w:sz="0" w:space="0" w:color="auto"/>
        <w:right w:val="none" w:sz="0" w:space="0" w:color="auto"/>
      </w:divBdr>
    </w:div>
    <w:div w:id="1430194566">
      <w:bodyDiv w:val="1"/>
      <w:marLeft w:val="0"/>
      <w:marRight w:val="0"/>
      <w:marTop w:val="0"/>
      <w:marBottom w:val="0"/>
      <w:divBdr>
        <w:top w:val="none" w:sz="0" w:space="0" w:color="auto"/>
        <w:left w:val="none" w:sz="0" w:space="0" w:color="auto"/>
        <w:bottom w:val="none" w:sz="0" w:space="0" w:color="auto"/>
        <w:right w:val="none" w:sz="0" w:space="0" w:color="auto"/>
      </w:divBdr>
    </w:div>
    <w:div w:id="1439370110">
      <w:bodyDiv w:val="1"/>
      <w:marLeft w:val="0"/>
      <w:marRight w:val="0"/>
      <w:marTop w:val="0"/>
      <w:marBottom w:val="0"/>
      <w:divBdr>
        <w:top w:val="none" w:sz="0" w:space="0" w:color="auto"/>
        <w:left w:val="none" w:sz="0" w:space="0" w:color="auto"/>
        <w:bottom w:val="none" w:sz="0" w:space="0" w:color="auto"/>
        <w:right w:val="none" w:sz="0" w:space="0" w:color="auto"/>
      </w:divBdr>
    </w:div>
    <w:div w:id="1442996012">
      <w:bodyDiv w:val="1"/>
      <w:marLeft w:val="0"/>
      <w:marRight w:val="0"/>
      <w:marTop w:val="0"/>
      <w:marBottom w:val="0"/>
      <w:divBdr>
        <w:top w:val="none" w:sz="0" w:space="0" w:color="auto"/>
        <w:left w:val="none" w:sz="0" w:space="0" w:color="auto"/>
        <w:bottom w:val="none" w:sz="0" w:space="0" w:color="auto"/>
        <w:right w:val="none" w:sz="0" w:space="0" w:color="auto"/>
      </w:divBdr>
    </w:div>
    <w:div w:id="1461650082">
      <w:bodyDiv w:val="1"/>
      <w:marLeft w:val="0"/>
      <w:marRight w:val="0"/>
      <w:marTop w:val="0"/>
      <w:marBottom w:val="0"/>
      <w:divBdr>
        <w:top w:val="none" w:sz="0" w:space="0" w:color="auto"/>
        <w:left w:val="none" w:sz="0" w:space="0" w:color="auto"/>
        <w:bottom w:val="none" w:sz="0" w:space="0" w:color="auto"/>
        <w:right w:val="none" w:sz="0" w:space="0" w:color="auto"/>
      </w:divBdr>
    </w:div>
    <w:div w:id="1471627178">
      <w:bodyDiv w:val="1"/>
      <w:marLeft w:val="0"/>
      <w:marRight w:val="0"/>
      <w:marTop w:val="0"/>
      <w:marBottom w:val="0"/>
      <w:divBdr>
        <w:top w:val="none" w:sz="0" w:space="0" w:color="auto"/>
        <w:left w:val="none" w:sz="0" w:space="0" w:color="auto"/>
        <w:bottom w:val="none" w:sz="0" w:space="0" w:color="auto"/>
        <w:right w:val="none" w:sz="0" w:space="0" w:color="auto"/>
      </w:divBdr>
    </w:div>
    <w:div w:id="1472475229">
      <w:bodyDiv w:val="1"/>
      <w:marLeft w:val="0"/>
      <w:marRight w:val="0"/>
      <w:marTop w:val="0"/>
      <w:marBottom w:val="0"/>
      <w:divBdr>
        <w:top w:val="none" w:sz="0" w:space="0" w:color="auto"/>
        <w:left w:val="none" w:sz="0" w:space="0" w:color="auto"/>
        <w:bottom w:val="none" w:sz="0" w:space="0" w:color="auto"/>
        <w:right w:val="none" w:sz="0" w:space="0" w:color="auto"/>
      </w:divBdr>
    </w:div>
    <w:div w:id="1493906914">
      <w:bodyDiv w:val="1"/>
      <w:marLeft w:val="0"/>
      <w:marRight w:val="0"/>
      <w:marTop w:val="0"/>
      <w:marBottom w:val="0"/>
      <w:divBdr>
        <w:top w:val="none" w:sz="0" w:space="0" w:color="auto"/>
        <w:left w:val="none" w:sz="0" w:space="0" w:color="auto"/>
        <w:bottom w:val="none" w:sz="0" w:space="0" w:color="auto"/>
        <w:right w:val="none" w:sz="0" w:space="0" w:color="auto"/>
      </w:divBdr>
    </w:div>
    <w:div w:id="1510830456">
      <w:bodyDiv w:val="1"/>
      <w:marLeft w:val="0"/>
      <w:marRight w:val="0"/>
      <w:marTop w:val="0"/>
      <w:marBottom w:val="0"/>
      <w:divBdr>
        <w:top w:val="none" w:sz="0" w:space="0" w:color="auto"/>
        <w:left w:val="none" w:sz="0" w:space="0" w:color="auto"/>
        <w:bottom w:val="none" w:sz="0" w:space="0" w:color="auto"/>
        <w:right w:val="none" w:sz="0" w:space="0" w:color="auto"/>
      </w:divBdr>
    </w:div>
    <w:div w:id="1514108305">
      <w:bodyDiv w:val="1"/>
      <w:marLeft w:val="0"/>
      <w:marRight w:val="0"/>
      <w:marTop w:val="0"/>
      <w:marBottom w:val="0"/>
      <w:divBdr>
        <w:top w:val="none" w:sz="0" w:space="0" w:color="auto"/>
        <w:left w:val="none" w:sz="0" w:space="0" w:color="auto"/>
        <w:bottom w:val="none" w:sz="0" w:space="0" w:color="auto"/>
        <w:right w:val="none" w:sz="0" w:space="0" w:color="auto"/>
      </w:divBdr>
    </w:div>
    <w:div w:id="1517883291">
      <w:bodyDiv w:val="1"/>
      <w:marLeft w:val="0"/>
      <w:marRight w:val="0"/>
      <w:marTop w:val="0"/>
      <w:marBottom w:val="0"/>
      <w:divBdr>
        <w:top w:val="none" w:sz="0" w:space="0" w:color="auto"/>
        <w:left w:val="none" w:sz="0" w:space="0" w:color="auto"/>
        <w:bottom w:val="none" w:sz="0" w:space="0" w:color="auto"/>
        <w:right w:val="none" w:sz="0" w:space="0" w:color="auto"/>
      </w:divBdr>
    </w:div>
    <w:div w:id="1518811711">
      <w:bodyDiv w:val="1"/>
      <w:marLeft w:val="0"/>
      <w:marRight w:val="0"/>
      <w:marTop w:val="0"/>
      <w:marBottom w:val="0"/>
      <w:divBdr>
        <w:top w:val="none" w:sz="0" w:space="0" w:color="auto"/>
        <w:left w:val="none" w:sz="0" w:space="0" w:color="auto"/>
        <w:bottom w:val="none" w:sz="0" w:space="0" w:color="auto"/>
        <w:right w:val="none" w:sz="0" w:space="0" w:color="auto"/>
      </w:divBdr>
    </w:div>
    <w:div w:id="1534732332">
      <w:bodyDiv w:val="1"/>
      <w:marLeft w:val="0"/>
      <w:marRight w:val="0"/>
      <w:marTop w:val="0"/>
      <w:marBottom w:val="0"/>
      <w:divBdr>
        <w:top w:val="none" w:sz="0" w:space="0" w:color="auto"/>
        <w:left w:val="none" w:sz="0" w:space="0" w:color="auto"/>
        <w:bottom w:val="none" w:sz="0" w:space="0" w:color="auto"/>
        <w:right w:val="none" w:sz="0" w:space="0" w:color="auto"/>
      </w:divBdr>
    </w:div>
    <w:div w:id="1585381920">
      <w:bodyDiv w:val="1"/>
      <w:marLeft w:val="0"/>
      <w:marRight w:val="0"/>
      <w:marTop w:val="0"/>
      <w:marBottom w:val="0"/>
      <w:divBdr>
        <w:top w:val="none" w:sz="0" w:space="0" w:color="auto"/>
        <w:left w:val="none" w:sz="0" w:space="0" w:color="auto"/>
        <w:bottom w:val="none" w:sz="0" w:space="0" w:color="auto"/>
        <w:right w:val="none" w:sz="0" w:space="0" w:color="auto"/>
      </w:divBdr>
    </w:div>
    <w:div w:id="1606842485">
      <w:bodyDiv w:val="1"/>
      <w:marLeft w:val="0"/>
      <w:marRight w:val="0"/>
      <w:marTop w:val="0"/>
      <w:marBottom w:val="0"/>
      <w:divBdr>
        <w:top w:val="none" w:sz="0" w:space="0" w:color="auto"/>
        <w:left w:val="none" w:sz="0" w:space="0" w:color="auto"/>
        <w:bottom w:val="none" w:sz="0" w:space="0" w:color="auto"/>
        <w:right w:val="none" w:sz="0" w:space="0" w:color="auto"/>
      </w:divBdr>
    </w:div>
    <w:div w:id="1623076278">
      <w:bodyDiv w:val="1"/>
      <w:marLeft w:val="0"/>
      <w:marRight w:val="0"/>
      <w:marTop w:val="0"/>
      <w:marBottom w:val="0"/>
      <w:divBdr>
        <w:top w:val="none" w:sz="0" w:space="0" w:color="auto"/>
        <w:left w:val="none" w:sz="0" w:space="0" w:color="auto"/>
        <w:bottom w:val="none" w:sz="0" w:space="0" w:color="auto"/>
        <w:right w:val="none" w:sz="0" w:space="0" w:color="auto"/>
      </w:divBdr>
    </w:div>
    <w:div w:id="1642150926">
      <w:bodyDiv w:val="1"/>
      <w:marLeft w:val="0"/>
      <w:marRight w:val="0"/>
      <w:marTop w:val="0"/>
      <w:marBottom w:val="0"/>
      <w:divBdr>
        <w:top w:val="none" w:sz="0" w:space="0" w:color="auto"/>
        <w:left w:val="none" w:sz="0" w:space="0" w:color="auto"/>
        <w:bottom w:val="none" w:sz="0" w:space="0" w:color="auto"/>
        <w:right w:val="none" w:sz="0" w:space="0" w:color="auto"/>
      </w:divBdr>
    </w:div>
    <w:div w:id="1662466947">
      <w:bodyDiv w:val="1"/>
      <w:marLeft w:val="0"/>
      <w:marRight w:val="0"/>
      <w:marTop w:val="0"/>
      <w:marBottom w:val="0"/>
      <w:divBdr>
        <w:top w:val="none" w:sz="0" w:space="0" w:color="auto"/>
        <w:left w:val="none" w:sz="0" w:space="0" w:color="auto"/>
        <w:bottom w:val="none" w:sz="0" w:space="0" w:color="auto"/>
        <w:right w:val="none" w:sz="0" w:space="0" w:color="auto"/>
      </w:divBdr>
    </w:div>
    <w:div w:id="1676301888">
      <w:bodyDiv w:val="1"/>
      <w:marLeft w:val="0"/>
      <w:marRight w:val="0"/>
      <w:marTop w:val="0"/>
      <w:marBottom w:val="0"/>
      <w:divBdr>
        <w:top w:val="none" w:sz="0" w:space="0" w:color="auto"/>
        <w:left w:val="none" w:sz="0" w:space="0" w:color="auto"/>
        <w:bottom w:val="none" w:sz="0" w:space="0" w:color="auto"/>
        <w:right w:val="none" w:sz="0" w:space="0" w:color="auto"/>
      </w:divBdr>
    </w:div>
    <w:div w:id="1700668223">
      <w:bodyDiv w:val="1"/>
      <w:marLeft w:val="0"/>
      <w:marRight w:val="0"/>
      <w:marTop w:val="0"/>
      <w:marBottom w:val="0"/>
      <w:divBdr>
        <w:top w:val="none" w:sz="0" w:space="0" w:color="auto"/>
        <w:left w:val="none" w:sz="0" w:space="0" w:color="auto"/>
        <w:bottom w:val="none" w:sz="0" w:space="0" w:color="auto"/>
        <w:right w:val="none" w:sz="0" w:space="0" w:color="auto"/>
      </w:divBdr>
    </w:div>
    <w:div w:id="1739286531">
      <w:bodyDiv w:val="1"/>
      <w:marLeft w:val="0"/>
      <w:marRight w:val="0"/>
      <w:marTop w:val="0"/>
      <w:marBottom w:val="0"/>
      <w:divBdr>
        <w:top w:val="none" w:sz="0" w:space="0" w:color="auto"/>
        <w:left w:val="none" w:sz="0" w:space="0" w:color="auto"/>
        <w:bottom w:val="none" w:sz="0" w:space="0" w:color="auto"/>
        <w:right w:val="none" w:sz="0" w:space="0" w:color="auto"/>
      </w:divBdr>
    </w:div>
    <w:div w:id="1742867402">
      <w:bodyDiv w:val="1"/>
      <w:marLeft w:val="0"/>
      <w:marRight w:val="0"/>
      <w:marTop w:val="0"/>
      <w:marBottom w:val="0"/>
      <w:divBdr>
        <w:top w:val="none" w:sz="0" w:space="0" w:color="auto"/>
        <w:left w:val="none" w:sz="0" w:space="0" w:color="auto"/>
        <w:bottom w:val="none" w:sz="0" w:space="0" w:color="auto"/>
        <w:right w:val="none" w:sz="0" w:space="0" w:color="auto"/>
      </w:divBdr>
    </w:div>
    <w:div w:id="1753309767">
      <w:bodyDiv w:val="1"/>
      <w:marLeft w:val="0"/>
      <w:marRight w:val="0"/>
      <w:marTop w:val="0"/>
      <w:marBottom w:val="0"/>
      <w:divBdr>
        <w:top w:val="none" w:sz="0" w:space="0" w:color="auto"/>
        <w:left w:val="none" w:sz="0" w:space="0" w:color="auto"/>
        <w:bottom w:val="none" w:sz="0" w:space="0" w:color="auto"/>
        <w:right w:val="none" w:sz="0" w:space="0" w:color="auto"/>
      </w:divBdr>
    </w:div>
    <w:div w:id="1768387514">
      <w:bodyDiv w:val="1"/>
      <w:marLeft w:val="0"/>
      <w:marRight w:val="0"/>
      <w:marTop w:val="0"/>
      <w:marBottom w:val="0"/>
      <w:divBdr>
        <w:top w:val="none" w:sz="0" w:space="0" w:color="auto"/>
        <w:left w:val="none" w:sz="0" w:space="0" w:color="auto"/>
        <w:bottom w:val="none" w:sz="0" w:space="0" w:color="auto"/>
        <w:right w:val="none" w:sz="0" w:space="0" w:color="auto"/>
      </w:divBdr>
    </w:div>
    <w:div w:id="1827162957">
      <w:bodyDiv w:val="1"/>
      <w:marLeft w:val="0"/>
      <w:marRight w:val="0"/>
      <w:marTop w:val="0"/>
      <w:marBottom w:val="0"/>
      <w:divBdr>
        <w:top w:val="none" w:sz="0" w:space="0" w:color="auto"/>
        <w:left w:val="none" w:sz="0" w:space="0" w:color="auto"/>
        <w:bottom w:val="none" w:sz="0" w:space="0" w:color="auto"/>
        <w:right w:val="none" w:sz="0" w:space="0" w:color="auto"/>
      </w:divBdr>
    </w:div>
    <w:div w:id="1872186823">
      <w:bodyDiv w:val="1"/>
      <w:marLeft w:val="0"/>
      <w:marRight w:val="0"/>
      <w:marTop w:val="0"/>
      <w:marBottom w:val="0"/>
      <w:divBdr>
        <w:top w:val="none" w:sz="0" w:space="0" w:color="auto"/>
        <w:left w:val="none" w:sz="0" w:space="0" w:color="auto"/>
        <w:bottom w:val="none" w:sz="0" w:space="0" w:color="auto"/>
        <w:right w:val="none" w:sz="0" w:space="0" w:color="auto"/>
      </w:divBdr>
    </w:div>
    <w:div w:id="1893346379">
      <w:bodyDiv w:val="1"/>
      <w:marLeft w:val="0"/>
      <w:marRight w:val="0"/>
      <w:marTop w:val="0"/>
      <w:marBottom w:val="0"/>
      <w:divBdr>
        <w:top w:val="none" w:sz="0" w:space="0" w:color="auto"/>
        <w:left w:val="none" w:sz="0" w:space="0" w:color="auto"/>
        <w:bottom w:val="none" w:sz="0" w:space="0" w:color="auto"/>
        <w:right w:val="none" w:sz="0" w:space="0" w:color="auto"/>
      </w:divBdr>
    </w:div>
    <w:div w:id="1919708340">
      <w:bodyDiv w:val="1"/>
      <w:marLeft w:val="0"/>
      <w:marRight w:val="0"/>
      <w:marTop w:val="0"/>
      <w:marBottom w:val="0"/>
      <w:divBdr>
        <w:top w:val="none" w:sz="0" w:space="0" w:color="auto"/>
        <w:left w:val="none" w:sz="0" w:space="0" w:color="auto"/>
        <w:bottom w:val="none" w:sz="0" w:space="0" w:color="auto"/>
        <w:right w:val="none" w:sz="0" w:space="0" w:color="auto"/>
      </w:divBdr>
    </w:div>
    <w:div w:id="1923833557">
      <w:bodyDiv w:val="1"/>
      <w:marLeft w:val="0"/>
      <w:marRight w:val="0"/>
      <w:marTop w:val="0"/>
      <w:marBottom w:val="0"/>
      <w:divBdr>
        <w:top w:val="none" w:sz="0" w:space="0" w:color="auto"/>
        <w:left w:val="none" w:sz="0" w:space="0" w:color="auto"/>
        <w:bottom w:val="none" w:sz="0" w:space="0" w:color="auto"/>
        <w:right w:val="none" w:sz="0" w:space="0" w:color="auto"/>
      </w:divBdr>
    </w:div>
    <w:div w:id="1933581811">
      <w:bodyDiv w:val="1"/>
      <w:marLeft w:val="0"/>
      <w:marRight w:val="0"/>
      <w:marTop w:val="0"/>
      <w:marBottom w:val="0"/>
      <w:divBdr>
        <w:top w:val="none" w:sz="0" w:space="0" w:color="auto"/>
        <w:left w:val="none" w:sz="0" w:space="0" w:color="auto"/>
        <w:bottom w:val="none" w:sz="0" w:space="0" w:color="auto"/>
        <w:right w:val="none" w:sz="0" w:space="0" w:color="auto"/>
      </w:divBdr>
    </w:div>
    <w:div w:id="1948391380">
      <w:bodyDiv w:val="1"/>
      <w:marLeft w:val="0"/>
      <w:marRight w:val="0"/>
      <w:marTop w:val="0"/>
      <w:marBottom w:val="0"/>
      <w:divBdr>
        <w:top w:val="none" w:sz="0" w:space="0" w:color="auto"/>
        <w:left w:val="none" w:sz="0" w:space="0" w:color="auto"/>
        <w:bottom w:val="none" w:sz="0" w:space="0" w:color="auto"/>
        <w:right w:val="none" w:sz="0" w:space="0" w:color="auto"/>
      </w:divBdr>
    </w:div>
    <w:div w:id="1955820650">
      <w:bodyDiv w:val="1"/>
      <w:marLeft w:val="0"/>
      <w:marRight w:val="0"/>
      <w:marTop w:val="0"/>
      <w:marBottom w:val="0"/>
      <w:divBdr>
        <w:top w:val="none" w:sz="0" w:space="0" w:color="auto"/>
        <w:left w:val="none" w:sz="0" w:space="0" w:color="auto"/>
        <w:bottom w:val="none" w:sz="0" w:space="0" w:color="auto"/>
        <w:right w:val="none" w:sz="0" w:space="0" w:color="auto"/>
      </w:divBdr>
    </w:div>
    <w:div w:id="1982274222">
      <w:bodyDiv w:val="1"/>
      <w:marLeft w:val="0"/>
      <w:marRight w:val="0"/>
      <w:marTop w:val="0"/>
      <w:marBottom w:val="0"/>
      <w:divBdr>
        <w:top w:val="none" w:sz="0" w:space="0" w:color="auto"/>
        <w:left w:val="none" w:sz="0" w:space="0" w:color="auto"/>
        <w:bottom w:val="none" w:sz="0" w:space="0" w:color="auto"/>
        <w:right w:val="none" w:sz="0" w:space="0" w:color="auto"/>
      </w:divBdr>
    </w:div>
    <w:div w:id="1994747731">
      <w:bodyDiv w:val="1"/>
      <w:marLeft w:val="0"/>
      <w:marRight w:val="0"/>
      <w:marTop w:val="0"/>
      <w:marBottom w:val="0"/>
      <w:divBdr>
        <w:top w:val="none" w:sz="0" w:space="0" w:color="auto"/>
        <w:left w:val="none" w:sz="0" w:space="0" w:color="auto"/>
        <w:bottom w:val="none" w:sz="0" w:space="0" w:color="auto"/>
        <w:right w:val="none" w:sz="0" w:space="0" w:color="auto"/>
      </w:divBdr>
    </w:div>
    <w:div w:id="2001226594">
      <w:bodyDiv w:val="1"/>
      <w:marLeft w:val="0"/>
      <w:marRight w:val="0"/>
      <w:marTop w:val="0"/>
      <w:marBottom w:val="0"/>
      <w:divBdr>
        <w:top w:val="none" w:sz="0" w:space="0" w:color="auto"/>
        <w:left w:val="none" w:sz="0" w:space="0" w:color="auto"/>
        <w:bottom w:val="none" w:sz="0" w:space="0" w:color="auto"/>
        <w:right w:val="none" w:sz="0" w:space="0" w:color="auto"/>
      </w:divBdr>
    </w:div>
    <w:div w:id="2005475259">
      <w:bodyDiv w:val="1"/>
      <w:marLeft w:val="0"/>
      <w:marRight w:val="0"/>
      <w:marTop w:val="0"/>
      <w:marBottom w:val="0"/>
      <w:divBdr>
        <w:top w:val="none" w:sz="0" w:space="0" w:color="auto"/>
        <w:left w:val="none" w:sz="0" w:space="0" w:color="auto"/>
        <w:bottom w:val="none" w:sz="0" w:space="0" w:color="auto"/>
        <w:right w:val="none" w:sz="0" w:space="0" w:color="auto"/>
      </w:divBdr>
    </w:div>
    <w:div w:id="2013293312">
      <w:bodyDiv w:val="1"/>
      <w:marLeft w:val="0"/>
      <w:marRight w:val="0"/>
      <w:marTop w:val="0"/>
      <w:marBottom w:val="0"/>
      <w:divBdr>
        <w:top w:val="none" w:sz="0" w:space="0" w:color="auto"/>
        <w:left w:val="none" w:sz="0" w:space="0" w:color="auto"/>
        <w:bottom w:val="none" w:sz="0" w:space="0" w:color="auto"/>
        <w:right w:val="none" w:sz="0" w:space="0" w:color="auto"/>
      </w:divBdr>
    </w:div>
    <w:div w:id="2064399895">
      <w:bodyDiv w:val="1"/>
      <w:marLeft w:val="0"/>
      <w:marRight w:val="0"/>
      <w:marTop w:val="0"/>
      <w:marBottom w:val="0"/>
      <w:divBdr>
        <w:top w:val="none" w:sz="0" w:space="0" w:color="auto"/>
        <w:left w:val="none" w:sz="0" w:space="0" w:color="auto"/>
        <w:bottom w:val="none" w:sz="0" w:space="0" w:color="auto"/>
        <w:right w:val="none" w:sz="0" w:space="0" w:color="auto"/>
      </w:divBdr>
    </w:div>
    <w:div w:id="2072576933">
      <w:bodyDiv w:val="1"/>
      <w:marLeft w:val="0"/>
      <w:marRight w:val="0"/>
      <w:marTop w:val="0"/>
      <w:marBottom w:val="0"/>
      <w:divBdr>
        <w:top w:val="none" w:sz="0" w:space="0" w:color="auto"/>
        <w:left w:val="none" w:sz="0" w:space="0" w:color="auto"/>
        <w:bottom w:val="none" w:sz="0" w:space="0" w:color="auto"/>
        <w:right w:val="none" w:sz="0" w:space="0" w:color="auto"/>
      </w:divBdr>
    </w:div>
    <w:div w:id="2072995918">
      <w:bodyDiv w:val="1"/>
      <w:marLeft w:val="0"/>
      <w:marRight w:val="0"/>
      <w:marTop w:val="0"/>
      <w:marBottom w:val="0"/>
      <w:divBdr>
        <w:top w:val="none" w:sz="0" w:space="0" w:color="auto"/>
        <w:left w:val="none" w:sz="0" w:space="0" w:color="auto"/>
        <w:bottom w:val="none" w:sz="0" w:space="0" w:color="auto"/>
        <w:right w:val="none" w:sz="0" w:space="0" w:color="auto"/>
      </w:divBdr>
    </w:div>
    <w:div w:id="2090956265">
      <w:bodyDiv w:val="1"/>
      <w:marLeft w:val="0"/>
      <w:marRight w:val="0"/>
      <w:marTop w:val="0"/>
      <w:marBottom w:val="0"/>
      <w:divBdr>
        <w:top w:val="none" w:sz="0" w:space="0" w:color="auto"/>
        <w:left w:val="none" w:sz="0" w:space="0" w:color="auto"/>
        <w:bottom w:val="none" w:sz="0" w:space="0" w:color="auto"/>
        <w:right w:val="none" w:sz="0" w:space="0" w:color="auto"/>
      </w:divBdr>
    </w:div>
    <w:div w:id="2127695027">
      <w:bodyDiv w:val="1"/>
      <w:marLeft w:val="0"/>
      <w:marRight w:val="0"/>
      <w:marTop w:val="0"/>
      <w:marBottom w:val="0"/>
      <w:divBdr>
        <w:top w:val="none" w:sz="0" w:space="0" w:color="auto"/>
        <w:left w:val="none" w:sz="0" w:space="0" w:color="auto"/>
        <w:bottom w:val="none" w:sz="0" w:space="0" w:color="auto"/>
        <w:right w:val="none" w:sz="0" w:space="0" w:color="auto"/>
      </w:divBdr>
    </w:div>
    <w:div w:id="2129280610">
      <w:bodyDiv w:val="1"/>
      <w:marLeft w:val="0"/>
      <w:marRight w:val="0"/>
      <w:marTop w:val="0"/>
      <w:marBottom w:val="0"/>
      <w:divBdr>
        <w:top w:val="none" w:sz="0" w:space="0" w:color="auto"/>
        <w:left w:val="none" w:sz="0" w:space="0" w:color="auto"/>
        <w:bottom w:val="none" w:sz="0" w:space="0" w:color="auto"/>
        <w:right w:val="none" w:sz="0" w:space="0" w:color="auto"/>
      </w:divBdr>
    </w:div>
    <w:div w:id="2137093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footer" Target="footer9.xml"/><Relationship Id="rId39" Type="http://schemas.openxmlformats.org/officeDocument/2006/relationships/image" Target="media/image5.wmf"/><Relationship Id="rId21" Type="http://schemas.openxmlformats.org/officeDocument/2006/relationships/hyperlink" Target="https://data.cms.gov/provider-data/dataset/xubh-q36u" TargetMode="External"/><Relationship Id="rId34" Type="http://schemas.openxmlformats.org/officeDocument/2006/relationships/oleObject" Target="embeddings/oleObject1.bin"/><Relationship Id="rId42" Type="http://schemas.openxmlformats.org/officeDocument/2006/relationships/oleObject" Target="embeddings/oleObject5.bin"/><Relationship Id="rId47" Type="http://schemas.openxmlformats.org/officeDocument/2006/relationships/oleObject" Target="embeddings/oleObject8.bin"/><Relationship Id="rId50" Type="http://schemas.openxmlformats.org/officeDocument/2006/relationships/image" Target="media/image10.wmf"/><Relationship Id="rId55" Type="http://schemas.openxmlformats.org/officeDocument/2006/relationships/footer" Target="foot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www.ihs.gov/findhealthcare/" TargetMode="External"/><Relationship Id="rId29" Type="http://schemas.openxmlformats.org/officeDocument/2006/relationships/footer" Target="footer10.xml"/><Relationship Id="rId41" Type="http://schemas.openxmlformats.org/officeDocument/2006/relationships/image" Target="media/image6.wmf"/><Relationship Id="rId54"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image" Target="media/image4.wmf"/><Relationship Id="rId40" Type="http://schemas.openxmlformats.org/officeDocument/2006/relationships/oleObject" Target="embeddings/oleObject4.bin"/><Relationship Id="rId45" Type="http://schemas.openxmlformats.org/officeDocument/2006/relationships/image" Target="media/image8.wmf"/><Relationship Id="rId53" Type="http://schemas.openxmlformats.org/officeDocument/2006/relationships/footer" Target="footer13.xml"/><Relationship Id="rId58" Type="http://schemas.openxmlformats.org/officeDocument/2006/relationships/hyperlink" Target="https://data.cms.gov/provider-data/dataset/xubh-q36u"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header" Target="header7.xml"/><Relationship Id="rId36" Type="http://schemas.openxmlformats.org/officeDocument/2006/relationships/oleObject" Target="embeddings/oleObject2.bin"/><Relationship Id="rId49" Type="http://schemas.openxmlformats.org/officeDocument/2006/relationships/oleObject" Target="embeddings/oleObject9.bin"/><Relationship Id="rId57" Type="http://schemas.openxmlformats.org/officeDocument/2006/relationships/footer" Target="footer15.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header" Target="header8.xml"/><Relationship Id="rId44" Type="http://schemas.openxmlformats.org/officeDocument/2006/relationships/oleObject" Target="embeddings/oleObject6.bin"/><Relationship Id="rId52" Type="http://schemas.openxmlformats.org/officeDocument/2006/relationships/header" Target="header9.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6.xml"/><Relationship Id="rId30" Type="http://schemas.openxmlformats.org/officeDocument/2006/relationships/footer" Target="footer11.xml"/><Relationship Id="rId35" Type="http://schemas.openxmlformats.org/officeDocument/2006/relationships/image" Target="media/image3.wmf"/><Relationship Id="rId43" Type="http://schemas.openxmlformats.org/officeDocument/2006/relationships/image" Target="media/image7.wmf"/><Relationship Id="rId48" Type="http://schemas.openxmlformats.org/officeDocument/2006/relationships/image" Target="media/image9.wmf"/><Relationship Id="rId56" Type="http://schemas.openxmlformats.org/officeDocument/2006/relationships/header" Target="header11.xml"/><Relationship Id="rId8" Type="http://schemas.openxmlformats.org/officeDocument/2006/relationships/webSettings" Target="webSettings.xml"/><Relationship Id="rId51" Type="http://schemas.openxmlformats.org/officeDocument/2006/relationships/oleObject" Target="embeddings/oleObject10.bin"/><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5.xml"/><Relationship Id="rId33" Type="http://schemas.openxmlformats.org/officeDocument/2006/relationships/image" Target="media/image2.w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footer" Target="footer16.xml"/></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796A422062B84A920369494C5F0DF4" ma:contentTypeVersion="6" ma:contentTypeDescription="Create a new document." ma:contentTypeScope="" ma:versionID="2c9a5d2150edd6d03dcdc3eead9415ec">
  <xsd:schema xmlns:xsd="http://www.w3.org/2001/XMLSchema" xmlns:xs="http://www.w3.org/2001/XMLSchema" xmlns:p="http://schemas.microsoft.com/office/2006/metadata/properties" xmlns:ns2="977e7e85-714c-4120-89ec-5f9d4e03a5ee" xmlns:ns3="2faf4a49-cb5a-4823-8afc-c6a471c13801" targetNamespace="http://schemas.microsoft.com/office/2006/metadata/properties" ma:root="true" ma:fieldsID="1cd977d5c24b6e9a5a3b43c9a41c3978" ns2:_="" ns3:_="">
    <xsd:import namespace="977e7e85-714c-4120-89ec-5f9d4e03a5ee"/>
    <xsd:import namespace="2faf4a49-cb5a-4823-8afc-c6a471c138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e7e85-714c-4120-89ec-5f9d4e03a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af4a49-cb5a-4823-8afc-c6a471c138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2AADC-CDCC-491A-8400-0D91F351C98A}">
  <ds:schemaRefs>
    <ds:schemaRef ds:uri="http://schemas.microsoft.com/sharepoint/v3/contenttype/forms"/>
  </ds:schemaRefs>
</ds:datastoreItem>
</file>

<file path=customXml/itemProps2.xml><?xml version="1.0" encoding="utf-8"?>
<ds:datastoreItem xmlns:ds="http://schemas.openxmlformats.org/officeDocument/2006/customXml" ds:itemID="{757418A9-FB98-49EA-9F0E-C594ECAB76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9F1565-6915-4D37-A704-85C4F3971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e7e85-714c-4120-89ec-5f9d4e03a5ee"/>
    <ds:schemaRef ds:uri="2faf4a49-cb5a-4823-8afc-c6a471c13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D3D17C-03AC-468C-AE2D-25170EB6EC2B}">
  <ds:schemaRefs>
    <ds:schemaRef ds:uri="http://schemas.openxmlformats.org/officeDocument/2006/bibliography"/>
  </ds:schemaRefs>
</ds:datastoreItem>
</file>

<file path=docMetadata/LabelInfo.xml><?xml version="1.0" encoding="utf-8"?>
<clbl:labelList xmlns:clbl="http://schemas.microsoft.com/office/2020/mipLabelMetadata">
  <clbl:label id="{d58addea-5053-4a80-8499-ba4d944910df}" enabled="0" method="" siteId="{d58addea-5053-4a80-8499-ba4d944910df}"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72</Pages>
  <Words>23236</Words>
  <Characters>132448</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&lt;Project Title&gt;</vt:lpstr>
    </vt:vector>
  </TitlesOfParts>
  <Company>RTI International</Company>
  <LinksUpToDate>false</LinksUpToDate>
  <CharactersWithSpaces>155374</CharactersWithSpaces>
  <SharedDoc>false</SharedDoc>
  <HLinks>
    <vt:vector size="342" baseType="variant">
      <vt:variant>
        <vt:i4>1572922</vt:i4>
      </vt:variant>
      <vt:variant>
        <vt:i4>341</vt:i4>
      </vt:variant>
      <vt:variant>
        <vt:i4>0</vt:i4>
      </vt:variant>
      <vt:variant>
        <vt:i4>5</vt:i4>
      </vt:variant>
      <vt:variant>
        <vt:lpwstr/>
      </vt:variant>
      <vt:variant>
        <vt:lpwstr>_Toc319492988</vt:lpwstr>
      </vt:variant>
      <vt:variant>
        <vt:i4>1572922</vt:i4>
      </vt:variant>
      <vt:variant>
        <vt:i4>335</vt:i4>
      </vt:variant>
      <vt:variant>
        <vt:i4>0</vt:i4>
      </vt:variant>
      <vt:variant>
        <vt:i4>5</vt:i4>
      </vt:variant>
      <vt:variant>
        <vt:lpwstr/>
      </vt:variant>
      <vt:variant>
        <vt:lpwstr>_Toc319492987</vt:lpwstr>
      </vt:variant>
      <vt:variant>
        <vt:i4>1572922</vt:i4>
      </vt:variant>
      <vt:variant>
        <vt:i4>329</vt:i4>
      </vt:variant>
      <vt:variant>
        <vt:i4>0</vt:i4>
      </vt:variant>
      <vt:variant>
        <vt:i4>5</vt:i4>
      </vt:variant>
      <vt:variant>
        <vt:lpwstr/>
      </vt:variant>
      <vt:variant>
        <vt:lpwstr>_Toc319492986</vt:lpwstr>
      </vt:variant>
      <vt:variant>
        <vt:i4>1572922</vt:i4>
      </vt:variant>
      <vt:variant>
        <vt:i4>323</vt:i4>
      </vt:variant>
      <vt:variant>
        <vt:i4>0</vt:i4>
      </vt:variant>
      <vt:variant>
        <vt:i4>5</vt:i4>
      </vt:variant>
      <vt:variant>
        <vt:lpwstr/>
      </vt:variant>
      <vt:variant>
        <vt:lpwstr>_Toc319492985</vt:lpwstr>
      </vt:variant>
      <vt:variant>
        <vt:i4>1572922</vt:i4>
      </vt:variant>
      <vt:variant>
        <vt:i4>317</vt:i4>
      </vt:variant>
      <vt:variant>
        <vt:i4>0</vt:i4>
      </vt:variant>
      <vt:variant>
        <vt:i4>5</vt:i4>
      </vt:variant>
      <vt:variant>
        <vt:lpwstr/>
      </vt:variant>
      <vt:variant>
        <vt:lpwstr>_Toc319492984</vt:lpwstr>
      </vt:variant>
      <vt:variant>
        <vt:i4>1376315</vt:i4>
      </vt:variant>
      <vt:variant>
        <vt:i4>308</vt:i4>
      </vt:variant>
      <vt:variant>
        <vt:i4>0</vt:i4>
      </vt:variant>
      <vt:variant>
        <vt:i4>5</vt:i4>
      </vt:variant>
      <vt:variant>
        <vt:lpwstr/>
      </vt:variant>
      <vt:variant>
        <vt:lpwstr>_Toc321404904</vt:lpwstr>
      </vt:variant>
      <vt:variant>
        <vt:i4>1376315</vt:i4>
      </vt:variant>
      <vt:variant>
        <vt:i4>302</vt:i4>
      </vt:variant>
      <vt:variant>
        <vt:i4>0</vt:i4>
      </vt:variant>
      <vt:variant>
        <vt:i4>5</vt:i4>
      </vt:variant>
      <vt:variant>
        <vt:lpwstr/>
      </vt:variant>
      <vt:variant>
        <vt:lpwstr>_Toc321404903</vt:lpwstr>
      </vt:variant>
      <vt:variant>
        <vt:i4>1376315</vt:i4>
      </vt:variant>
      <vt:variant>
        <vt:i4>296</vt:i4>
      </vt:variant>
      <vt:variant>
        <vt:i4>0</vt:i4>
      </vt:variant>
      <vt:variant>
        <vt:i4>5</vt:i4>
      </vt:variant>
      <vt:variant>
        <vt:lpwstr/>
      </vt:variant>
      <vt:variant>
        <vt:lpwstr>_Toc321404902</vt:lpwstr>
      </vt:variant>
      <vt:variant>
        <vt:i4>1376315</vt:i4>
      </vt:variant>
      <vt:variant>
        <vt:i4>290</vt:i4>
      </vt:variant>
      <vt:variant>
        <vt:i4>0</vt:i4>
      </vt:variant>
      <vt:variant>
        <vt:i4>5</vt:i4>
      </vt:variant>
      <vt:variant>
        <vt:lpwstr/>
      </vt:variant>
      <vt:variant>
        <vt:lpwstr>_Toc321404901</vt:lpwstr>
      </vt:variant>
      <vt:variant>
        <vt:i4>1376315</vt:i4>
      </vt:variant>
      <vt:variant>
        <vt:i4>284</vt:i4>
      </vt:variant>
      <vt:variant>
        <vt:i4>0</vt:i4>
      </vt:variant>
      <vt:variant>
        <vt:i4>5</vt:i4>
      </vt:variant>
      <vt:variant>
        <vt:lpwstr/>
      </vt:variant>
      <vt:variant>
        <vt:lpwstr>_Toc321404900</vt:lpwstr>
      </vt:variant>
      <vt:variant>
        <vt:i4>1835066</vt:i4>
      </vt:variant>
      <vt:variant>
        <vt:i4>278</vt:i4>
      </vt:variant>
      <vt:variant>
        <vt:i4>0</vt:i4>
      </vt:variant>
      <vt:variant>
        <vt:i4>5</vt:i4>
      </vt:variant>
      <vt:variant>
        <vt:lpwstr/>
      </vt:variant>
      <vt:variant>
        <vt:lpwstr>_Toc321404899</vt:lpwstr>
      </vt:variant>
      <vt:variant>
        <vt:i4>1835066</vt:i4>
      </vt:variant>
      <vt:variant>
        <vt:i4>272</vt:i4>
      </vt:variant>
      <vt:variant>
        <vt:i4>0</vt:i4>
      </vt:variant>
      <vt:variant>
        <vt:i4>5</vt:i4>
      </vt:variant>
      <vt:variant>
        <vt:lpwstr/>
      </vt:variant>
      <vt:variant>
        <vt:lpwstr>_Toc321404898</vt:lpwstr>
      </vt:variant>
      <vt:variant>
        <vt:i4>1835066</vt:i4>
      </vt:variant>
      <vt:variant>
        <vt:i4>266</vt:i4>
      </vt:variant>
      <vt:variant>
        <vt:i4>0</vt:i4>
      </vt:variant>
      <vt:variant>
        <vt:i4>5</vt:i4>
      </vt:variant>
      <vt:variant>
        <vt:lpwstr/>
      </vt:variant>
      <vt:variant>
        <vt:lpwstr>_Toc321404897</vt:lpwstr>
      </vt:variant>
      <vt:variant>
        <vt:i4>1835066</vt:i4>
      </vt:variant>
      <vt:variant>
        <vt:i4>260</vt:i4>
      </vt:variant>
      <vt:variant>
        <vt:i4>0</vt:i4>
      </vt:variant>
      <vt:variant>
        <vt:i4>5</vt:i4>
      </vt:variant>
      <vt:variant>
        <vt:lpwstr/>
      </vt:variant>
      <vt:variant>
        <vt:lpwstr>_Toc321404896</vt:lpwstr>
      </vt:variant>
      <vt:variant>
        <vt:i4>1835066</vt:i4>
      </vt:variant>
      <vt:variant>
        <vt:i4>254</vt:i4>
      </vt:variant>
      <vt:variant>
        <vt:i4>0</vt:i4>
      </vt:variant>
      <vt:variant>
        <vt:i4>5</vt:i4>
      </vt:variant>
      <vt:variant>
        <vt:lpwstr/>
      </vt:variant>
      <vt:variant>
        <vt:lpwstr>_Toc321404895</vt:lpwstr>
      </vt:variant>
      <vt:variant>
        <vt:i4>1835066</vt:i4>
      </vt:variant>
      <vt:variant>
        <vt:i4>248</vt:i4>
      </vt:variant>
      <vt:variant>
        <vt:i4>0</vt:i4>
      </vt:variant>
      <vt:variant>
        <vt:i4>5</vt:i4>
      </vt:variant>
      <vt:variant>
        <vt:lpwstr/>
      </vt:variant>
      <vt:variant>
        <vt:lpwstr>_Toc321404894</vt:lpwstr>
      </vt:variant>
      <vt:variant>
        <vt:i4>1835066</vt:i4>
      </vt:variant>
      <vt:variant>
        <vt:i4>242</vt:i4>
      </vt:variant>
      <vt:variant>
        <vt:i4>0</vt:i4>
      </vt:variant>
      <vt:variant>
        <vt:i4>5</vt:i4>
      </vt:variant>
      <vt:variant>
        <vt:lpwstr/>
      </vt:variant>
      <vt:variant>
        <vt:lpwstr>_Toc321404893</vt:lpwstr>
      </vt:variant>
      <vt:variant>
        <vt:i4>1835066</vt:i4>
      </vt:variant>
      <vt:variant>
        <vt:i4>236</vt:i4>
      </vt:variant>
      <vt:variant>
        <vt:i4>0</vt:i4>
      </vt:variant>
      <vt:variant>
        <vt:i4>5</vt:i4>
      </vt:variant>
      <vt:variant>
        <vt:lpwstr/>
      </vt:variant>
      <vt:variant>
        <vt:lpwstr>_Toc321404892</vt:lpwstr>
      </vt:variant>
      <vt:variant>
        <vt:i4>1835066</vt:i4>
      </vt:variant>
      <vt:variant>
        <vt:i4>230</vt:i4>
      </vt:variant>
      <vt:variant>
        <vt:i4>0</vt:i4>
      </vt:variant>
      <vt:variant>
        <vt:i4>5</vt:i4>
      </vt:variant>
      <vt:variant>
        <vt:lpwstr/>
      </vt:variant>
      <vt:variant>
        <vt:lpwstr>_Toc321404891</vt:lpwstr>
      </vt:variant>
      <vt:variant>
        <vt:i4>1835066</vt:i4>
      </vt:variant>
      <vt:variant>
        <vt:i4>224</vt:i4>
      </vt:variant>
      <vt:variant>
        <vt:i4>0</vt:i4>
      </vt:variant>
      <vt:variant>
        <vt:i4>5</vt:i4>
      </vt:variant>
      <vt:variant>
        <vt:lpwstr/>
      </vt:variant>
      <vt:variant>
        <vt:lpwstr>_Toc321404890</vt:lpwstr>
      </vt:variant>
      <vt:variant>
        <vt:i4>1900602</vt:i4>
      </vt:variant>
      <vt:variant>
        <vt:i4>218</vt:i4>
      </vt:variant>
      <vt:variant>
        <vt:i4>0</vt:i4>
      </vt:variant>
      <vt:variant>
        <vt:i4>5</vt:i4>
      </vt:variant>
      <vt:variant>
        <vt:lpwstr/>
      </vt:variant>
      <vt:variant>
        <vt:lpwstr>_Toc321404889</vt:lpwstr>
      </vt:variant>
      <vt:variant>
        <vt:i4>1900602</vt:i4>
      </vt:variant>
      <vt:variant>
        <vt:i4>212</vt:i4>
      </vt:variant>
      <vt:variant>
        <vt:i4>0</vt:i4>
      </vt:variant>
      <vt:variant>
        <vt:i4>5</vt:i4>
      </vt:variant>
      <vt:variant>
        <vt:lpwstr/>
      </vt:variant>
      <vt:variant>
        <vt:lpwstr>_Toc321404888</vt:lpwstr>
      </vt:variant>
      <vt:variant>
        <vt:i4>1900602</vt:i4>
      </vt:variant>
      <vt:variant>
        <vt:i4>206</vt:i4>
      </vt:variant>
      <vt:variant>
        <vt:i4>0</vt:i4>
      </vt:variant>
      <vt:variant>
        <vt:i4>5</vt:i4>
      </vt:variant>
      <vt:variant>
        <vt:lpwstr/>
      </vt:variant>
      <vt:variant>
        <vt:lpwstr>_Toc321404887</vt:lpwstr>
      </vt:variant>
      <vt:variant>
        <vt:i4>1900602</vt:i4>
      </vt:variant>
      <vt:variant>
        <vt:i4>200</vt:i4>
      </vt:variant>
      <vt:variant>
        <vt:i4>0</vt:i4>
      </vt:variant>
      <vt:variant>
        <vt:i4>5</vt:i4>
      </vt:variant>
      <vt:variant>
        <vt:lpwstr/>
      </vt:variant>
      <vt:variant>
        <vt:lpwstr>_Toc321404886</vt:lpwstr>
      </vt:variant>
      <vt:variant>
        <vt:i4>1900602</vt:i4>
      </vt:variant>
      <vt:variant>
        <vt:i4>194</vt:i4>
      </vt:variant>
      <vt:variant>
        <vt:i4>0</vt:i4>
      </vt:variant>
      <vt:variant>
        <vt:i4>5</vt:i4>
      </vt:variant>
      <vt:variant>
        <vt:lpwstr/>
      </vt:variant>
      <vt:variant>
        <vt:lpwstr>_Toc321404885</vt:lpwstr>
      </vt:variant>
      <vt:variant>
        <vt:i4>1900602</vt:i4>
      </vt:variant>
      <vt:variant>
        <vt:i4>188</vt:i4>
      </vt:variant>
      <vt:variant>
        <vt:i4>0</vt:i4>
      </vt:variant>
      <vt:variant>
        <vt:i4>5</vt:i4>
      </vt:variant>
      <vt:variant>
        <vt:lpwstr/>
      </vt:variant>
      <vt:variant>
        <vt:lpwstr>_Toc321404884</vt:lpwstr>
      </vt:variant>
      <vt:variant>
        <vt:i4>1900602</vt:i4>
      </vt:variant>
      <vt:variant>
        <vt:i4>182</vt:i4>
      </vt:variant>
      <vt:variant>
        <vt:i4>0</vt:i4>
      </vt:variant>
      <vt:variant>
        <vt:i4>5</vt:i4>
      </vt:variant>
      <vt:variant>
        <vt:lpwstr/>
      </vt:variant>
      <vt:variant>
        <vt:lpwstr>_Toc321404883</vt:lpwstr>
      </vt:variant>
      <vt:variant>
        <vt:i4>1900602</vt:i4>
      </vt:variant>
      <vt:variant>
        <vt:i4>176</vt:i4>
      </vt:variant>
      <vt:variant>
        <vt:i4>0</vt:i4>
      </vt:variant>
      <vt:variant>
        <vt:i4>5</vt:i4>
      </vt:variant>
      <vt:variant>
        <vt:lpwstr/>
      </vt:variant>
      <vt:variant>
        <vt:lpwstr>_Toc321404882</vt:lpwstr>
      </vt:variant>
      <vt:variant>
        <vt:i4>1900602</vt:i4>
      </vt:variant>
      <vt:variant>
        <vt:i4>170</vt:i4>
      </vt:variant>
      <vt:variant>
        <vt:i4>0</vt:i4>
      </vt:variant>
      <vt:variant>
        <vt:i4>5</vt:i4>
      </vt:variant>
      <vt:variant>
        <vt:lpwstr/>
      </vt:variant>
      <vt:variant>
        <vt:lpwstr>_Toc321404881</vt:lpwstr>
      </vt:variant>
      <vt:variant>
        <vt:i4>1900602</vt:i4>
      </vt:variant>
      <vt:variant>
        <vt:i4>164</vt:i4>
      </vt:variant>
      <vt:variant>
        <vt:i4>0</vt:i4>
      </vt:variant>
      <vt:variant>
        <vt:i4>5</vt:i4>
      </vt:variant>
      <vt:variant>
        <vt:lpwstr/>
      </vt:variant>
      <vt:variant>
        <vt:lpwstr>_Toc321404880</vt:lpwstr>
      </vt:variant>
      <vt:variant>
        <vt:i4>1179706</vt:i4>
      </vt:variant>
      <vt:variant>
        <vt:i4>158</vt:i4>
      </vt:variant>
      <vt:variant>
        <vt:i4>0</vt:i4>
      </vt:variant>
      <vt:variant>
        <vt:i4>5</vt:i4>
      </vt:variant>
      <vt:variant>
        <vt:lpwstr/>
      </vt:variant>
      <vt:variant>
        <vt:lpwstr>_Toc321404879</vt:lpwstr>
      </vt:variant>
      <vt:variant>
        <vt:i4>1179706</vt:i4>
      </vt:variant>
      <vt:variant>
        <vt:i4>152</vt:i4>
      </vt:variant>
      <vt:variant>
        <vt:i4>0</vt:i4>
      </vt:variant>
      <vt:variant>
        <vt:i4>5</vt:i4>
      </vt:variant>
      <vt:variant>
        <vt:lpwstr/>
      </vt:variant>
      <vt:variant>
        <vt:lpwstr>_Toc321404878</vt:lpwstr>
      </vt:variant>
      <vt:variant>
        <vt:i4>1179706</vt:i4>
      </vt:variant>
      <vt:variant>
        <vt:i4>146</vt:i4>
      </vt:variant>
      <vt:variant>
        <vt:i4>0</vt:i4>
      </vt:variant>
      <vt:variant>
        <vt:i4>5</vt:i4>
      </vt:variant>
      <vt:variant>
        <vt:lpwstr/>
      </vt:variant>
      <vt:variant>
        <vt:lpwstr>_Toc321404877</vt:lpwstr>
      </vt:variant>
      <vt:variant>
        <vt:i4>1179706</vt:i4>
      </vt:variant>
      <vt:variant>
        <vt:i4>140</vt:i4>
      </vt:variant>
      <vt:variant>
        <vt:i4>0</vt:i4>
      </vt:variant>
      <vt:variant>
        <vt:i4>5</vt:i4>
      </vt:variant>
      <vt:variant>
        <vt:lpwstr/>
      </vt:variant>
      <vt:variant>
        <vt:lpwstr>_Toc321404876</vt:lpwstr>
      </vt:variant>
      <vt:variant>
        <vt:i4>1179706</vt:i4>
      </vt:variant>
      <vt:variant>
        <vt:i4>134</vt:i4>
      </vt:variant>
      <vt:variant>
        <vt:i4>0</vt:i4>
      </vt:variant>
      <vt:variant>
        <vt:i4>5</vt:i4>
      </vt:variant>
      <vt:variant>
        <vt:lpwstr/>
      </vt:variant>
      <vt:variant>
        <vt:lpwstr>_Toc321404875</vt:lpwstr>
      </vt:variant>
      <vt:variant>
        <vt:i4>1179706</vt:i4>
      </vt:variant>
      <vt:variant>
        <vt:i4>128</vt:i4>
      </vt:variant>
      <vt:variant>
        <vt:i4>0</vt:i4>
      </vt:variant>
      <vt:variant>
        <vt:i4>5</vt:i4>
      </vt:variant>
      <vt:variant>
        <vt:lpwstr/>
      </vt:variant>
      <vt:variant>
        <vt:lpwstr>_Toc321404874</vt:lpwstr>
      </vt:variant>
      <vt:variant>
        <vt:i4>1179706</vt:i4>
      </vt:variant>
      <vt:variant>
        <vt:i4>122</vt:i4>
      </vt:variant>
      <vt:variant>
        <vt:i4>0</vt:i4>
      </vt:variant>
      <vt:variant>
        <vt:i4>5</vt:i4>
      </vt:variant>
      <vt:variant>
        <vt:lpwstr/>
      </vt:variant>
      <vt:variant>
        <vt:lpwstr>_Toc321404873</vt:lpwstr>
      </vt:variant>
      <vt:variant>
        <vt:i4>1179706</vt:i4>
      </vt:variant>
      <vt:variant>
        <vt:i4>116</vt:i4>
      </vt:variant>
      <vt:variant>
        <vt:i4>0</vt:i4>
      </vt:variant>
      <vt:variant>
        <vt:i4>5</vt:i4>
      </vt:variant>
      <vt:variant>
        <vt:lpwstr/>
      </vt:variant>
      <vt:variant>
        <vt:lpwstr>_Toc321404872</vt:lpwstr>
      </vt:variant>
      <vt:variant>
        <vt:i4>1179706</vt:i4>
      </vt:variant>
      <vt:variant>
        <vt:i4>110</vt:i4>
      </vt:variant>
      <vt:variant>
        <vt:i4>0</vt:i4>
      </vt:variant>
      <vt:variant>
        <vt:i4>5</vt:i4>
      </vt:variant>
      <vt:variant>
        <vt:lpwstr/>
      </vt:variant>
      <vt:variant>
        <vt:lpwstr>_Toc321404871</vt:lpwstr>
      </vt:variant>
      <vt:variant>
        <vt:i4>1179706</vt:i4>
      </vt:variant>
      <vt:variant>
        <vt:i4>104</vt:i4>
      </vt:variant>
      <vt:variant>
        <vt:i4>0</vt:i4>
      </vt:variant>
      <vt:variant>
        <vt:i4>5</vt:i4>
      </vt:variant>
      <vt:variant>
        <vt:lpwstr/>
      </vt:variant>
      <vt:variant>
        <vt:lpwstr>_Toc321404870</vt:lpwstr>
      </vt:variant>
      <vt:variant>
        <vt:i4>1245242</vt:i4>
      </vt:variant>
      <vt:variant>
        <vt:i4>98</vt:i4>
      </vt:variant>
      <vt:variant>
        <vt:i4>0</vt:i4>
      </vt:variant>
      <vt:variant>
        <vt:i4>5</vt:i4>
      </vt:variant>
      <vt:variant>
        <vt:lpwstr/>
      </vt:variant>
      <vt:variant>
        <vt:lpwstr>_Toc321404869</vt:lpwstr>
      </vt:variant>
      <vt:variant>
        <vt:i4>1245242</vt:i4>
      </vt:variant>
      <vt:variant>
        <vt:i4>92</vt:i4>
      </vt:variant>
      <vt:variant>
        <vt:i4>0</vt:i4>
      </vt:variant>
      <vt:variant>
        <vt:i4>5</vt:i4>
      </vt:variant>
      <vt:variant>
        <vt:lpwstr/>
      </vt:variant>
      <vt:variant>
        <vt:lpwstr>_Toc321404868</vt:lpwstr>
      </vt:variant>
      <vt:variant>
        <vt:i4>1245242</vt:i4>
      </vt:variant>
      <vt:variant>
        <vt:i4>86</vt:i4>
      </vt:variant>
      <vt:variant>
        <vt:i4>0</vt:i4>
      </vt:variant>
      <vt:variant>
        <vt:i4>5</vt:i4>
      </vt:variant>
      <vt:variant>
        <vt:lpwstr/>
      </vt:variant>
      <vt:variant>
        <vt:lpwstr>_Toc321404867</vt:lpwstr>
      </vt:variant>
      <vt:variant>
        <vt:i4>1245242</vt:i4>
      </vt:variant>
      <vt:variant>
        <vt:i4>80</vt:i4>
      </vt:variant>
      <vt:variant>
        <vt:i4>0</vt:i4>
      </vt:variant>
      <vt:variant>
        <vt:i4>5</vt:i4>
      </vt:variant>
      <vt:variant>
        <vt:lpwstr/>
      </vt:variant>
      <vt:variant>
        <vt:lpwstr>_Toc321404866</vt:lpwstr>
      </vt:variant>
      <vt:variant>
        <vt:i4>1245242</vt:i4>
      </vt:variant>
      <vt:variant>
        <vt:i4>74</vt:i4>
      </vt:variant>
      <vt:variant>
        <vt:i4>0</vt:i4>
      </vt:variant>
      <vt:variant>
        <vt:i4>5</vt:i4>
      </vt:variant>
      <vt:variant>
        <vt:lpwstr/>
      </vt:variant>
      <vt:variant>
        <vt:lpwstr>_Toc321404865</vt:lpwstr>
      </vt:variant>
      <vt:variant>
        <vt:i4>1245242</vt:i4>
      </vt:variant>
      <vt:variant>
        <vt:i4>68</vt:i4>
      </vt:variant>
      <vt:variant>
        <vt:i4>0</vt:i4>
      </vt:variant>
      <vt:variant>
        <vt:i4>5</vt:i4>
      </vt:variant>
      <vt:variant>
        <vt:lpwstr/>
      </vt:variant>
      <vt:variant>
        <vt:lpwstr>_Toc321404864</vt:lpwstr>
      </vt:variant>
      <vt:variant>
        <vt:i4>1245242</vt:i4>
      </vt:variant>
      <vt:variant>
        <vt:i4>62</vt:i4>
      </vt:variant>
      <vt:variant>
        <vt:i4>0</vt:i4>
      </vt:variant>
      <vt:variant>
        <vt:i4>5</vt:i4>
      </vt:variant>
      <vt:variant>
        <vt:lpwstr/>
      </vt:variant>
      <vt:variant>
        <vt:lpwstr>_Toc321404863</vt:lpwstr>
      </vt:variant>
      <vt:variant>
        <vt:i4>1245242</vt:i4>
      </vt:variant>
      <vt:variant>
        <vt:i4>56</vt:i4>
      </vt:variant>
      <vt:variant>
        <vt:i4>0</vt:i4>
      </vt:variant>
      <vt:variant>
        <vt:i4>5</vt:i4>
      </vt:variant>
      <vt:variant>
        <vt:lpwstr/>
      </vt:variant>
      <vt:variant>
        <vt:lpwstr>_Toc321404862</vt:lpwstr>
      </vt:variant>
      <vt:variant>
        <vt:i4>1245242</vt:i4>
      </vt:variant>
      <vt:variant>
        <vt:i4>50</vt:i4>
      </vt:variant>
      <vt:variant>
        <vt:i4>0</vt:i4>
      </vt:variant>
      <vt:variant>
        <vt:i4>5</vt:i4>
      </vt:variant>
      <vt:variant>
        <vt:lpwstr/>
      </vt:variant>
      <vt:variant>
        <vt:lpwstr>_Toc321404861</vt:lpwstr>
      </vt:variant>
      <vt:variant>
        <vt:i4>1245242</vt:i4>
      </vt:variant>
      <vt:variant>
        <vt:i4>44</vt:i4>
      </vt:variant>
      <vt:variant>
        <vt:i4>0</vt:i4>
      </vt:variant>
      <vt:variant>
        <vt:i4>5</vt:i4>
      </vt:variant>
      <vt:variant>
        <vt:lpwstr/>
      </vt:variant>
      <vt:variant>
        <vt:lpwstr>_Toc321404860</vt:lpwstr>
      </vt:variant>
      <vt:variant>
        <vt:i4>1048634</vt:i4>
      </vt:variant>
      <vt:variant>
        <vt:i4>38</vt:i4>
      </vt:variant>
      <vt:variant>
        <vt:i4>0</vt:i4>
      </vt:variant>
      <vt:variant>
        <vt:i4>5</vt:i4>
      </vt:variant>
      <vt:variant>
        <vt:lpwstr/>
      </vt:variant>
      <vt:variant>
        <vt:lpwstr>_Toc321404859</vt:lpwstr>
      </vt:variant>
      <vt:variant>
        <vt:i4>1048634</vt:i4>
      </vt:variant>
      <vt:variant>
        <vt:i4>32</vt:i4>
      </vt:variant>
      <vt:variant>
        <vt:i4>0</vt:i4>
      </vt:variant>
      <vt:variant>
        <vt:i4>5</vt:i4>
      </vt:variant>
      <vt:variant>
        <vt:lpwstr/>
      </vt:variant>
      <vt:variant>
        <vt:lpwstr>_Toc321404858</vt:lpwstr>
      </vt:variant>
      <vt:variant>
        <vt:i4>1048634</vt:i4>
      </vt:variant>
      <vt:variant>
        <vt:i4>26</vt:i4>
      </vt:variant>
      <vt:variant>
        <vt:i4>0</vt:i4>
      </vt:variant>
      <vt:variant>
        <vt:i4>5</vt:i4>
      </vt:variant>
      <vt:variant>
        <vt:lpwstr/>
      </vt:variant>
      <vt:variant>
        <vt:lpwstr>_Toc321404857</vt:lpwstr>
      </vt:variant>
      <vt:variant>
        <vt:i4>1048634</vt:i4>
      </vt:variant>
      <vt:variant>
        <vt:i4>20</vt:i4>
      </vt:variant>
      <vt:variant>
        <vt:i4>0</vt:i4>
      </vt:variant>
      <vt:variant>
        <vt:i4>5</vt:i4>
      </vt:variant>
      <vt:variant>
        <vt:lpwstr/>
      </vt:variant>
      <vt:variant>
        <vt:lpwstr>_Toc321404856</vt:lpwstr>
      </vt:variant>
      <vt:variant>
        <vt:i4>1048634</vt:i4>
      </vt:variant>
      <vt:variant>
        <vt:i4>14</vt:i4>
      </vt:variant>
      <vt:variant>
        <vt:i4>0</vt:i4>
      </vt:variant>
      <vt:variant>
        <vt:i4>5</vt:i4>
      </vt:variant>
      <vt:variant>
        <vt:lpwstr/>
      </vt:variant>
      <vt:variant>
        <vt:lpwstr>_Toc321404855</vt:lpwstr>
      </vt:variant>
      <vt:variant>
        <vt:i4>1048634</vt:i4>
      </vt:variant>
      <vt:variant>
        <vt:i4>8</vt:i4>
      </vt:variant>
      <vt:variant>
        <vt:i4>0</vt:i4>
      </vt:variant>
      <vt:variant>
        <vt:i4>5</vt:i4>
      </vt:variant>
      <vt:variant>
        <vt:lpwstr/>
      </vt:variant>
      <vt:variant>
        <vt:lpwstr>_Toc321404854</vt:lpwstr>
      </vt:variant>
      <vt:variant>
        <vt:i4>1048634</vt:i4>
      </vt:variant>
      <vt:variant>
        <vt:i4>2</vt:i4>
      </vt:variant>
      <vt:variant>
        <vt:i4>0</vt:i4>
      </vt:variant>
      <vt:variant>
        <vt:i4>5</vt:i4>
      </vt:variant>
      <vt:variant>
        <vt:lpwstr/>
      </vt:variant>
      <vt:variant>
        <vt:lpwstr>_Toc321404853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Title&gt;</dc:title>
  <dc:subject>&lt;Task Name&gt;</dc:subject>
  <dc:creator>&lt;Document Type&gt;</dc:creator>
  <cp:keywords>&lt;Date To Be Released&gt;</cp:keywords>
  <dc:description/>
  <cp:lastModifiedBy>Mitchell, Emily (AHRQ/CFACT)</cp:lastModifiedBy>
  <cp:revision>4</cp:revision>
  <cp:lastPrinted>2023-03-30T13:36:00Z</cp:lastPrinted>
  <dcterms:created xsi:type="dcterms:W3CDTF">2025-01-30T16:07:00Z</dcterms:created>
  <dcterms:modified xsi:type="dcterms:W3CDTF">2025-01-30T16:14:00Z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0x0101001B796A422062B84A920369494C5F0DF4</vt:lpwstr>
  </property>
</Properties>
</file>