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MAKO ROBOTIC ARM SYSTEM</w:t>
            </w:r>
            <w:r w:rsidRPr="000104D7">
              <w:rPr>
                <w:rStyle w:val="AAMSKBFill-InHighlight"/>
                <w:color w:val="auto"/>
              </w:rPr>
              <w:t xml:space="preserve"> </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44131</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36C25024Q0456</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03-28-2024</w:t>
            </w:r>
            <w:r w:rsidRPr="004C7C18">
              <w:rPr>
                <w:rStyle w:val="AAMSKBFill-InHighlight"/>
                <w:rFonts w:asciiTheme="minorHAnsi" w:hAnsiTheme="minorHAnsi" w:cstheme="minorHAnsi"/>
              </w:rPr>
              <w:t xml:space="preserve"> </w:t>
            </w:r>
            <w:r>
              <w:rPr>
                <w:rFonts w:asciiTheme="minorHAnsi" w:hAnsiTheme="minorHAnsi" w:cstheme="minorHAnsi"/>
                <w:szCs w:val="20"/>
              </w:rPr>
              <w:t>17:00</w:t>
            </w:r>
            <w:r w:rsidRPr="004C7C18">
              <w:rPr>
                <w:rStyle w:val="AAMSKBFill-InHighlight"/>
                <w:rFonts w:asciiTheme="minorHAnsi" w:hAnsiTheme="minorHAnsi" w:cstheme="minorHAnsi"/>
              </w:rPr>
              <w:t xml:space="preserve"> </w:t>
            </w:r>
            <w:r>
              <w:rPr>
                <w:rFonts w:asciiTheme="minorHAnsi" w:hAnsiTheme="minorHAnsi" w:cstheme="minorHAnsi"/>
                <w:szCs w:val="20"/>
              </w:rPr>
              <w:t>EASTERN TIME, NEW YORK,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90</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6515</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339113</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(NCO) 10</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6150 Oak Tree Blvd., Suite 300</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Independence OH  44131</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Rachelle J. Hamer</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Louis Stokes Cleveland VAMC</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10701 East Blvd.</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Cleveland</w:t>
            </w:r>
            <w:r w:rsidRPr="004C7C18">
              <w:rPr>
                <w:rFonts w:asciiTheme="minorHAnsi" w:hAnsiTheme="minorHAnsi" w:cstheme="minorHAnsi"/>
                <w:szCs w:val="20"/>
              </w:rPr>
              <w:t xml:space="preserve"> </w:t>
            </w:r>
            <w:r>
              <w:rPr>
                <w:rStyle w:val="AAMSKBFill-InHighlight"/>
                <w:rFonts w:asciiTheme="minorHAnsi" w:hAnsiTheme="minorHAnsi" w:cstheme="minorHAnsi"/>
                <w:color w:val="auto"/>
              </w:rPr>
              <w:t>OH</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44106</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r>
              <w:rPr>
                <w:rFonts w:asciiTheme="minorHAnsi" w:hAnsiTheme="minorHAnsi" w:cstheme="minorHAnsi"/>
              </w:rPr>
              <w:t>https://www.va.gov/find-locations</w:t>
            </w: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Department of Veterans Affairs</w:t>
            </w: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rachelle.hamer@va.gov</w:t>
            </w: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Contracting Officer</w:t>
            </w: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7C4127" w:rsidP="007C4127">
      <w:pPr>
        <w:jc w:val="center"/>
        <w:rPr>
          <w:b/>
          <w:bCs/>
          <w:sz w:val="24"/>
          <w:szCs w:val="24"/>
        </w:rPr>
      </w:pPr>
      <w:r>
        <w:rPr>
          <w:b/>
          <w:bCs/>
          <w:sz w:val="24"/>
          <w:szCs w:val="24"/>
        </w:rPr>
        <w:t>Mako Robotic Arm System</w:t>
      </w:r>
    </w:p>
    <w:p w:rsidR="007C4127" w:rsidP="007C4127">
      <w:pPr>
        <w:rPr>
          <w:sz w:val="24"/>
          <w:szCs w:val="24"/>
        </w:rPr>
      </w:pPr>
      <w:r>
        <w:rPr>
          <w:sz w:val="24"/>
          <w:szCs w:val="24"/>
        </w:rPr>
        <w:t>This is a Sources Sought (SS) Notice only; it is not a Solicitation (i.e., Request for Proposal, Request for Quotation, or Invitation for Bids.), This SS is part of the Government’s market research effort to determine the scope of industry capabilities and interest and will be treated as information only.  Responses to this notice are not offers and cannot be accepted by the Government to form a binding contract.  Responses to this SS are strictly voluntary and the Government will not pay respondents for information provided in response to this SS.  Responses to this SS will not be returned and respondents will not be notified of the result of the review.  Although responses to the questions posed by the Government would be most beneficial to this market research effort.</w:t>
      </w:r>
    </w:p>
    <w:p w:rsidR="007C4127" w:rsidRPr="00D42969" w:rsidP="007C4127">
      <w:pPr>
        <w:rPr>
          <w:sz w:val="24"/>
          <w:szCs w:val="24"/>
        </w:rPr>
      </w:pPr>
      <w:r>
        <w:rPr>
          <w:sz w:val="24"/>
          <w:szCs w:val="24"/>
        </w:rPr>
        <w:t xml:space="preserve">The purpose of this SS is to conduct Market Research to determine an acquisition strategy, to include determining if there are </w:t>
      </w:r>
      <w:r>
        <w:rPr>
          <w:sz w:val="24"/>
          <w:szCs w:val="24"/>
        </w:rPr>
        <w:t>a sufficient number of</w:t>
      </w:r>
      <w:r>
        <w:rPr>
          <w:sz w:val="24"/>
          <w:szCs w:val="24"/>
        </w:rPr>
        <w:t xml:space="preserve"> Small Businesses capable of performing the requirements to warrant a set-aside, for the procurement of bronchoscopes at the Louis </w:t>
      </w:r>
      <w:r w:rsidRPr="00D42969">
        <w:rPr>
          <w:sz w:val="24"/>
          <w:szCs w:val="24"/>
        </w:rPr>
        <w:t>Stokes Cleveland VA Medical Center (CLE VAMC), 10701 East Blvd., Cleveland, OH 44106.</w:t>
      </w:r>
    </w:p>
    <w:p w:rsidR="007C4127" w:rsidRPr="00D327F8" w:rsidP="007C4127">
      <w:pPr>
        <w:rPr>
          <w:sz w:val="24"/>
          <w:szCs w:val="24"/>
        </w:rPr>
      </w:pPr>
      <w:r w:rsidRPr="00D327F8">
        <w:rPr>
          <w:sz w:val="24"/>
          <w:szCs w:val="24"/>
        </w:rPr>
        <w:t xml:space="preserve">Mako </w:t>
      </w:r>
      <w:r w:rsidRPr="00D327F8">
        <w:rPr>
          <w:sz w:val="24"/>
          <w:szCs w:val="24"/>
        </w:rPr>
        <w:t>SmartRobotics</w:t>
      </w:r>
      <w:r w:rsidRPr="00D327F8">
        <w:rPr>
          <w:sz w:val="24"/>
          <w:szCs w:val="24"/>
        </w:rPr>
        <w:t xml:space="preserve">™ possesses several key features that differentiate it from other surgery platforms. After a thorough surgical plan is created and approved by the surgeon, the Mako System assists surgeons with executing that plan using </w:t>
      </w:r>
      <w:r w:rsidRPr="00D327F8">
        <w:rPr>
          <w:sz w:val="24"/>
          <w:szCs w:val="24"/>
        </w:rPr>
        <w:t>AccuStop</w:t>
      </w:r>
      <w:r w:rsidRPr="00D327F8">
        <w:rPr>
          <w:sz w:val="24"/>
          <w:szCs w:val="24"/>
        </w:rPr>
        <w:t xml:space="preserve">™ haptic technology. The implant position, tracking and soft tissue balancing are assessed in a virtual 3D model by combining a preoperative CT and intraoperative bone registration. A CT scan uses a combination of 2D and digital geometry processing to generate a 3D image of the body. While plain film radiographs (X-rays) provide a 2D image of the scanned area, anatomic structures may overlap, creating an image which is less detailed than a CT scan. In a CT image, overlapping structures are eliminated, making the internal anatomy easier to visualize. In knee and hip arthroplasty procedures, the femoral version and tibial torsion76 can provide critical guidance when planning a case. Bony anatomic landmarks of the femur and tibia can be clearly identified using 3D imaging technologies. After the surgeon assesses implant size and position in the preoperative plan, the robotic arm is introduced to the surgical site. The robotic arm uses </w:t>
      </w:r>
      <w:r w:rsidRPr="00D327F8">
        <w:rPr>
          <w:sz w:val="24"/>
          <w:szCs w:val="24"/>
        </w:rPr>
        <w:t>AccuStop</w:t>
      </w:r>
      <w:r w:rsidRPr="00D327F8">
        <w:rPr>
          <w:sz w:val="24"/>
          <w:szCs w:val="24"/>
        </w:rPr>
        <w:t>™ haptic technology to help ensure only the desired bone is resected. The robotic arm will give resistance, an audible warning and ultimately turn off if the surgeon attempts to move the cutting tool on the robotic arm outside the boundaries created in the preoperative plan.</w:t>
      </w:r>
    </w:p>
    <w:p w:rsidR="007C4127" w:rsidP="007C4127">
      <w:pPr>
        <w:rPr>
          <w:sz w:val="24"/>
          <w:szCs w:val="24"/>
        </w:rPr>
      </w:pPr>
      <w:r>
        <w:rPr>
          <w:sz w:val="24"/>
          <w:szCs w:val="24"/>
        </w:rPr>
        <w:t>Potential sources must demonstrate the capability to provide the required equipment.  Potential sources should submit:</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 xml:space="preserve">Point of Contact with email address and phone </w:t>
      </w:r>
      <w:r>
        <w:rPr>
          <w:rFonts w:eastAsia="Times New Roman"/>
          <w:sz w:val="24"/>
          <w:szCs w:val="24"/>
        </w:rPr>
        <w:t>number;</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 xml:space="preserve">Business name and </w:t>
      </w:r>
      <w:r>
        <w:rPr>
          <w:rFonts w:eastAsia="Times New Roman"/>
          <w:sz w:val="24"/>
          <w:szCs w:val="24"/>
        </w:rPr>
        <w:t>address;</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 xml:space="preserve">Applicable business socio-economic </w:t>
      </w:r>
      <w:r>
        <w:rPr>
          <w:rFonts w:eastAsia="Times New Roman"/>
          <w:sz w:val="24"/>
          <w:szCs w:val="24"/>
        </w:rPr>
        <w:t>category;</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 xml:space="preserve">GSA, NAC, TAC, or SAC contract number if </w:t>
      </w:r>
      <w:r>
        <w:rPr>
          <w:rFonts w:eastAsia="Times New Roman"/>
          <w:sz w:val="24"/>
          <w:szCs w:val="24"/>
        </w:rPr>
        <w:t>applicable;</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 xml:space="preserve">Capability statement and/or brochures of the equipment to allow for assessment of meeting the requirements stated </w:t>
      </w:r>
      <w:r>
        <w:rPr>
          <w:rFonts w:eastAsia="Times New Roman"/>
          <w:sz w:val="24"/>
          <w:szCs w:val="24"/>
        </w:rPr>
        <w:t>above;</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 xml:space="preserve">SAM UEI </w:t>
      </w:r>
      <w:r>
        <w:rPr>
          <w:rFonts w:eastAsia="Times New Roman"/>
          <w:sz w:val="24"/>
          <w:szCs w:val="24"/>
        </w:rPr>
        <w:t>number;</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Delivery days After Receipt of Order (ARO</w:t>
      </w:r>
      <w:r>
        <w:rPr>
          <w:rFonts w:eastAsia="Times New Roman"/>
          <w:sz w:val="24"/>
          <w:szCs w:val="24"/>
        </w:rPr>
        <w:t>);</w:t>
      </w:r>
    </w:p>
    <w:p w:rsidR="007C4127" w:rsidP="007C4127">
      <w:pPr>
        <w:pStyle w:val="ListParagraph"/>
        <w:numPr>
          <w:ilvl w:val="0"/>
          <w:numId w:val="1"/>
        </w:numPr>
        <w:spacing w:after="0" w:line="240" w:lineRule="auto"/>
        <w:rPr>
          <w:rFonts w:eastAsia="Times New Roman"/>
          <w:sz w:val="24"/>
          <w:szCs w:val="24"/>
        </w:rPr>
      </w:pPr>
      <w:r>
        <w:rPr>
          <w:rFonts w:eastAsia="Times New Roman"/>
          <w:sz w:val="24"/>
          <w:szCs w:val="24"/>
        </w:rPr>
        <w:t>What country made the product is made in; and</w:t>
      </w:r>
    </w:p>
    <w:p w:rsidR="007C4127" w:rsidRPr="00D42969" w:rsidP="007C4127">
      <w:pPr>
        <w:pStyle w:val="ListParagraph"/>
        <w:numPr>
          <w:ilvl w:val="0"/>
          <w:numId w:val="1"/>
        </w:numPr>
        <w:spacing w:after="0" w:line="240" w:lineRule="auto"/>
        <w:rPr>
          <w:sz w:val="24"/>
          <w:szCs w:val="24"/>
        </w:rPr>
      </w:pPr>
      <w:r w:rsidRPr="00221EB1">
        <w:rPr>
          <w:rFonts w:eastAsia="Times New Roman"/>
          <w:sz w:val="24"/>
          <w:szCs w:val="24"/>
        </w:rPr>
        <w:t>Whether or not your company is the OEM or a distributor.  If a distributor, indicate who the OEM is and provide authorized distributor letter.</w:t>
      </w:r>
    </w:p>
    <w:p w:rsidR="007C4127" w:rsidRPr="00221EB1" w:rsidP="007C4127">
      <w:pPr>
        <w:pStyle w:val="ListParagraph"/>
        <w:numPr>
          <w:ilvl w:val="0"/>
          <w:numId w:val="1"/>
        </w:numPr>
        <w:spacing w:after="0" w:line="240" w:lineRule="auto"/>
        <w:rPr>
          <w:sz w:val="24"/>
          <w:szCs w:val="24"/>
        </w:rPr>
      </w:pPr>
      <w:r>
        <w:rPr>
          <w:rFonts w:eastAsia="Times New Roman"/>
          <w:sz w:val="24"/>
          <w:szCs w:val="24"/>
        </w:rPr>
        <w:t>Letter from Olympus America, Inc. stating compatibility.</w:t>
      </w:r>
    </w:p>
    <w:p w:rsidR="007C4127" w:rsidRPr="00221EB1" w:rsidP="007C4127">
      <w:pPr>
        <w:pStyle w:val="ListParagraph"/>
        <w:spacing w:after="0" w:line="240" w:lineRule="auto"/>
        <w:ind w:left="1080"/>
        <w:rPr>
          <w:sz w:val="24"/>
          <w:szCs w:val="24"/>
        </w:rPr>
      </w:pPr>
    </w:p>
    <w:p w:rsidR="007C4127" w:rsidP="007C4127">
      <w:pPr>
        <w:rPr>
          <w:sz w:val="24"/>
          <w:szCs w:val="24"/>
        </w:rPr>
      </w:pPr>
      <w:r>
        <w:rPr>
          <w:sz w:val="24"/>
          <w:szCs w:val="24"/>
        </w:rPr>
        <w:t>Proprietary/Competition Sensitive information (appropriately marked) will be protected from disclosure to the greatest extent practical, however it is preferred that respondents do not provide proprietary or otherwise restricted responses unless they are indicating proprietary technical characteristics.</w:t>
      </w:r>
    </w:p>
    <w:p w:rsidR="007C4127" w:rsidRPr="00EA41D4" w:rsidP="007C4127">
      <w:pPr>
        <w:spacing w:after="0" w:line="240" w:lineRule="auto"/>
        <w:rPr>
          <w:szCs w:val="20"/>
        </w:rPr>
      </w:pPr>
      <w:r>
        <w:rPr>
          <w:sz w:val="24"/>
          <w:szCs w:val="24"/>
        </w:rPr>
        <w:t xml:space="preserve">Vendors are hereby notified that if a competitive solicitation is issued on the Beta SAM website http:// </w:t>
      </w:r>
      <w:r>
        <w:fldChar w:fldCharType="begin"/>
      </w:r>
      <w:r>
        <w:instrText xml:space="preserve"> HYPERLINK "https://sam.gov" </w:instrText>
      </w:r>
      <w:r>
        <w:fldChar w:fldCharType="separate"/>
      </w:r>
      <w:r>
        <w:rPr>
          <w:rStyle w:val="Hyperlink"/>
          <w:sz w:val="24"/>
          <w:szCs w:val="24"/>
        </w:rPr>
        <w:t>https://sam.gov</w:t>
      </w:r>
      <w:r>
        <w:fldChar w:fldCharType="end"/>
      </w:r>
      <w:r>
        <w:rPr>
          <w:rStyle w:val="Hyperlink"/>
          <w:sz w:val="24"/>
          <w:szCs w:val="24"/>
        </w:rPr>
        <w:t xml:space="preserve"> </w:t>
      </w:r>
      <w:r>
        <w:rPr>
          <w:sz w:val="24"/>
          <w:szCs w:val="24"/>
        </w:rPr>
        <w:t>at a later date</w:t>
      </w:r>
      <w:r>
        <w:rPr>
          <w:sz w:val="24"/>
          <w:szCs w:val="24"/>
        </w:rPr>
        <w:t xml:space="preserve">, all interested parties must respond to that Solicitation announcement separately from any response to this SS announcement. This SS does not restrict the Government's acquisition approach on a future Solicitation. </w:t>
      </w:r>
      <w:r>
        <w:rPr>
          <w:sz w:val="24"/>
          <w:szCs w:val="24"/>
        </w:rPr>
        <w:br/>
      </w:r>
      <w:r>
        <w:rPr>
          <w:sz w:val="24"/>
          <w:szCs w:val="24"/>
        </w:rPr>
        <w:br/>
        <w:t xml:space="preserve">No faxes, courier delivered, or telephone inquiries/submissions will be accepted. Responses should be submitted to Rachelle J. Hamer, Contracting Officer at </w:t>
      </w:r>
      <w:r>
        <w:fldChar w:fldCharType="begin"/>
      </w:r>
      <w:r>
        <w:instrText xml:space="preserve"> HYPERLINK "mailto:rachelle.hamer@va.gov" </w:instrText>
      </w:r>
      <w:r>
        <w:fldChar w:fldCharType="separate"/>
      </w:r>
      <w:r>
        <w:rPr>
          <w:rStyle w:val="Hyperlink"/>
          <w:sz w:val="24"/>
          <w:szCs w:val="24"/>
        </w:rPr>
        <w:t>rachelle.hamer@va.gov</w:t>
      </w:r>
      <w:r>
        <w:fldChar w:fldCharType="end"/>
      </w:r>
      <w:r>
        <w:rPr>
          <w:sz w:val="24"/>
          <w:szCs w:val="24"/>
        </w:rPr>
        <w:t xml:space="preserve">, by Thursday, March 28, 2024, by 5PM ET.  </w:t>
      </w:r>
      <w:r w:rsidRPr="00EA41D4">
        <w:rPr>
          <w:szCs w:val="20"/>
        </w:rPr>
        <w:t>Enter “</w:t>
      </w:r>
      <w:r>
        <w:rPr>
          <w:szCs w:val="20"/>
        </w:rPr>
        <w:t>RFI</w:t>
      </w:r>
      <w:r w:rsidRPr="00EA41D4">
        <w:rPr>
          <w:szCs w:val="20"/>
        </w:rPr>
        <w:t xml:space="preserve"> </w:t>
      </w:r>
      <w:r>
        <w:rPr>
          <w:szCs w:val="20"/>
        </w:rPr>
        <w:t>36C25024Q0456</w:t>
      </w:r>
      <w:r w:rsidRPr="00EA41D4">
        <w:rPr>
          <w:szCs w:val="20"/>
        </w:rPr>
        <w:t xml:space="preserve">| </w:t>
      </w:r>
      <w:r>
        <w:rPr>
          <w:szCs w:val="20"/>
        </w:rPr>
        <w:t>Mako Robotic System</w:t>
      </w:r>
      <w:r w:rsidRPr="00EA41D4">
        <w:rPr>
          <w:szCs w:val="20"/>
        </w:rPr>
        <w:t xml:space="preserve">” in the email subject line.  </w:t>
      </w:r>
    </w:p>
    <w:p w:rsidR="007C4127" w:rsidP="007C4127"/>
    <w:p w:rsidR="007C4127" w:rsidRPr="006E3799" w:rsidP="007C4127">
      <w:pPr>
        <w:spacing w:after="0" w:line="240" w:lineRule="auto"/>
        <w:jc w:val="center"/>
        <w:rPr>
          <w:rFonts w:eastAsia="Times New Roman" w:cs="Arial"/>
          <w:sz w:val="24"/>
          <w:szCs w:val="24"/>
        </w:rPr>
      </w:pPr>
    </w:p>
    <w:p w:rsidR="006B0379"/>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85EC9"/>
    <w:multiLevelType w:val="hybridMultilevel"/>
    <w:tmpl w:val="2F78689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41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2024-03-21T11:57:47Z</dcterms:created>
  <dcterms:modified xsi:type="dcterms:W3CDTF">2024-03-21T11:57:47Z</dcterms:modified>
</cp:coreProperties>
</file>