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5A5226" w:rsidRPr="005A5226" w:rsidP="005A5226">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730"/>
      </w:tblGrid>
      <w:tr w:rsidTr="00640376">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18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SUBJECT*</w:t>
            </w:r>
          </w:p>
        </w:tc>
        <w:tc>
          <w:tcPr>
            <w:tcW w:w="8730" w:type="dxa"/>
            <w:hideMark/>
          </w:tcPr>
          <w:p w:rsidR="005A5226" w:rsidRPr="00640376">
            <w:pPr>
              <w:spacing w:before="0"/>
              <w:rPr>
                <w:rFonts w:asciiTheme="minorHAnsi" w:hAnsiTheme="minorHAnsi" w:cstheme="minorHAnsi"/>
              </w:rPr>
            </w:pPr>
            <w:r>
              <w:rPr>
                <w:rFonts w:asciiTheme="minorHAnsi" w:hAnsiTheme="minorHAnsi" w:cstheme="minorHAnsi"/>
              </w:rPr>
              <w:t>InnoWave Unity Sonic Irrigator</w:t>
            </w:r>
            <w:r w:rsidR="00640376">
              <w:rPr>
                <w:rStyle w:val="AAMSKBFill-InHighlight"/>
              </w:rPr>
              <w:t xml:space="preserve"> </w:t>
            </w:r>
            <w:r w:rsidR="00640376">
              <w:rPr>
                <w:rStyle w:val="AAMSKBFill-InHighlight"/>
              </w:rPr>
              <w:t xml:space="preserve"> </w:t>
            </w:r>
            <w:r w:rsidR="00640376">
              <w:rPr>
                <w:rStyle w:val="AAMSKBFill-InHighlight"/>
              </w:rPr>
              <w:t xml:space="preserve"> </w:t>
            </w:r>
          </w:p>
        </w:tc>
      </w:tr>
    </w:tbl>
    <w:p w:rsidR="005A5226" w:rsidRPr="005A5226" w:rsidP="005A5226">
      <w:pPr>
        <w:spacing w:before="0" w:after="160" w:line="252" w:lineRule="auto"/>
        <w:rPr>
          <w:rFonts w:eastAsia="Calibri" w:cstheme="minorHAnsi"/>
          <w:szCs w:val="20"/>
        </w:rPr>
      </w:pPr>
    </w:p>
    <w:p w:rsidR="005A5226" w:rsidRPr="005A5226" w:rsidP="00640376">
      <w:pPr>
        <w:pBdr>
          <w:top w:val="single" w:sz="4" w:space="1" w:color="auto"/>
          <w:bottom w:val="single" w:sz="4" w:space="1" w:color="auto"/>
        </w:pBdr>
        <w:spacing w:before="0" w:after="160" w:line="252" w:lineRule="auto"/>
        <w:jc w:val="center"/>
        <w:rPr>
          <w:rFonts w:eastAsia="Calibri" w:cstheme="minorHAnsi"/>
          <w:b/>
          <w:szCs w:val="20"/>
        </w:rPr>
      </w:pPr>
      <w:r>
        <w:rPr>
          <w:rFonts w:cs="Calibr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40376">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CONTRACTING OFFICE’S ZIP CODE*</w:t>
            </w:r>
          </w:p>
        </w:tc>
        <w:tc>
          <w:tcPr>
            <w:tcW w:w="5220" w:type="dxa"/>
            <w:hideMark/>
          </w:tcPr>
          <w:p w:rsidR="005A5226" w:rsidRPr="00640376">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45409-1337</w:t>
            </w:r>
          </w:p>
        </w:tc>
      </w:tr>
      <w:tr w:rsidTr="00640376">
        <w:tblPrEx>
          <w:tblW w:w="9918" w:type="dxa"/>
          <w:tblInd w:w="0" w:type="dxa"/>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SOLICITATION NUMBER*</w:t>
            </w:r>
          </w:p>
        </w:tc>
        <w:tc>
          <w:tcPr>
            <w:tcW w:w="5220" w:type="dxa"/>
            <w:hideMark/>
          </w:tcPr>
          <w:p w:rsidR="005A5226" w:rsidRPr="00640376">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36C25024Q0621</w:t>
            </w:r>
          </w:p>
        </w:tc>
      </w:tr>
      <w:tr w:rsidTr="00640376">
        <w:tblPrEx>
          <w:tblW w:w="9918" w:type="dxa"/>
          <w:tblInd w:w="0" w:type="dxa"/>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RESPONSE DATE/TIME/ZONE</w:t>
            </w:r>
          </w:p>
        </w:tc>
        <w:tc>
          <w:tcPr>
            <w:tcW w:w="5220" w:type="dxa"/>
            <w:hideMark/>
          </w:tcPr>
          <w:p w:rsidR="005A5226" w:rsidRPr="00640376">
            <w:pPr>
              <w:spacing w:before="0"/>
              <w:rPr>
                <w:rFonts w:asciiTheme="minorHAnsi" w:hAnsiTheme="minorHAnsi" w:cstheme="minorHAnsi"/>
              </w:rPr>
            </w:pPr>
            <w:r>
              <w:rPr>
                <w:rFonts w:asciiTheme="minorHAnsi" w:hAnsiTheme="minorHAnsi" w:cstheme="minorHAnsi"/>
              </w:rPr>
              <w:t>05-13-2024</w:t>
            </w:r>
            <w:r w:rsidRPr="005A5226">
              <w:rPr>
                <w:rStyle w:val="AAMSKBFill-InHighlight"/>
                <w:rFonts w:asciiTheme="minorHAnsi" w:hAnsiTheme="minorHAnsi" w:cstheme="minorHAnsi"/>
              </w:rPr>
              <w:t xml:space="preserve"> </w:t>
            </w:r>
            <w:r>
              <w:rPr>
                <w:rFonts w:asciiTheme="minorHAnsi" w:hAnsiTheme="minorHAnsi" w:cstheme="minorHAnsi"/>
              </w:rPr>
              <w:t>4:00pm</w:t>
            </w:r>
            <w:r w:rsidRPr="005A5226">
              <w:rPr>
                <w:rStyle w:val="AAMSKBFill-InHighlight"/>
                <w:rFonts w:asciiTheme="minorHAnsi" w:hAnsiTheme="minorHAnsi" w:cstheme="minorHAnsi"/>
              </w:rPr>
              <w:t xml:space="preserve"> </w:t>
            </w:r>
            <w:r>
              <w:rPr>
                <w:rFonts w:asciiTheme="minorHAnsi" w:hAnsiTheme="minorHAnsi" w:cstheme="minorHAnsi"/>
              </w:rPr>
              <w:t>EASTERN TIME, NEW YORK, USA</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ARCHIVE</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30</w:t>
            </w:r>
            <w:r w:rsidRPr="005A5226">
              <w:rPr>
                <w:rFonts w:asciiTheme="minorHAnsi" w:hAnsiTheme="minorHAnsi" w:cstheme="minorHAnsi"/>
                <w:color w:val="C00000"/>
                <w:szCs w:val="20"/>
                <w:bdr w:val="none" w:sz="0" w:space="0" w:color="auto" w:frame="1"/>
              </w:rPr>
              <w:t xml:space="preserve"> </w:t>
            </w:r>
            <w:r w:rsidRPr="005A5226">
              <w:rPr>
                <w:rFonts w:asciiTheme="minorHAnsi" w:hAnsiTheme="minorHAnsi" w:cstheme="minorHAnsi"/>
                <w:szCs w:val="20"/>
                <w:bdr w:val="none" w:sz="0" w:space="0" w:color="auto" w:frame="1"/>
              </w:rPr>
              <w:t>DAYS AFTER THE RESPONSE DATE</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RECOVERY ACT FUNDS</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N</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SET-ASIDE</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SBA</w:t>
            </w:r>
          </w:p>
        </w:tc>
      </w:tr>
      <w:tr w:rsidTr="00640376">
        <w:tblPrEx>
          <w:tblW w:w="9918" w:type="dxa"/>
          <w:tblInd w:w="0" w:type="dxa"/>
          <w:tblLook w:val="04A0"/>
        </w:tblPrEx>
        <w:tc>
          <w:tcPr>
            <w:tcW w:w="4698" w:type="dxa"/>
          </w:tcPr>
          <w:p w:rsidR="00640376" w:rsidRPr="00640376">
            <w:pPr>
              <w:spacing w:before="0"/>
              <w:rPr>
                <w:rFonts w:cstheme="minorHAnsi"/>
                <w:b/>
                <w:szCs w:val="20"/>
              </w:rPr>
            </w:pPr>
            <w:r w:rsidRPr="00640376">
              <w:rPr>
                <w:rFonts w:asciiTheme="minorHAnsi" w:hAnsiTheme="minorHAnsi" w:cstheme="minorHAnsi"/>
                <w:b/>
                <w:szCs w:val="20"/>
              </w:rPr>
              <w:t>PRODUCT SERVICE CODE*</w:t>
            </w:r>
          </w:p>
        </w:tc>
        <w:tc>
          <w:tcPr>
            <w:tcW w:w="5220" w:type="dxa"/>
          </w:tcPr>
          <w:p w:rsidR="00640376" w:rsidRPr="00641937">
            <w:pPr>
              <w:spacing w:before="0"/>
              <w:rPr>
                <w:rStyle w:val="AAMSKBFill-InHighlight"/>
                <w:color w:val="auto"/>
              </w:rPr>
            </w:pPr>
            <w:r>
              <w:rPr>
                <w:rStyle w:val="AAMSKBFill-InHighlight"/>
                <w:color w:val="auto"/>
              </w:rPr>
              <w:t>4460</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NAICS CODE*</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339113</w:t>
            </w:r>
          </w:p>
        </w:tc>
      </w:tr>
      <w:tr w:rsidTr="00640376">
        <w:tblPrEx>
          <w:tblW w:w="9918" w:type="dxa"/>
          <w:tblInd w:w="0" w:type="dxa"/>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CONTRACTING OFFICE ADDRESS</w:t>
            </w:r>
          </w:p>
        </w:tc>
        <w:tc>
          <w:tcPr>
            <w:tcW w:w="5220" w:type="dxa"/>
          </w:tcPr>
          <w:p w:rsidR="005A5226" w:rsidRPr="005A5226">
            <w:pPr>
              <w:spacing w:before="0"/>
              <w:rPr>
                <w:rFonts w:asciiTheme="minorHAnsi" w:eastAsiaTheme="minorHAnsi" w:hAnsiTheme="minorHAnsi" w:cstheme="minorHAnsi"/>
                <w:szCs w:val="20"/>
                <w:bdr w:val="none" w:sz="0" w:space="0" w:color="auto" w:frame="1"/>
              </w:rPr>
            </w:pP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(NCO 10)</w:t>
            </w: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3140 Governor’s Place Blvd. Suite 210</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Kettering OH  45409-1337</w:t>
            </w:r>
            <w:r w:rsidRPr="005A5226">
              <w:rPr>
                <w:rStyle w:val="AAMSKBFill-InHighlight"/>
                <w:rFonts w:asciiTheme="minorHAnsi" w:hAnsiTheme="minorHAnsi" w:cstheme="minorHAnsi"/>
              </w:rPr>
              <w:t xml:space="preserve"> </w:t>
            </w:r>
          </w:p>
          <w:p w:rsidR="005A5226" w:rsidRPr="005A5226">
            <w:pPr>
              <w:spacing w:before="0"/>
              <w:rPr>
                <w:rFonts w:asciiTheme="minorHAnsi" w:hAnsiTheme="minorHAnsi" w:cstheme="minorHAnsi"/>
                <w:szCs w:val="20"/>
              </w:rPr>
            </w:pP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POINT OF CONTACT*</w:t>
            </w:r>
          </w:p>
          <w:p w:rsidR="005A5226" w:rsidRPr="00640376">
            <w:pPr>
              <w:spacing w:before="0"/>
              <w:rPr>
                <w:rFonts w:asciiTheme="minorHAnsi" w:hAnsiTheme="minorHAnsi" w:cstheme="minorHAnsi"/>
                <w:b/>
                <w:szCs w:val="20"/>
              </w:rPr>
            </w:pPr>
          </w:p>
          <w:p w:rsidR="005A5226" w:rsidRPr="005A5226">
            <w:pPr>
              <w:spacing w:before="0"/>
              <w:rPr>
                <w:rFonts w:asciiTheme="minorHAnsi" w:hAnsiTheme="minorHAnsi" w:cstheme="minorHAnsi"/>
                <w:szCs w:val="20"/>
              </w:rPr>
            </w:pPr>
          </w:p>
        </w:tc>
        <w:tc>
          <w:tcPr>
            <w:tcW w:w="5220" w:type="dxa"/>
            <w:hideMark/>
          </w:tcPr>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John Tschirhart</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john.tschirhart@va.gov</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937-267-3952</w:t>
            </w:r>
          </w:p>
          <w:p w:rsidR="005A5226" w:rsidRPr="005A5226">
            <w:pPr>
              <w:spacing w:before="0"/>
              <w:rPr>
                <w:rFonts w:asciiTheme="minorHAnsi" w:eastAsiaTheme="minorHAnsi" w:hAnsiTheme="minorHAnsi" w:cstheme="minorHAnsi"/>
                <w:szCs w:val="20"/>
                <w:bdr w:val="none" w:sz="0" w:space="0" w:color="auto" w:frame="1"/>
              </w:rPr>
            </w:pPr>
          </w:p>
          <w:p w:rsidR="005A5226" w:rsidRPr="005A5226">
            <w:pPr>
              <w:spacing w:before="0"/>
              <w:rPr>
                <w:rFonts w:asciiTheme="minorHAnsi" w:hAnsiTheme="minorHAnsi" w:cstheme="minorHAnsi"/>
                <w:szCs w:val="20"/>
              </w:rPr>
            </w:pPr>
          </w:p>
        </w:tc>
      </w:tr>
    </w:tbl>
    <w:p w:rsidR="005A5226" w:rsidRPr="005A5226" w:rsidP="005A5226">
      <w:pPr>
        <w:rPr>
          <w:rFonts w:cstheme="minorHAnsi"/>
          <w:szCs w:val="20"/>
        </w:rPr>
      </w:pPr>
    </w:p>
    <w:p w:rsidR="005A5226" w:rsidRPr="005A5226" w:rsidP="00640376">
      <w:pPr>
        <w:pBdr>
          <w:top w:val="single" w:sz="4" w:space="1" w:color="auto"/>
          <w:bottom w:val="single" w:sz="4" w:space="1" w:color="auto"/>
        </w:pBdr>
        <w:spacing w:before="0" w:after="160" w:line="252" w:lineRule="auto"/>
        <w:jc w:val="center"/>
        <w:rPr>
          <w:rFonts w:eastAsia="Calibri" w:cstheme="minorHAnsi"/>
          <w:b/>
          <w:sz w:val="22"/>
        </w:rPr>
      </w:pPr>
      <w:r>
        <w:rPr>
          <w:rFonts w:cs="Calibr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F12ED9">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67389A" w:rsidRPr="00640376">
            <w:pPr>
              <w:spacing w:before="0"/>
              <w:rPr>
                <w:rFonts w:asciiTheme="minorHAnsi" w:hAnsiTheme="minorHAnsi" w:cstheme="minorHAnsi"/>
                <w:b/>
                <w:szCs w:val="20"/>
              </w:rPr>
            </w:pPr>
            <w:r w:rsidRPr="00640376">
              <w:rPr>
                <w:rFonts w:asciiTheme="minorHAnsi" w:hAnsiTheme="minorHAnsi" w:cstheme="minorHAnsi"/>
                <w:b/>
                <w:szCs w:val="20"/>
              </w:rPr>
              <w:t>ADDRESS</w:t>
            </w:r>
          </w:p>
        </w:tc>
        <w:tc>
          <w:tcPr>
            <w:tcW w:w="5243" w:type="dxa"/>
            <w:hideMark/>
          </w:tcPr>
          <w:p w:rsidR="0067389A" w:rsidRPr="0067389A">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Department of Veterans Affairs</w:t>
            </w: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Dayton VA Medical Center</w:t>
            </w: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4100 West Third Street</w:t>
            </w: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Dayton</w:t>
            </w:r>
            <w:r>
              <w:rPr>
                <w:rStyle w:val="AAMSKBFill-InHighlight"/>
                <w:rFonts w:cstheme="minorHAnsi"/>
              </w:rPr>
              <w:t xml:space="preserve"> </w:t>
            </w:r>
            <w:r>
              <w:rPr>
                <w:rStyle w:val="AAMSKBFill-InHighlight"/>
                <w:rFonts w:asciiTheme="minorHAnsi" w:hAnsiTheme="minorHAnsi" w:cstheme="minorHAnsi"/>
                <w:color w:val="auto"/>
              </w:rPr>
              <w:t>Ohio</w:t>
            </w:r>
          </w:p>
        </w:tc>
      </w:tr>
      <w:tr w:rsidTr="00F12ED9">
        <w:tblPrEx>
          <w:tblW w:w="9918" w:type="dxa"/>
          <w:tblInd w:w="0" w:type="dxa"/>
          <w:tblLook w:val="04A0"/>
        </w:tblPrEx>
        <w:tc>
          <w:tcPr>
            <w:tcW w:w="4675" w:type="dxa"/>
            <w:hideMark/>
          </w:tcPr>
          <w:p w:rsidR="0067389A" w:rsidRPr="00640376">
            <w:pPr>
              <w:spacing w:before="0"/>
              <w:rPr>
                <w:b/>
                <w:szCs w:val="20"/>
              </w:rPr>
            </w:pPr>
            <w:r w:rsidRPr="00640376">
              <w:rPr>
                <w:rFonts w:asciiTheme="minorHAnsi" w:hAnsiTheme="minorHAnsi" w:cstheme="minorHAnsi"/>
                <w:b/>
                <w:szCs w:val="20"/>
              </w:rPr>
              <w:t>POSTAL CODE</w:t>
            </w:r>
          </w:p>
        </w:tc>
        <w:tc>
          <w:tcPr>
            <w:tcW w:w="5243" w:type="dxa"/>
            <w:hideMark/>
          </w:tcPr>
          <w:p w:rsidR="0067389A" w:rsidRPr="0067389A">
            <w:pPr>
              <w:spacing w:before="0"/>
              <w:rPr>
                <w:rFonts w:asciiTheme="minorHAnsi" w:hAnsiTheme="minorHAnsi" w:cstheme="minorHAnsi"/>
                <w:szCs w:val="20"/>
              </w:rPr>
            </w:pPr>
            <w:r>
              <w:rPr>
                <w:rFonts w:asciiTheme="minorHAnsi" w:hAnsiTheme="minorHAnsi" w:cstheme="minorHAnsi"/>
                <w:szCs w:val="20"/>
              </w:rPr>
              <w:t>45428</w:t>
            </w:r>
          </w:p>
        </w:tc>
      </w:tr>
      <w:tr w:rsidTr="00F12ED9">
        <w:tblPrEx>
          <w:tblW w:w="9918" w:type="dxa"/>
          <w:tblInd w:w="0" w:type="dxa"/>
          <w:tblLook w:val="04A0"/>
        </w:tblPrEx>
        <w:tc>
          <w:tcPr>
            <w:tcW w:w="4675" w:type="dxa"/>
            <w:hideMark/>
          </w:tcPr>
          <w:p w:rsidR="0067389A" w:rsidRPr="00640376">
            <w:pPr>
              <w:spacing w:before="0"/>
              <w:rPr>
                <w:rFonts w:asciiTheme="minorHAnsi" w:hAnsiTheme="minorHAnsi" w:cstheme="minorHAnsi"/>
                <w:b/>
                <w:szCs w:val="20"/>
              </w:rPr>
            </w:pPr>
            <w:r w:rsidRPr="00640376">
              <w:rPr>
                <w:rFonts w:asciiTheme="minorHAnsi" w:hAnsiTheme="minorHAnsi" w:cstheme="minorHAnsi"/>
                <w:b/>
                <w:szCs w:val="20"/>
              </w:rPr>
              <w:t>COUNTRY</w:t>
            </w:r>
          </w:p>
        </w:tc>
        <w:tc>
          <w:tcPr>
            <w:tcW w:w="5243" w:type="dxa"/>
            <w:hideMark/>
          </w:tcPr>
          <w:p w:rsidR="0067389A" w:rsidRPr="0067389A">
            <w:pPr>
              <w:spacing w:before="0"/>
              <w:rPr>
                <w:rFonts w:asciiTheme="minorHAnsi" w:hAnsiTheme="minorHAnsi" w:cstheme="minorHAnsi"/>
                <w:szCs w:val="20"/>
              </w:rPr>
            </w:pPr>
            <w:r>
              <w:rPr>
                <w:rFonts w:asciiTheme="minorHAnsi" w:hAnsiTheme="minorHAnsi" w:cstheme="minorHAnsi"/>
                <w:szCs w:val="20"/>
              </w:rPr>
              <w:t>USA</w:t>
            </w:r>
          </w:p>
        </w:tc>
      </w:tr>
    </w:tbl>
    <w:p w:rsidR="005A5226" w:rsidRPr="005A5226" w:rsidP="005A5226">
      <w:pPr>
        <w:spacing w:before="0" w:after="160" w:line="252" w:lineRule="auto"/>
        <w:jc w:val="center"/>
        <w:rPr>
          <w:rFonts w:eastAsia="Calibri" w:cstheme="minorHAnsi"/>
          <w:b/>
          <w:sz w:val="22"/>
        </w:rPr>
      </w:pPr>
    </w:p>
    <w:p w:rsidR="005A5226" w:rsidRPr="005A5226" w:rsidP="00640376">
      <w:pPr>
        <w:pBdr>
          <w:top w:val="single" w:sz="4" w:space="1" w:color="auto"/>
          <w:bottom w:val="single" w:sz="4" w:space="1" w:color="auto"/>
        </w:pBdr>
        <w:spacing w:before="0" w:after="160" w:line="252" w:lineRule="auto"/>
        <w:jc w:val="center"/>
        <w:rPr>
          <w:rFonts w:eastAsia="Calibri" w:cstheme="minorHAnsi"/>
          <w:b/>
          <w:sz w:val="22"/>
        </w:rPr>
      </w:pPr>
      <w:r>
        <w:rPr>
          <w:rFonts w:cs="Calibr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F12ED9">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AGENCY’S URL</w:t>
            </w:r>
          </w:p>
        </w:tc>
        <w:tc>
          <w:tcPr>
            <w:tcW w:w="5243" w:type="dxa"/>
            <w:hideMark/>
          </w:tcPr>
          <w:p w:rsidR="005A5226" w:rsidRPr="005A5226">
            <w:pPr>
              <w:spacing w:before="0"/>
              <w:rPr>
                <w:rFonts w:asciiTheme="minorHAnsi" w:hAnsiTheme="minorHAnsi" w:cstheme="minorHAnsi"/>
              </w:rPr>
            </w:pPr>
            <w:r>
              <w:rPr>
                <w:rFonts w:asciiTheme="minorHAnsi" w:hAnsiTheme="minorHAnsi" w:cstheme="minorHAnsi"/>
              </w:rPr>
              <w:t>https://www.va.gov</w:t>
            </w:r>
          </w:p>
        </w:tc>
      </w:tr>
      <w:tr w:rsidTr="00F12ED9">
        <w:tblPrEx>
          <w:tblW w:w="9918" w:type="dxa"/>
          <w:tblInd w:w="0" w:type="dxa"/>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URL DESCRIPTION</w:t>
            </w:r>
          </w:p>
        </w:tc>
        <w:tc>
          <w:tcPr>
            <w:tcW w:w="5243"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Homepage</w:t>
            </w:r>
          </w:p>
        </w:tc>
      </w:tr>
      <w:tr w:rsidTr="00F12ED9">
        <w:tblPrEx>
          <w:tblW w:w="9918" w:type="dxa"/>
          <w:tblInd w:w="0" w:type="dxa"/>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AGENCY CONTACT’S EMAIL ADDRESS</w:t>
            </w:r>
          </w:p>
        </w:tc>
        <w:tc>
          <w:tcPr>
            <w:tcW w:w="5243"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john.tschirhart@va.gov</w:t>
            </w:r>
          </w:p>
        </w:tc>
      </w:tr>
      <w:tr w:rsidTr="00F12ED9">
        <w:tblPrEx>
          <w:tblW w:w="9918" w:type="dxa"/>
          <w:tblInd w:w="0" w:type="dxa"/>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EMAIL DESCRIPTION</w:t>
            </w:r>
          </w:p>
        </w:tc>
        <w:tc>
          <w:tcPr>
            <w:tcW w:w="5243"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Point of Contact</w:t>
            </w:r>
          </w:p>
        </w:tc>
      </w:tr>
    </w:tbl>
    <w:p w:rsidR="00625F03">
      <w:pPr>
        <w:spacing w:before="0" w:after="200"/>
        <w:rPr>
          <w:rFonts w:cstheme="minorHAnsi"/>
          <w:b/>
          <w:color w:val="4F81BD" w:themeColor="accent1"/>
          <w:sz w:val="28"/>
          <w:szCs w:val="28"/>
        </w:rPr>
      </w:pPr>
      <w:r>
        <w:rPr>
          <w:rFonts w:cstheme="minorHAnsi"/>
          <w:b/>
          <w:color w:val="4F81BD" w:themeColor="accent1"/>
          <w:sz w:val="28"/>
          <w:szCs w:val="28"/>
        </w:rPr>
        <w:br w:type="page"/>
      </w:r>
    </w:p>
    <w:p w:rsidR="00956928" w:rsidRPr="00640376" w:rsidP="00640376">
      <w:pPr>
        <w:pBdr>
          <w:top w:val="single" w:sz="4" w:space="1" w:color="auto"/>
          <w:bottom w:val="single" w:sz="4" w:space="1" w:color="auto"/>
        </w:pBdr>
        <w:jc w:val="center"/>
        <w:rPr>
          <w:rFonts w:cstheme="minorHAnsi"/>
          <w:b/>
          <w:sz w:val="22"/>
        </w:rPr>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pPr>
      <w:r>
        <w:rPr>
          <w:rFonts w:cstheme="minorHAnsi"/>
          <w:b/>
          <w:color w:val="4F81BD" w:themeColor="accent1"/>
          <w:sz w:val="28"/>
          <w:szCs w:val="28"/>
        </w:rPr>
        <w:t>DESCRIPTION</w:t>
      </w:r>
    </w:p>
    <w:p w:rsidR="00362DDB" w:rsidRPr="00960C13" w:rsidP="00362DDB">
      <w:pPr>
        <w:spacing w:before="360" w:after="120"/>
        <w:outlineLvl w:val="3"/>
        <w:rPr>
          <w:b/>
          <w:bCs/>
        </w:rPr>
      </w:pPr>
      <w:r w:rsidRPr="00960C13">
        <w:rPr>
          <w:b/>
          <w:bCs/>
        </w:rPr>
        <w:t>Description</w:t>
      </w:r>
    </w:p>
    <w:p w:rsidR="00362DDB" w:rsidRPr="00960C13" w:rsidP="00362DDB">
      <w:r w:rsidRPr="00960C13">
        <w:t>This is a combined synopsis/solicitation for commercial items prepared in accordance with the format in Federal Acquisition Regulation (FAR) subpart 12.6, “Streamlined Procedures for Evaluation and Solicitation for Commercial Items,” as supplemented with additional information included in this notice. This announcement constitutes the only solicitation; quotes are being requested, and a written solicitation document will not be issued.</w:t>
      </w:r>
    </w:p>
    <w:p w:rsidR="00362DDB" w:rsidRPr="00960C13" w:rsidP="00362DDB">
      <w:pPr>
        <w:rPr>
          <w:iCs/>
        </w:rPr>
      </w:pPr>
      <w:r w:rsidRPr="00960C13">
        <w:t>This solicitation is issued as an RFQ (36C2502</w:t>
      </w:r>
      <w:r>
        <w:t>4</w:t>
      </w:r>
      <w:r w:rsidRPr="00960C13">
        <w:t>Q</w:t>
      </w:r>
      <w:r>
        <w:t>0621</w:t>
      </w:r>
      <w:r w:rsidRPr="00960C13">
        <w:t xml:space="preserve">). </w:t>
      </w:r>
      <w:r w:rsidRPr="00960C13">
        <w:rPr>
          <w:color w:val="0070C0"/>
        </w:rPr>
        <w:t xml:space="preserve"> </w:t>
      </w:r>
      <w:r w:rsidRPr="00960C13">
        <w:t>The solicitation document and incorporated provisions and clauses are those in effect through Federal Acquisition Circular</w:t>
      </w:r>
      <w:r>
        <w:t xml:space="preserve"> (FAC)</w:t>
      </w:r>
      <w:r w:rsidRPr="00960C13">
        <w:t xml:space="preserve"> 202</w:t>
      </w:r>
      <w:r>
        <w:t>4</w:t>
      </w:r>
      <w:r w:rsidRPr="00960C13">
        <w:t>-0</w:t>
      </w:r>
      <w:r>
        <w:t>4</w:t>
      </w:r>
      <w:r w:rsidRPr="00960C13">
        <w:t>.</w:t>
      </w:r>
    </w:p>
    <w:p w:rsidR="00362DDB" w:rsidRPr="00960C13" w:rsidP="00362DDB">
      <w:r w:rsidRPr="00960C13">
        <w:t>This solicitation is set-aside for small businesses.</w:t>
      </w:r>
    </w:p>
    <w:p w:rsidR="00362DDB" w:rsidRPr="00960C13" w:rsidP="00362DDB">
      <w:r w:rsidRPr="00960C13">
        <w:t>The associated North American Industrial Classification System (NAICS) code for this procurement is 339113, Surgical Appliance and Supplies Manufacturing with a small business size standard of 800. The FSC/PSC is 4460.</w:t>
      </w:r>
    </w:p>
    <w:p w:rsidR="00362DDB" w:rsidRPr="00960C13" w:rsidP="00362DDB">
      <w:bookmarkStart w:id="0" w:name="_Hlk124929540"/>
      <w:r w:rsidRPr="00960C13">
        <w:t xml:space="preserve">The Department of Veterans Affairs, Network Contracting Office (NCO) 10, Regional Procurement Office (RPO) Central, 3140 Governor’s Place Blvd, Suite 210, Kettering, OH 45409 </w:t>
      </w:r>
      <w:bookmarkEnd w:id="0"/>
      <w:r w:rsidRPr="00960C13">
        <w:t xml:space="preserve">is seeking to purchase Steris </w:t>
      </w:r>
      <w:r w:rsidRPr="00362DDB">
        <w:t>InnoWave Unity Sonic Irrigator</w:t>
      </w:r>
      <w:r w:rsidRPr="00960C13">
        <w:t>.</w:t>
      </w:r>
    </w:p>
    <w:p w:rsidR="00362DDB" w:rsidRPr="00960C13" w:rsidP="00362DDB">
      <w:r w:rsidRPr="00960C13">
        <w:t>All interested companies shall provide quotations for the following brand name or equal:</w:t>
      </w:r>
    </w:p>
    <w:p w:rsidR="00362DDB" w:rsidRPr="00960C13" w:rsidP="00362DDB">
      <w:pPr>
        <w:rPr>
          <w:b/>
          <w:iCs/>
        </w:rPr>
      </w:pPr>
      <w:r w:rsidRPr="00960C13">
        <w:rPr>
          <w:b/>
          <w:iCs/>
        </w:rPr>
        <w:t>Supplies</w:t>
      </w:r>
    </w:p>
    <w:tbl>
      <w:tblPr>
        <w:tblStyle w:val="LightListAccent1"/>
        <w:tblW w:w="0" w:type="auto"/>
        <w:tblLook w:val="04A0"/>
      </w:tblPr>
      <w:tblGrid>
        <w:gridCol w:w="1195"/>
        <w:gridCol w:w="2477"/>
        <w:gridCol w:w="703"/>
        <w:gridCol w:w="822"/>
        <w:gridCol w:w="819"/>
        <w:gridCol w:w="999"/>
        <w:gridCol w:w="743"/>
        <w:gridCol w:w="1582"/>
      </w:tblGrid>
      <w:tr w:rsidTr="00362DDB">
        <w:tblPrEx>
          <w:tblW w:w="0" w:type="auto"/>
          <w:tblLook w:val="04A0"/>
        </w:tblPrEx>
        <w:tc>
          <w:tcPr>
            <w:tcW w:w="1278" w:type="dxa"/>
            <w:tcBorders>
              <w:top w:val="single" w:sz="8" w:space="0" w:color="4472C4" w:themeColor="accent1"/>
              <w:left w:val="single" w:sz="8" w:space="0" w:color="4472C4" w:themeColor="accent1"/>
              <w:bottom w:val="nil"/>
              <w:right w:val="nil"/>
            </w:tcBorders>
            <w:shd w:val="clear" w:color="auto" w:fill="auto"/>
            <w:vAlign w:val="bottom"/>
            <w:hideMark/>
          </w:tcPr>
          <w:p w:rsidR="00362DDB" w:rsidRPr="00362DDB" w:rsidP="00374654">
            <w:pPr>
              <w:spacing w:before="60" w:after="60"/>
              <w:rPr>
                <w:rFonts w:cstheme="minorHAnsi"/>
                <w:color w:val="auto"/>
              </w:rPr>
            </w:pPr>
            <w:r w:rsidRPr="00362DDB">
              <w:rPr>
                <w:rFonts w:cstheme="minorHAnsi"/>
                <w:color w:val="auto"/>
              </w:rPr>
              <w:t>ITEM NUMBER</w:t>
            </w:r>
          </w:p>
        </w:tc>
        <w:tc>
          <w:tcPr>
            <w:tcW w:w="2322" w:type="dxa"/>
            <w:tcBorders>
              <w:top w:val="single" w:sz="8" w:space="0" w:color="4472C4" w:themeColor="accent1"/>
              <w:left w:val="nil"/>
              <w:bottom w:val="nil"/>
              <w:right w:val="nil"/>
            </w:tcBorders>
            <w:shd w:val="clear" w:color="auto" w:fill="auto"/>
            <w:vAlign w:val="bottom"/>
            <w:hideMark/>
          </w:tcPr>
          <w:p w:rsidR="00362DDB" w:rsidRPr="00362DDB" w:rsidP="00374654">
            <w:pPr>
              <w:spacing w:before="60" w:after="60"/>
              <w:rPr>
                <w:rFonts w:cstheme="minorHAnsi"/>
                <w:color w:val="auto"/>
              </w:rPr>
            </w:pPr>
            <w:r w:rsidRPr="00362DDB">
              <w:rPr>
                <w:rFonts w:cstheme="minorHAnsi"/>
                <w:color w:val="auto"/>
              </w:rPr>
              <w:t>DESCRIPTION OF SUPPLIES/SERVICES</w:t>
            </w:r>
          </w:p>
        </w:tc>
        <w:tc>
          <w:tcPr>
            <w:tcW w:w="1458" w:type="dxa"/>
            <w:gridSpan w:val="2"/>
            <w:tcBorders>
              <w:top w:val="single" w:sz="8" w:space="0" w:color="4472C4" w:themeColor="accent1"/>
              <w:left w:val="nil"/>
              <w:bottom w:val="nil"/>
              <w:right w:val="nil"/>
            </w:tcBorders>
            <w:shd w:val="clear" w:color="auto" w:fill="auto"/>
            <w:vAlign w:val="bottom"/>
            <w:hideMark/>
          </w:tcPr>
          <w:p w:rsidR="00362DDB" w:rsidRPr="00362DDB" w:rsidP="00374654">
            <w:pPr>
              <w:spacing w:before="60" w:after="60"/>
              <w:jc w:val="right"/>
              <w:rPr>
                <w:rFonts w:cstheme="minorHAnsi"/>
                <w:color w:val="auto"/>
              </w:rPr>
            </w:pPr>
            <w:r w:rsidRPr="00362DDB">
              <w:rPr>
                <w:rFonts w:cstheme="minorHAnsi"/>
                <w:color w:val="auto"/>
              </w:rPr>
              <w:t>QUANTITY</w:t>
            </w:r>
          </w:p>
        </w:tc>
        <w:tc>
          <w:tcPr>
            <w:tcW w:w="763" w:type="dxa"/>
            <w:tcBorders>
              <w:top w:val="single" w:sz="8" w:space="0" w:color="4472C4" w:themeColor="accent1"/>
              <w:left w:val="nil"/>
              <w:bottom w:val="nil"/>
              <w:right w:val="nil"/>
            </w:tcBorders>
            <w:shd w:val="clear" w:color="auto" w:fill="auto"/>
            <w:vAlign w:val="bottom"/>
            <w:hideMark/>
          </w:tcPr>
          <w:p w:rsidR="00362DDB" w:rsidRPr="00362DDB" w:rsidP="00374654">
            <w:pPr>
              <w:spacing w:before="60" w:after="60"/>
              <w:jc w:val="right"/>
              <w:rPr>
                <w:rFonts w:cstheme="minorHAnsi"/>
                <w:color w:val="auto"/>
              </w:rPr>
            </w:pPr>
            <w:r w:rsidRPr="00362DDB">
              <w:rPr>
                <w:rFonts w:cstheme="minorHAnsi"/>
                <w:color w:val="auto"/>
              </w:rPr>
              <w:t>UNIT</w:t>
            </w:r>
          </w:p>
        </w:tc>
        <w:tc>
          <w:tcPr>
            <w:tcW w:w="1886" w:type="dxa"/>
            <w:gridSpan w:val="2"/>
            <w:tcBorders>
              <w:top w:val="single" w:sz="8" w:space="0" w:color="4472C4" w:themeColor="accent1"/>
              <w:left w:val="nil"/>
              <w:bottom w:val="nil"/>
              <w:right w:val="nil"/>
            </w:tcBorders>
            <w:shd w:val="clear" w:color="auto" w:fill="auto"/>
            <w:vAlign w:val="bottom"/>
            <w:hideMark/>
          </w:tcPr>
          <w:p w:rsidR="00362DDB" w:rsidRPr="00362DDB" w:rsidP="00374654">
            <w:pPr>
              <w:spacing w:before="60" w:after="60"/>
              <w:jc w:val="right"/>
              <w:rPr>
                <w:rFonts w:cstheme="minorHAnsi"/>
                <w:color w:val="auto"/>
              </w:rPr>
            </w:pPr>
            <w:r w:rsidRPr="00362DDB">
              <w:rPr>
                <w:rFonts w:cstheme="minorHAnsi"/>
                <w:color w:val="auto"/>
              </w:rPr>
              <w:t>UNIT PRICE</w:t>
            </w:r>
          </w:p>
        </w:tc>
        <w:tc>
          <w:tcPr>
            <w:tcW w:w="1869" w:type="dxa"/>
            <w:tcBorders>
              <w:top w:val="single" w:sz="8" w:space="0" w:color="4472C4" w:themeColor="accent1"/>
              <w:left w:val="nil"/>
              <w:bottom w:val="nil"/>
              <w:right w:val="single" w:sz="8" w:space="0" w:color="4472C4" w:themeColor="accent1"/>
            </w:tcBorders>
            <w:shd w:val="clear" w:color="auto" w:fill="auto"/>
            <w:vAlign w:val="bottom"/>
            <w:hideMark/>
          </w:tcPr>
          <w:p w:rsidR="00362DDB" w:rsidRPr="00362DDB" w:rsidP="00374654">
            <w:pPr>
              <w:spacing w:before="60" w:after="60"/>
              <w:jc w:val="right"/>
              <w:rPr>
                <w:rFonts w:cstheme="minorHAnsi"/>
                <w:color w:val="auto"/>
              </w:rPr>
            </w:pPr>
            <w:r w:rsidRPr="00362DDB">
              <w:rPr>
                <w:rFonts w:cstheme="minorHAnsi"/>
                <w:color w:val="auto"/>
              </w:rPr>
              <w:t>AMOUNT</w:t>
            </w:r>
          </w:p>
        </w:tc>
      </w:tr>
      <w:tr w:rsidTr="00362DDB">
        <w:tblPrEx>
          <w:tblW w:w="0" w:type="auto"/>
          <w:tblLook w:val="04A0"/>
        </w:tblPrEx>
        <w:tc>
          <w:tcPr>
            <w:tcW w:w="1278" w:type="dxa"/>
            <w:tcBorders>
              <w:top w:val="nil"/>
              <w:bottom w:val="nil"/>
              <w:right w:val="nil"/>
            </w:tcBorders>
            <w:hideMark/>
          </w:tcPr>
          <w:p w:rsidR="00362DDB" w:rsidRPr="00362DDB" w:rsidP="00374654">
            <w:pPr>
              <w:rPr>
                <w:rFonts w:cstheme="minorHAnsi"/>
              </w:rPr>
            </w:pPr>
            <w:r w:rsidRPr="00362DDB">
              <w:rPr>
                <w:rFonts w:cstheme="minorHAnsi"/>
              </w:rPr>
              <w:t>0001</w:t>
            </w:r>
          </w:p>
        </w:tc>
        <w:tc>
          <w:tcPr>
            <w:tcW w:w="2322" w:type="dxa"/>
            <w:tcBorders>
              <w:top w:val="nil"/>
              <w:left w:val="nil"/>
              <w:bottom w:val="nil"/>
              <w:right w:val="nil"/>
            </w:tcBorders>
            <w:hideMark/>
          </w:tcPr>
          <w:p w:rsidR="00362DDB" w:rsidRPr="00362DDB" w:rsidP="00374654">
            <w:pPr>
              <w:rPr>
                <w:rFonts w:cstheme="minorHAnsi"/>
              </w:rPr>
            </w:pPr>
          </w:p>
        </w:tc>
        <w:tc>
          <w:tcPr>
            <w:tcW w:w="1458" w:type="dxa"/>
            <w:gridSpan w:val="2"/>
            <w:tcBorders>
              <w:top w:val="nil"/>
              <w:left w:val="nil"/>
              <w:bottom w:val="nil"/>
              <w:right w:val="nil"/>
            </w:tcBorders>
            <w:hideMark/>
          </w:tcPr>
          <w:p w:rsidR="00362DDB" w:rsidRPr="00362DDB" w:rsidP="00374654">
            <w:pPr>
              <w:jc w:val="right"/>
              <w:rPr>
                <w:rFonts w:cstheme="minorHAnsi"/>
              </w:rPr>
            </w:pPr>
            <w:r w:rsidRPr="00362DDB">
              <w:rPr>
                <w:rFonts w:cstheme="minorHAnsi"/>
              </w:rPr>
              <w:t>2.00</w:t>
            </w:r>
          </w:p>
        </w:tc>
        <w:tc>
          <w:tcPr>
            <w:tcW w:w="763" w:type="dxa"/>
            <w:tcBorders>
              <w:top w:val="nil"/>
              <w:left w:val="nil"/>
              <w:bottom w:val="nil"/>
              <w:right w:val="nil"/>
            </w:tcBorders>
            <w:hideMark/>
          </w:tcPr>
          <w:p w:rsidR="00362DDB" w:rsidRPr="00362DDB" w:rsidP="00374654">
            <w:pPr>
              <w:jc w:val="right"/>
              <w:rPr>
                <w:rFonts w:cstheme="minorHAnsi"/>
              </w:rPr>
            </w:pPr>
            <w:r w:rsidRPr="00362DDB">
              <w:rPr>
                <w:rFonts w:cstheme="minorHAnsi"/>
              </w:rPr>
              <w:t>EA</w:t>
            </w:r>
          </w:p>
        </w:tc>
        <w:tc>
          <w:tcPr>
            <w:tcW w:w="1886" w:type="dxa"/>
            <w:gridSpan w:val="2"/>
            <w:tcBorders>
              <w:top w:val="nil"/>
              <w:left w:val="nil"/>
              <w:bottom w:val="nil"/>
              <w:right w:val="nil"/>
            </w:tcBorders>
          </w:tcPr>
          <w:p w:rsidR="00362DDB" w:rsidRPr="00362DDB" w:rsidP="00374654">
            <w:pPr>
              <w:jc w:val="right"/>
              <w:rPr>
                <w:rFonts w:cstheme="minorHAnsi"/>
              </w:rPr>
            </w:pPr>
          </w:p>
        </w:tc>
        <w:tc>
          <w:tcPr>
            <w:tcW w:w="1869" w:type="dxa"/>
            <w:tcBorders>
              <w:top w:val="nil"/>
              <w:left w:val="nil"/>
              <w:bottom w:val="nil"/>
            </w:tcBorders>
          </w:tcPr>
          <w:p w:rsidR="00362DDB" w:rsidRPr="00362DDB" w:rsidP="00374654">
            <w:pPr>
              <w:jc w:val="right"/>
              <w:rPr>
                <w:rFonts w:cstheme="minorHAnsi"/>
              </w:rPr>
            </w:pPr>
          </w:p>
        </w:tc>
      </w:tr>
      <w:tr w:rsidTr="00374654">
        <w:tblPrEx>
          <w:tblW w:w="0" w:type="auto"/>
          <w:tblLook w:val="04A0"/>
        </w:tblPrEx>
        <w:tc>
          <w:tcPr>
            <w:tcW w:w="0" w:type="auto"/>
            <w:tcBorders>
              <w:top w:val="nil"/>
              <w:bottom w:val="nil"/>
            </w:tcBorders>
          </w:tcPr>
          <w:p w:rsidR="00362DDB" w:rsidRPr="00362DDB" w:rsidP="00374654">
            <w:pPr>
              <w:rPr>
                <w:rFonts w:cstheme="minorHAnsi"/>
              </w:rPr>
            </w:pPr>
          </w:p>
        </w:tc>
        <w:tc>
          <w:tcPr>
            <w:tcW w:w="0" w:type="auto"/>
            <w:gridSpan w:val="6"/>
            <w:tcBorders>
              <w:top w:val="nil"/>
              <w:bottom w:val="nil"/>
            </w:tcBorders>
          </w:tcPr>
          <w:p w:rsidR="00362DDB" w:rsidRPr="00362DDB" w:rsidP="00374654">
            <w:pPr>
              <w:rPr>
                <w:rFonts w:cstheme="minorHAnsi"/>
              </w:rPr>
            </w:pPr>
            <w:r w:rsidRPr="00362DDB">
              <w:rPr>
                <w:rFonts w:cstheme="minorHAnsi"/>
              </w:rPr>
              <w:t xml:space="preserve">InnoWave Unity 20 Sonic Irrigator 208V 60HZ Contract: GTIN: 00724995193737 GR </w:t>
            </w:r>
            <w:r w:rsidRPr="00362DDB">
              <w:rPr>
                <w:rFonts w:cstheme="minorHAnsi"/>
              </w:rPr>
              <w:br/>
              <w:t>LOCAL STOCK NUMBER:  IW523546NPR</w:t>
            </w:r>
          </w:p>
        </w:tc>
        <w:tc>
          <w:tcPr>
            <w:tcW w:w="0" w:type="auto"/>
            <w:tcBorders>
              <w:top w:val="nil"/>
              <w:bottom w:val="nil"/>
            </w:tcBorders>
          </w:tcPr>
          <w:p w:rsidR="00362DDB" w:rsidRPr="00362DDB" w:rsidP="00374654">
            <w:pPr>
              <w:rPr>
                <w:rFonts w:cstheme="minorHAnsi"/>
              </w:rPr>
            </w:pPr>
          </w:p>
        </w:tc>
      </w:tr>
      <w:tr w:rsidTr="00362DDB">
        <w:tblPrEx>
          <w:tblW w:w="0" w:type="auto"/>
          <w:tblLook w:val="04A0"/>
        </w:tblPrEx>
        <w:tc>
          <w:tcPr>
            <w:tcW w:w="4230" w:type="dxa"/>
            <w:gridSpan w:val="3"/>
            <w:tcBorders>
              <w:top w:val="nil"/>
              <w:right w:val="nil"/>
            </w:tcBorders>
          </w:tcPr>
          <w:p w:rsidR="00362DDB" w:rsidRPr="00362DDB" w:rsidP="0025743E">
            <w:pPr>
              <w:spacing w:before="120"/>
              <w:rPr>
                <w:rFonts w:cstheme="minorHAnsi"/>
              </w:rPr>
            </w:pPr>
          </w:p>
        </w:tc>
        <w:tc>
          <w:tcPr>
            <w:tcW w:w="2628" w:type="dxa"/>
            <w:gridSpan w:val="3"/>
            <w:tcBorders>
              <w:top w:val="nil"/>
              <w:left w:val="nil"/>
              <w:right w:val="nil"/>
            </w:tcBorders>
          </w:tcPr>
          <w:p w:rsidR="00362DDB" w:rsidRPr="00362DDB" w:rsidP="00374654">
            <w:pPr>
              <w:spacing w:before="120"/>
              <w:jc w:val="right"/>
              <w:rPr>
                <w:rFonts w:cstheme="minorHAnsi"/>
              </w:rPr>
            </w:pPr>
          </w:p>
        </w:tc>
        <w:tc>
          <w:tcPr>
            <w:tcW w:w="2718" w:type="dxa"/>
            <w:gridSpan w:val="2"/>
            <w:tcBorders>
              <w:top w:val="nil"/>
              <w:left w:val="nil"/>
            </w:tcBorders>
          </w:tcPr>
          <w:p w:rsidR="00362DDB" w:rsidRPr="00362DDB" w:rsidP="00374654">
            <w:pPr>
              <w:spacing w:before="120"/>
              <w:rPr>
                <w:rFonts w:cstheme="minorHAnsi"/>
              </w:rPr>
            </w:pPr>
          </w:p>
        </w:tc>
      </w:tr>
      <w:tr w:rsidTr="00362DDB">
        <w:tblPrEx>
          <w:tblW w:w="0" w:type="auto"/>
          <w:tblLook w:val="04A0"/>
        </w:tblPrEx>
        <w:tc>
          <w:tcPr>
            <w:tcW w:w="1278" w:type="dxa"/>
            <w:tcBorders>
              <w:top w:val="nil"/>
              <w:bottom w:val="nil"/>
              <w:right w:val="nil"/>
            </w:tcBorders>
            <w:hideMark/>
          </w:tcPr>
          <w:p w:rsidR="00362DDB" w:rsidRPr="00362DDB" w:rsidP="00374654">
            <w:pPr>
              <w:rPr>
                <w:rFonts w:cstheme="minorHAnsi"/>
              </w:rPr>
            </w:pPr>
            <w:r w:rsidRPr="00362DDB">
              <w:rPr>
                <w:rFonts w:cstheme="minorHAnsi"/>
              </w:rPr>
              <w:t>0002</w:t>
            </w:r>
          </w:p>
        </w:tc>
        <w:tc>
          <w:tcPr>
            <w:tcW w:w="2322" w:type="dxa"/>
            <w:tcBorders>
              <w:top w:val="nil"/>
              <w:left w:val="nil"/>
              <w:bottom w:val="nil"/>
              <w:right w:val="nil"/>
            </w:tcBorders>
            <w:hideMark/>
          </w:tcPr>
          <w:p w:rsidR="00362DDB" w:rsidRPr="00362DDB" w:rsidP="00374654">
            <w:pPr>
              <w:rPr>
                <w:rFonts w:cstheme="minorHAnsi"/>
              </w:rPr>
            </w:pPr>
          </w:p>
        </w:tc>
        <w:tc>
          <w:tcPr>
            <w:tcW w:w="1458" w:type="dxa"/>
            <w:gridSpan w:val="2"/>
            <w:tcBorders>
              <w:top w:val="nil"/>
              <w:left w:val="nil"/>
              <w:bottom w:val="nil"/>
              <w:right w:val="nil"/>
            </w:tcBorders>
            <w:hideMark/>
          </w:tcPr>
          <w:p w:rsidR="00362DDB" w:rsidRPr="00362DDB" w:rsidP="00374654">
            <w:pPr>
              <w:jc w:val="right"/>
              <w:rPr>
                <w:rFonts w:cstheme="minorHAnsi"/>
              </w:rPr>
            </w:pPr>
            <w:r w:rsidRPr="00362DDB">
              <w:rPr>
                <w:rFonts w:cstheme="minorHAnsi"/>
              </w:rPr>
              <w:t>2.00</w:t>
            </w:r>
          </w:p>
        </w:tc>
        <w:tc>
          <w:tcPr>
            <w:tcW w:w="763" w:type="dxa"/>
            <w:tcBorders>
              <w:top w:val="nil"/>
              <w:left w:val="nil"/>
              <w:bottom w:val="nil"/>
              <w:right w:val="nil"/>
            </w:tcBorders>
            <w:hideMark/>
          </w:tcPr>
          <w:p w:rsidR="00362DDB" w:rsidRPr="00362DDB" w:rsidP="00374654">
            <w:pPr>
              <w:jc w:val="right"/>
              <w:rPr>
                <w:rFonts w:cstheme="minorHAnsi"/>
              </w:rPr>
            </w:pPr>
            <w:r w:rsidRPr="00362DDB">
              <w:rPr>
                <w:rFonts w:cstheme="minorHAnsi"/>
              </w:rPr>
              <w:t>EA</w:t>
            </w:r>
          </w:p>
        </w:tc>
        <w:tc>
          <w:tcPr>
            <w:tcW w:w="1886" w:type="dxa"/>
            <w:gridSpan w:val="2"/>
            <w:tcBorders>
              <w:top w:val="nil"/>
              <w:left w:val="nil"/>
              <w:bottom w:val="nil"/>
              <w:right w:val="nil"/>
            </w:tcBorders>
          </w:tcPr>
          <w:p w:rsidR="00362DDB" w:rsidRPr="00362DDB" w:rsidP="00374654">
            <w:pPr>
              <w:jc w:val="right"/>
              <w:rPr>
                <w:rFonts w:cstheme="minorHAnsi"/>
              </w:rPr>
            </w:pPr>
          </w:p>
        </w:tc>
        <w:tc>
          <w:tcPr>
            <w:tcW w:w="1869" w:type="dxa"/>
            <w:tcBorders>
              <w:top w:val="nil"/>
              <w:left w:val="nil"/>
              <w:bottom w:val="nil"/>
            </w:tcBorders>
          </w:tcPr>
          <w:p w:rsidR="00362DDB" w:rsidRPr="00362DDB" w:rsidP="00374654">
            <w:pPr>
              <w:jc w:val="right"/>
              <w:rPr>
                <w:rFonts w:cstheme="minorHAnsi"/>
              </w:rPr>
            </w:pPr>
          </w:p>
        </w:tc>
      </w:tr>
      <w:tr w:rsidTr="00374654">
        <w:tblPrEx>
          <w:tblW w:w="0" w:type="auto"/>
          <w:tblLook w:val="04A0"/>
        </w:tblPrEx>
        <w:tc>
          <w:tcPr>
            <w:tcW w:w="0" w:type="auto"/>
            <w:tcBorders>
              <w:top w:val="nil"/>
              <w:bottom w:val="nil"/>
            </w:tcBorders>
          </w:tcPr>
          <w:p w:rsidR="00362DDB" w:rsidRPr="00362DDB" w:rsidP="00374654">
            <w:pPr>
              <w:rPr>
                <w:rFonts w:cstheme="minorHAnsi"/>
              </w:rPr>
            </w:pPr>
          </w:p>
        </w:tc>
        <w:tc>
          <w:tcPr>
            <w:tcW w:w="0" w:type="auto"/>
            <w:gridSpan w:val="6"/>
            <w:tcBorders>
              <w:top w:val="nil"/>
              <w:bottom w:val="nil"/>
            </w:tcBorders>
          </w:tcPr>
          <w:p w:rsidR="00362DDB" w:rsidRPr="00362DDB" w:rsidP="00374654">
            <w:pPr>
              <w:rPr>
                <w:rFonts w:cstheme="minorHAnsi"/>
              </w:rPr>
            </w:pPr>
            <w:r w:rsidRPr="00362DDB">
              <w:rPr>
                <w:rFonts w:cstheme="minorHAnsi"/>
              </w:rPr>
              <w:t xml:space="preserve">Deinstall InnoWave Unity Pricing Includes Evening/Weekend Installation </w:t>
            </w:r>
            <w:r w:rsidRPr="00362DDB">
              <w:rPr>
                <w:rFonts w:cstheme="minorHAnsi"/>
              </w:rPr>
              <w:t>Labor</w:t>
            </w:r>
            <w:r w:rsidRPr="00362DDB">
              <w:rPr>
                <w:rFonts w:cstheme="minorHAnsi"/>
              </w:rPr>
              <w:t xml:space="preserve"> </w:t>
            </w:r>
            <w:r w:rsidRPr="00362DDB">
              <w:rPr>
                <w:rFonts w:cstheme="minorHAnsi"/>
              </w:rPr>
              <w:br/>
              <w:t>LOCAL STOCK NUMBER:  SE1302021</w:t>
            </w:r>
          </w:p>
        </w:tc>
        <w:tc>
          <w:tcPr>
            <w:tcW w:w="0" w:type="auto"/>
            <w:tcBorders>
              <w:top w:val="nil"/>
              <w:bottom w:val="nil"/>
            </w:tcBorders>
          </w:tcPr>
          <w:p w:rsidR="00362DDB" w:rsidRPr="00362DDB" w:rsidP="00374654">
            <w:pPr>
              <w:rPr>
                <w:rFonts w:cstheme="minorHAnsi"/>
              </w:rPr>
            </w:pPr>
          </w:p>
        </w:tc>
      </w:tr>
      <w:tr w:rsidTr="00362DDB">
        <w:tblPrEx>
          <w:tblW w:w="0" w:type="auto"/>
          <w:tblLook w:val="04A0"/>
        </w:tblPrEx>
        <w:tc>
          <w:tcPr>
            <w:tcW w:w="4230" w:type="dxa"/>
            <w:gridSpan w:val="3"/>
            <w:tcBorders>
              <w:top w:val="nil"/>
              <w:left w:val="single" w:sz="8" w:space="0" w:color="4472C4" w:themeColor="accent1"/>
              <w:bottom w:val="single" w:sz="8" w:space="0" w:color="4472C4" w:themeColor="accent1"/>
              <w:right w:val="nil"/>
            </w:tcBorders>
          </w:tcPr>
          <w:p w:rsidR="00362DDB" w:rsidRPr="00362DDB" w:rsidP="00374654">
            <w:pPr>
              <w:spacing w:before="120"/>
              <w:jc w:val="right"/>
              <w:rPr>
                <w:rFonts w:cstheme="minorHAnsi"/>
              </w:rPr>
            </w:pPr>
          </w:p>
        </w:tc>
        <w:tc>
          <w:tcPr>
            <w:tcW w:w="2628" w:type="dxa"/>
            <w:gridSpan w:val="3"/>
            <w:tcBorders>
              <w:top w:val="nil"/>
              <w:left w:val="nil"/>
              <w:bottom w:val="single" w:sz="8" w:space="0" w:color="4472C4" w:themeColor="accent1"/>
              <w:right w:val="nil"/>
            </w:tcBorders>
          </w:tcPr>
          <w:p w:rsidR="00362DDB" w:rsidRPr="00362DDB" w:rsidP="00374654">
            <w:pPr>
              <w:spacing w:before="120"/>
              <w:jc w:val="right"/>
              <w:rPr>
                <w:rFonts w:cstheme="minorHAnsi"/>
              </w:rPr>
            </w:pPr>
          </w:p>
        </w:tc>
        <w:tc>
          <w:tcPr>
            <w:tcW w:w="2718" w:type="dxa"/>
            <w:gridSpan w:val="2"/>
            <w:tcBorders>
              <w:top w:val="nil"/>
              <w:left w:val="nil"/>
              <w:bottom w:val="single" w:sz="8" w:space="0" w:color="4472C4" w:themeColor="accent1"/>
              <w:right w:val="single" w:sz="8" w:space="0" w:color="4472C4" w:themeColor="accent1"/>
            </w:tcBorders>
          </w:tcPr>
          <w:p w:rsidR="00362DDB" w:rsidRPr="00362DDB" w:rsidP="00374654">
            <w:pPr>
              <w:spacing w:before="120"/>
              <w:rPr>
                <w:rFonts w:cstheme="minorHAnsi"/>
              </w:rPr>
            </w:pPr>
          </w:p>
        </w:tc>
      </w:tr>
      <w:tr w:rsidTr="00362DDB">
        <w:tblPrEx>
          <w:tblW w:w="0" w:type="auto"/>
          <w:tblLook w:val="04A0"/>
        </w:tblPrEx>
        <w:tc>
          <w:tcPr>
            <w:tcW w:w="1278" w:type="dxa"/>
            <w:tcBorders>
              <w:top w:val="nil"/>
              <w:bottom w:val="nil"/>
              <w:right w:val="nil"/>
            </w:tcBorders>
            <w:hideMark/>
          </w:tcPr>
          <w:p w:rsidR="00362DDB" w:rsidRPr="00362DDB" w:rsidP="00374654">
            <w:pPr>
              <w:rPr>
                <w:rFonts w:cstheme="minorHAnsi"/>
              </w:rPr>
            </w:pPr>
            <w:r w:rsidRPr="00362DDB">
              <w:rPr>
                <w:rFonts w:cstheme="minorHAnsi"/>
              </w:rPr>
              <w:t>0003</w:t>
            </w:r>
          </w:p>
        </w:tc>
        <w:tc>
          <w:tcPr>
            <w:tcW w:w="2322" w:type="dxa"/>
            <w:tcBorders>
              <w:top w:val="nil"/>
              <w:left w:val="nil"/>
              <w:bottom w:val="nil"/>
              <w:right w:val="nil"/>
            </w:tcBorders>
            <w:hideMark/>
          </w:tcPr>
          <w:p w:rsidR="00362DDB" w:rsidRPr="00362DDB" w:rsidP="00374654">
            <w:pPr>
              <w:rPr>
                <w:rFonts w:cstheme="minorHAnsi"/>
              </w:rPr>
            </w:pPr>
          </w:p>
        </w:tc>
        <w:tc>
          <w:tcPr>
            <w:tcW w:w="1458" w:type="dxa"/>
            <w:gridSpan w:val="2"/>
            <w:tcBorders>
              <w:top w:val="nil"/>
              <w:left w:val="nil"/>
              <w:bottom w:val="nil"/>
              <w:right w:val="nil"/>
            </w:tcBorders>
            <w:hideMark/>
          </w:tcPr>
          <w:p w:rsidR="00362DDB" w:rsidRPr="00362DDB" w:rsidP="00374654">
            <w:pPr>
              <w:jc w:val="right"/>
              <w:rPr>
                <w:rFonts w:cstheme="minorHAnsi"/>
              </w:rPr>
            </w:pPr>
            <w:r w:rsidRPr="00362DDB">
              <w:rPr>
                <w:rFonts w:cstheme="minorHAnsi"/>
              </w:rPr>
              <w:t>2.00</w:t>
            </w:r>
          </w:p>
        </w:tc>
        <w:tc>
          <w:tcPr>
            <w:tcW w:w="763" w:type="dxa"/>
            <w:tcBorders>
              <w:top w:val="nil"/>
              <w:left w:val="nil"/>
              <w:bottom w:val="nil"/>
              <w:right w:val="nil"/>
            </w:tcBorders>
            <w:hideMark/>
          </w:tcPr>
          <w:p w:rsidR="00362DDB" w:rsidRPr="00362DDB" w:rsidP="00374654">
            <w:pPr>
              <w:jc w:val="right"/>
              <w:rPr>
                <w:rFonts w:cstheme="minorHAnsi"/>
              </w:rPr>
            </w:pPr>
            <w:r w:rsidRPr="00362DDB">
              <w:rPr>
                <w:rFonts w:cstheme="minorHAnsi"/>
              </w:rPr>
              <w:t>EA</w:t>
            </w:r>
          </w:p>
        </w:tc>
        <w:tc>
          <w:tcPr>
            <w:tcW w:w="1886" w:type="dxa"/>
            <w:gridSpan w:val="2"/>
            <w:tcBorders>
              <w:top w:val="nil"/>
              <w:left w:val="nil"/>
              <w:bottom w:val="nil"/>
              <w:right w:val="nil"/>
            </w:tcBorders>
          </w:tcPr>
          <w:p w:rsidR="00362DDB" w:rsidRPr="00362DDB" w:rsidP="00374654">
            <w:pPr>
              <w:jc w:val="right"/>
              <w:rPr>
                <w:rFonts w:cstheme="minorHAnsi"/>
              </w:rPr>
            </w:pPr>
          </w:p>
        </w:tc>
        <w:tc>
          <w:tcPr>
            <w:tcW w:w="1869" w:type="dxa"/>
            <w:tcBorders>
              <w:top w:val="nil"/>
              <w:left w:val="nil"/>
              <w:bottom w:val="nil"/>
            </w:tcBorders>
          </w:tcPr>
          <w:p w:rsidR="00362DDB" w:rsidRPr="00362DDB" w:rsidP="00374654">
            <w:pPr>
              <w:jc w:val="right"/>
              <w:rPr>
                <w:rFonts w:cstheme="minorHAnsi"/>
              </w:rPr>
            </w:pPr>
          </w:p>
        </w:tc>
      </w:tr>
      <w:tr w:rsidTr="00374654">
        <w:tblPrEx>
          <w:tblW w:w="0" w:type="auto"/>
          <w:tblLook w:val="04A0"/>
        </w:tblPrEx>
        <w:tc>
          <w:tcPr>
            <w:tcW w:w="0" w:type="auto"/>
            <w:tcBorders>
              <w:top w:val="nil"/>
              <w:bottom w:val="nil"/>
            </w:tcBorders>
          </w:tcPr>
          <w:p w:rsidR="00362DDB" w:rsidRPr="00362DDB" w:rsidP="00374654">
            <w:pPr>
              <w:rPr>
                <w:rFonts w:cstheme="minorHAnsi"/>
              </w:rPr>
            </w:pPr>
          </w:p>
        </w:tc>
        <w:tc>
          <w:tcPr>
            <w:tcW w:w="0" w:type="auto"/>
            <w:gridSpan w:val="6"/>
            <w:tcBorders>
              <w:top w:val="nil"/>
              <w:bottom w:val="nil"/>
            </w:tcBorders>
          </w:tcPr>
          <w:p w:rsidR="00362DDB" w:rsidRPr="00362DDB" w:rsidP="00374654">
            <w:pPr>
              <w:rPr>
                <w:rFonts w:cstheme="minorHAnsi"/>
              </w:rPr>
            </w:pPr>
            <w:r w:rsidRPr="00362DDB">
              <w:rPr>
                <w:rFonts w:cstheme="minorHAnsi"/>
              </w:rPr>
              <w:t xml:space="preserve">Install InnoWave Unity- Pricing Includes Evening/Weekend Installation </w:t>
            </w:r>
            <w:r w:rsidRPr="00362DDB">
              <w:rPr>
                <w:rFonts w:cstheme="minorHAnsi"/>
              </w:rPr>
              <w:t>Labor</w:t>
            </w:r>
            <w:r w:rsidRPr="00362DDB">
              <w:rPr>
                <w:rFonts w:cstheme="minorHAnsi"/>
              </w:rPr>
              <w:br/>
              <w:t>LOCAL STOCK NUMBER:  SE130202</w:t>
            </w:r>
          </w:p>
        </w:tc>
        <w:tc>
          <w:tcPr>
            <w:tcW w:w="0" w:type="auto"/>
            <w:tcBorders>
              <w:top w:val="nil"/>
              <w:bottom w:val="nil"/>
            </w:tcBorders>
          </w:tcPr>
          <w:p w:rsidR="00362DDB" w:rsidRPr="00362DDB" w:rsidP="00374654">
            <w:pPr>
              <w:rPr>
                <w:rFonts w:cstheme="minorHAnsi"/>
              </w:rPr>
            </w:pPr>
          </w:p>
        </w:tc>
      </w:tr>
      <w:tr w:rsidTr="00362DDB">
        <w:tblPrEx>
          <w:tblW w:w="0" w:type="auto"/>
          <w:tblLook w:val="04A0"/>
        </w:tblPrEx>
        <w:tc>
          <w:tcPr>
            <w:tcW w:w="4230" w:type="dxa"/>
            <w:gridSpan w:val="3"/>
            <w:tcBorders>
              <w:top w:val="nil"/>
              <w:right w:val="nil"/>
            </w:tcBorders>
          </w:tcPr>
          <w:p w:rsidR="00362DDB" w:rsidRPr="00362DDB" w:rsidP="00374654">
            <w:pPr>
              <w:spacing w:before="120"/>
              <w:jc w:val="right"/>
              <w:rPr>
                <w:rFonts w:cstheme="minorHAnsi"/>
              </w:rPr>
            </w:pPr>
          </w:p>
        </w:tc>
        <w:tc>
          <w:tcPr>
            <w:tcW w:w="2628" w:type="dxa"/>
            <w:gridSpan w:val="3"/>
            <w:tcBorders>
              <w:top w:val="nil"/>
              <w:left w:val="nil"/>
              <w:right w:val="nil"/>
            </w:tcBorders>
          </w:tcPr>
          <w:p w:rsidR="00362DDB" w:rsidRPr="00362DDB" w:rsidP="00374654">
            <w:pPr>
              <w:spacing w:before="120"/>
              <w:jc w:val="right"/>
              <w:rPr>
                <w:rFonts w:cstheme="minorHAnsi"/>
              </w:rPr>
            </w:pPr>
          </w:p>
        </w:tc>
        <w:tc>
          <w:tcPr>
            <w:tcW w:w="2718" w:type="dxa"/>
            <w:gridSpan w:val="2"/>
            <w:tcBorders>
              <w:top w:val="nil"/>
              <w:left w:val="nil"/>
            </w:tcBorders>
          </w:tcPr>
          <w:p w:rsidR="00362DDB" w:rsidRPr="00362DDB" w:rsidP="00374654">
            <w:pPr>
              <w:spacing w:before="120"/>
              <w:rPr>
                <w:rFonts w:cstheme="minorHAnsi"/>
              </w:rPr>
            </w:pPr>
          </w:p>
        </w:tc>
      </w:tr>
      <w:tr w:rsidTr="00362DDB">
        <w:tblPrEx>
          <w:tblW w:w="0" w:type="auto"/>
          <w:tblLook w:val="04A0"/>
        </w:tblPrEx>
        <w:tc>
          <w:tcPr>
            <w:tcW w:w="1278" w:type="dxa"/>
            <w:tcBorders>
              <w:top w:val="nil"/>
              <w:bottom w:val="nil"/>
              <w:right w:val="nil"/>
            </w:tcBorders>
            <w:hideMark/>
          </w:tcPr>
          <w:p w:rsidR="00362DDB" w:rsidRPr="00362DDB" w:rsidP="00374654">
            <w:pPr>
              <w:rPr>
                <w:rFonts w:cstheme="minorHAnsi"/>
              </w:rPr>
            </w:pPr>
            <w:r w:rsidRPr="00362DDB">
              <w:rPr>
                <w:rFonts w:cstheme="minorHAnsi"/>
              </w:rPr>
              <w:t>0004</w:t>
            </w:r>
          </w:p>
        </w:tc>
        <w:tc>
          <w:tcPr>
            <w:tcW w:w="2322" w:type="dxa"/>
            <w:tcBorders>
              <w:top w:val="nil"/>
              <w:left w:val="nil"/>
              <w:bottom w:val="nil"/>
              <w:right w:val="nil"/>
            </w:tcBorders>
            <w:hideMark/>
          </w:tcPr>
          <w:p w:rsidR="00362DDB" w:rsidRPr="00362DDB" w:rsidP="00374654">
            <w:pPr>
              <w:rPr>
                <w:rFonts w:cstheme="minorHAnsi"/>
              </w:rPr>
            </w:pPr>
          </w:p>
        </w:tc>
        <w:tc>
          <w:tcPr>
            <w:tcW w:w="1458" w:type="dxa"/>
            <w:gridSpan w:val="2"/>
            <w:tcBorders>
              <w:top w:val="nil"/>
              <w:left w:val="nil"/>
              <w:bottom w:val="nil"/>
              <w:right w:val="nil"/>
            </w:tcBorders>
            <w:hideMark/>
          </w:tcPr>
          <w:p w:rsidR="00362DDB" w:rsidRPr="00362DDB" w:rsidP="00374654">
            <w:pPr>
              <w:jc w:val="right"/>
              <w:rPr>
                <w:rFonts w:cstheme="minorHAnsi"/>
              </w:rPr>
            </w:pPr>
            <w:r w:rsidRPr="00362DDB">
              <w:rPr>
                <w:rFonts w:cstheme="minorHAnsi"/>
              </w:rPr>
              <w:t>2.00</w:t>
            </w:r>
          </w:p>
        </w:tc>
        <w:tc>
          <w:tcPr>
            <w:tcW w:w="763" w:type="dxa"/>
            <w:tcBorders>
              <w:top w:val="nil"/>
              <w:left w:val="nil"/>
              <w:bottom w:val="nil"/>
              <w:right w:val="nil"/>
            </w:tcBorders>
            <w:hideMark/>
          </w:tcPr>
          <w:p w:rsidR="00362DDB" w:rsidRPr="00362DDB" w:rsidP="00374654">
            <w:pPr>
              <w:jc w:val="right"/>
              <w:rPr>
                <w:rFonts w:cstheme="minorHAnsi"/>
              </w:rPr>
            </w:pPr>
            <w:r w:rsidRPr="00362DDB">
              <w:rPr>
                <w:rFonts w:cstheme="minorHAnsi"/>
              </w:rPr>
              <w:t>EA</w:t>
            </w:r>
          </w:p>
        </w:tc>
        <w:tc>
          <w:tcPr>
            <w:tcW w:w="1886" w:type="dxa"/>
            <w:gridSpan w:val="2"/>
            <w:tcBorders>
              <w:top w:val="nil"/>
              <w:left w:val="nil"/>
              <w:bottom w:val="nil"/>
              <w:right w:val="nil"/>
            </w:tcBorders>
          </w:tcPr>
          <w:p w:rsidR="00362DDB" w:rsidRPr="00362DDB" w:rsidP="00374654">
            <w:pPr>
              <w:jc w:val="right"/>
              <w:rPr>
                <w:rFonts w:cstheme="minorHAnsi"/>
              </w:rPr>
            </w:pPr>
          </w:p>
        </w:tc>
        <w:tc>
          <w:tcPr>
            <w:tcW w:w="1869" w:type="dxa"/>
            <w:tcBorders>
              <w:top w:val="nil"/>
              <w:left w:val="nil"/>
              <w:bottom w:val="nil"/>
            </w:tcBorders>
          </w:tcPr>
          <w:p w:rsidR="00362DDB" w:rsidRPr="00362DDB" w:rsidP="00374654">
            <w:pPr>
              <w:jc w:val="right"/>
              <w:rPr>
                <w:rFonts w:cstheme="minorHAnsi"/>
              </w:rPr>
            </w:pPr>
          </w:p>
        </w:tc>
      </w:tr>
      <w:tr w:rsidTr="00374654">
        <w:tblPrEx>
          <w:tblW w:w="0" w:type="auto"/>
          <w:tblLook w:val="04A0"/>
        </w:tblPrEx>
        <w:tc>
          <w:tcPr>
            <w:tcW w:w="0" w:type="auto"/>
            <w:tcBorders>
              <w:top w:val="nil"/>
              <w:bottom w:val="nil"/>
            </w:tcBorders>
          </w:tcPr>
          <w:p w:rsidR="00362DDB" w:rsidRPr="00362DDB" w:rsidP="00374654">
            <w:pPr>
              <w:rPr>
                <w:rFonts w:cstheme="minorHAnsi"/>
              </w:rPr>
            </w:pPr>
          </w:p>
        </w:tc>
        <w:tc>
          <w:tcPr>
            <w:tcW w:w="0" w:type="auto"/>
            <w:gridSpan w:val="6"/>
            <w:tcBorders>
              <w:top w:val="nil"/>
              <w:bottom w:val="nil"/>
            </w:tcBorders>
          </w:tcPr>
          <w:p w:rsidR="00362DDB" w:rsidRPr="00362DDB" w:rsidP="00374654">
            <w:pPr>
              <w:rPr>
                <w:rFonts w:cstheme="minorHAnsi"/>
              </w:rPr>
            </w:pPr>
            <w:r w:rsidRPr="00362DDB">
              <w:rPr>
                <w:rFonts w:cstheme="minorHAnsi"/>
              </w:rPr>
              <w:t xml:space="preserve">1st Year Preventive Care InnoWave Unity </w:t>
            </w:r>
            <w:r w:rsidRPr="00362DDB">
              <w:rPr>
                <w:rFonts w:cstheme="minorHAnsi"/>
              </w:rPr>
              <w:br/>
              <w:t>LOCAL STOCK NUMBER:  SE1302010045</w:t>
            </w:r>
          </w:p>
        </w:tc>
        <w:tc>
          <w:tcPr>
            <w:tcW w:w="0" w:type="auto"/>
            <w:tcBorders>
              <w:top w:val="nil"/>
              <w:bottom w:val="nil"/>
            </w:tcBorders>
          </w:tcPr>
          <w:p w:rsidR="00362DDB" w:rsidRPr="00362DDB" w:rsidP="00374654">
            <w:pPr>
              <w:rPr>
                <w:rFonts w:cstheme="minorHAnsi"/>
              </w:rPr>
            </w:pPr>
          </w:p>
        </w:tc>
      </w:tr>
      <w:tr w:rsidTr="00362DDB">
        <w:tblPrEx>
          <w:tblW w:w="0" w:type="auto"/>
          <w:tblLook w:val="04A0"/>
        </w:tblPrEx>
        <w:tc>
          <w:tcPr>
            <w:tcW w:w="4230" w:type="dxa"/>
            <w:gridSpan w:val="3"/>
            <w:tcBorders>
              <w:top w:val="nil"/>
              <w:left w:val="single" w:sz="8" w:space="0" w:color="4472C4" w:themeColor="accent1"/>
              <w:bottom w:val="single" w:sz="8" w:space="0" w:color="4472C4" w:themeColor="accent1"/>
              <w:right w:val="nil"/>
            </w:tcBorders>
          </w:tcPr>
          <w:p w:rsidR="00362DDB" w:rsidRPr="00362DDB" w:rsidP="00374654">
            <w:pPr>
              <w:spacing w:before="120"/>
              <w:jc w:val="right"/>
              <w:rPr>
                <w:rFonts w:cstheme="minorHAnsi"/>
              </w:rPr>
            </w:pPr>
          </w:p>
        </w:tc>
        <w:tc>
          <w:tcPr>
            <w:tcW w:w="2628" w:type="dxa"/>
            <w:gridSpan w:val="3"/>
            <w:tcBorders>
              <w:top w:val="nil"/>
              <w:left w:val="nil"/>
              <w:bottom w:val="single" w:sz="8" w:space="0" w:color="4472C4" w:themeColor="accent1"/>
              <w:right w:val="nil"/>
            </w:tcBorders>
          </w:tcPr>
          <w:p w:rsidR="00362DDB" w:rsidRPr="00362DDB" w:rsidP="00374654">
            <w:pPr>
              <w:spacing w:before="120"/>
              <w:jc w:val="right"/>
              <w:rPr>
                <w:rFonts w:cstheme="minorHAnsi"/>
              </w:rPr>
            </w:pPr>
          </w:p>
        </w:tc>
        <w:tc>
          <w:tcPr>
            <w:tcW w:w="2718" w:type="dxa"/>
            <w:gridSpan w:val="2"/>
            <w:tcBorders>
              <w:top w:val="nil"/>
              <w:left w:val="nil"/>
              <w:bottom w:val="single" w:sz="8" w:space="0" w:color="4472C4" w:themeColor="accent1"/>
              <w:right w:val="single" w:sz="8" w:space="0" w:color="4472C4" w:themeColor="accent1"/>
            </w:tcBorders>
          </w:tcPr>
          <w:p w:rsidR="00362DDB" w:rsidRPr="00362DDB" w:rsidP="00374654">
            <w:pPr>
              <w:spacing w:before="120"/>
              <w:rPr>
                <w:rFonts w:cstheme="minorHAnsi"/>
              </w:rPr>
            </w:pPr>
          </w:p>
        </w:tc>
      </w:tr>
      <w:tr w:rsidTr="00362DDB">
        <w:tblPrEx>
          <w:tblW w:w="0" w:type="auto"/>
          <w:tblLook w:val="04A0"/>
        </w:tblPrEx>
        <w:tc>
          <w:tcPr>
            <w:tcW w:w="1278" w:type="dxa"/>
            <w:tcBorders>
              <w:top w:val="nil"/>
              <w:left w:val="nil"/>
              <w:bottom w:val="nil"/>
              <w:right w:val="nil"/>
            </w:tcBorders>
            <w:hideMark/>
          </w:tcPr>
          <w:p w:rsidR="00362DDB" w:rsidRPr="00362DDB" w:rsidP="00374654">
            <w:pPr>
              <w:rPr>
                <w:rFonts w:cstheme="minorHAnsi"/>
              </w:rPr>
            </w:pPr>
          </w:p>
        </w:tc>
        <w:tc>
          <w:tcPr>
            <w:tcW w:w="2322" w:type="dxa"/>
            <w:tcBorders>
              <w:top w:val="nil"/>
              <w:left w:val="nil"/>
              <w:bottom w:val="nil"/>
              <w:right w:val="nil"/>
            </w:tcBorders>
            <w:hideMark/>
          </w:tcPr>
          <w:p w:rsidR="00362DDB" w:rsidRPr="00362DDB" w:rsidP="00374654">
            <w:pPr>
              <w:rPr>
                <w:rFonts w:cstheme="minorHAnsi"/>
              </w:rPr>
            </w:pPr>
          </w:p>
        </w:tc>
        <w:tc>
          <w:tcPr>
            <w:tcW w:w="1458" w:type="dxa"/>
            <w:gridSpan w:val="2"/>
            <w:tcBorders>
              <w:top w:val="nil"/>
              <w:left w:val="nil"/>
              <w:bottom w:val="nil"/>
              <w:right w:val="nil"/>
            </w:tcBorders>
            <w:hideMark/>
          </w:tcPr>
          <w:p w:rsidR="00362DDB" w:rsidRPr="00362DDB" w:rsidP="00374654">
            <w:pPr>
              <w:jc w:val="right"/>
              <w:rPr>
                <w:rFonts w:cstheme="minorHAnsi"/>
              </w:rPr>
            </w:pPr>
          </w:p>
        </w:tc>
        <w:tc>
          <w:tcPr>
            <w:tcW w:w="763" w:type="dxa"/>
            <w:tcBorders>
              <w:top w:val="nil"/>
              <w:left w:val="nil"/>
              <w:bottom w:val="nil"/>
              <w:right w:val="single" w:sz="8" w:space="0" w:color="4472C4" w:themeColor="accent1"/>
            </w:tcBorders>
            <w:hideMark/>
          </w:tcPr>
          <w:p w:rsidR="00362DDB" w:rsidRPr="00362DDB" w:rsidP="00374654">
            <w:pPr>
              <w:rPr>
                <w:rFonts w:cstheme="minorHAnsi"/>
              </w:rPr>
            </w:pPr>
          </w:p>
        </w:tc>
        <w:tc>
          <w:tcPr>
            <w:tcW w:w="1886" w:type="dxa"/>
            <w:gridSpan w:val="2"/>
            <w:tcBorders>
              <w:left w:val="single" w:sz="8" w:space="0" w:color="4472C4" w:themeColor="accent1"/>
              <w:right w:val="nil"/>
            </w:tcBorders>
            <w:hideMark/>
          </w:tcPr>
          <w:p w:rsidR="00362DDB" w:rsidRPr="00362DDB" w:rsidP="00374654">
            <w:pPr>
              <w:jc w:val="right"/>
              <w:rPr>
                <w:rFonts w:cstheme="minorHAnsi"/>
                <w:b/>
              </w:rPr>
            </w:pPr>
            <w:r w:rsidRPr="00362DDB">
              <w:rPr>
                <w:rFonts w:cstheme="minorHAnsi"/>
                <w:b/>
              </w:rPr>
              <w:t>GRAND TOTAL</w:t>
            </w:r>
            <w:r>
              <w:rPr>
                <w:rFonts w:cstheme="minorHAnsi"/>
                <w:b/>
              </w:rPr>
              <w:t>:</w:t>
            </w:r>
          </w:p>
        </w:tc>
        <w:tc>
          <w:tcPr>
            <w:tcW w:w="1869" w:type="dxa"/>
            <w:tcBorders>
              <w:left w:val="nil"/>
            </w:tcBorders>
          </w:tcPr>
          <w:p w:rsidR="00362DDB" w:rsidRPr="00362DDB" w:rsidP="00374654">
            <w:pPr>
              <w:jc w:val="right"/>
              <w:rPr>
                <w:rFonts w:cstheme="minorHAnsi"/>
                <w:b/>
              </w:rPr>
            </w:pPr>
          </w:p>
        </w:tc>
      </w:tr>
    </w:tbl>
    <w:p w:rsidR="00362DDB" w:rsidP="00362DDB"/>
    <w:p w:rsidR="00560894" w:rsidP="00560894">
      <w:r>
        <w:t>E</w:t>
      </w:r>
      <w:r>
        <w:t xml:space="preserve">nd of life Steris sonic unit EE62924 with two new INNOWAVET PCF SONIC IRRIGATOR's. These sonics will match the four new </w:t>
      </w:r>
      <w:r>
        <w:t>InnoWave</w:t>
      </w:r>
      <w:r>
        <w:t xml:space="preserve"> Ultrasonic units. These replacement sonics need to fit into the current SPS footprint. Construction needed for larger units to modify workflow would negatively impact our decontamination area and decrease</w:t>
      </w:r>
      <w:r>
        <w:t xml:space="preserve"> </w:t>
      </w:r>
      <w:r>
        <w:t>SPS efficiency. Stainless steel walls, placement of ultrasonic units and sinks would need to be moved and replumbed along with other utilities The Unit size of 34-1/2</w:t>
      </w:r>
      <w:r w:rsidR="0025743E">
        <w:t>”</w:t>
      </w:r>
      <w:r>
        <w:t xml:space="preserve"> x 44-7/32</w:t>
      </w:r>
      <w:r w:rsidR="0025743E">
        <w:t>”</w:t>
      </w:r>
      <w:r>
        <w:t xml:space="preserve"> - 58-21/32</w:t>
      </w:r>
      <w:r w:rsidR="0025743E">
        <w:t>”</w:t>
      </w:r>
      <w:r>
        <w:t xml:space="preserve"> x </w:t>
      </w:r>
      <w:r w:rsidR="0025743E">
        <w:t xml:space="preserve"> 26-</w:t>
      </w:r>
      <w:r>
        <w:t>11/32"</w:t>
      </w:r>
      <w:r w:rsidR="0025743E">
        <w:t xml:space="preserve"> </w:t>
      </w:r>
      <w:r>
        <w:t>fits into pre-existing location without modifications. Our BioMed Engineering Technicians are trained to work on and are familiar with Steris equipment. These units will give us the capability to</w:t>
      </w:r>
      <w:r>
        <w:t xml:space="preserve"> </w:t>
      </w:r>
      <w:r>
        <w:t>sonically clean Robotic instrumentation Needed for the Dayton VAMC Robotic assisted surgery program projected to start in FY24.   With all things considered The INNOWAVET PCF SONIC IRRIGATOR are the</w:t>
      </w:r>
      <w:r>
        <w:t xml:space="preserve"> </w:t>
      </w:r>
      <w:r>
        <w:t>only choice for the Dayton VAMC. EE62924 will be replaced with 2 new INNOWAVET PCF units.</w:t>
      </w:r>
    </w:p>
    <w:p w:rsidR="00362DDB" w:rsidRPr="00960C13" w:rsidP="00362DDB">
      <w:r w:rsidRPr="00960C13">
        <w:rPr>
          <w:b/>
          <w:bCs/>
        </w:rPr>
        <w:t>Delivery Instructions:</w:t>
      </w:r>
      <w:r w:rsidRPr="00960C13">
        <w:t xml:space="preserve">  All deliveries shall be made to: Dayton VA Medical Center, 4100 West Third Street, Dayton, Ohio 45428. The type of delivery order will be specified when the order is placed. Delivery shall be FBO destination provided 30 days after receipt of order (ARO).</w:t>
      </w:r>
    </w:p>
    <w:p w:rsidR="00362DDB" w:rsidRPr="00960C13" w:rsidP="00362DDB">
      <w:pPr>
        <w:spacing w:before="360" w:after="120"/>
        <w:rPr>
          <w:b/>
          <w:bCs/>
        </w:rPr>
      </w:pPr>
      <w:r w:rsidRPr="00960C13">
        <w:rPr>
          <w:b/>
          <w:bCs/>
        </w:rPr>
        <w:t>Place of Performance/Place of Delivery</w:t>
      </w:r>
    </w:p>
    <w:p w:rsidR="00362DDB" w:rsidRPr="00960C13" w:rsidP="00362DDB">
      <w:r w:rsidRPr="00960C13">
        <w:t>Dayton VA Medical Center</w:t>
      </w:r>
    </w:p>
    <w:p w:rsidR="00362DDB" w:rsidRPr="00960C13" w:rsidP="00362DDB">
      <w:r w:rsidRPr="00960C13">
        <w:t>4100 West Third Street</w:t>
      </w:r>
    </w:p>
    <w:p w:rsidR="00362DDB" w:rsidRPr="00960C13" w:rsidP="00362DDB">
      <w:r w:rsidRPr="00960C13">
        <w:t>Dayton, Ohio 45428</w:t>
      </w:r>
    </w:p>
    <w:p w:rsidR="00362DDB" w:rsidRPr="00960C13" w:rsidP="00362DDB"/>
    <w:p w:rsidR="00560894">
      <w:pPr>
        <w:spacing w:after="0" w:line="240" w:lineRule="auto"/>
        <w:jc w:val="center"/>
      </w:pPr>
      <w:r>
        <w:br w:type="page"/>
      </w:r>
    </w:p>
    <w:p w:rsidR="00362DDB" w:rsidRPr="00960C13" w:rsidP="00362DDB">
      <w:r w:rsidRPr="00960C13">
        <w:t xml:space="preserve">The full text of FAR provisions or clauses may be accessed electronically at </w:t>
      </w:r>
      <w:r>
        <w:fldChar w:fldCharType="begin"/>
      </w:r>
      <w:r>
        <w:instrText xml:space="preserve"> HYPERLINK "http://acquisition.gov/comp/far/index.html" </w:instrText>
      </w:r>
      <w:r>
        <w:fldChar w:fldCharType="separate"/>
      </w:r>
      <w:r w:rsidRPr="00960C13">
        <w:rPr>
          <w:rStyle w:val="Hyperlink"/>
        </w:rPr>
        <w:t>http://acquisition.gov/comp/far/index.html</w:t>
      </w:r>
      <w:r>
        <w:fldChar w:fldCharType="end"/>
      </w:r>
      <w:r w:rsidRPr="00960C13">
        <w:t xml:space="preserve">. </w:t>
      </w:r>
    </w:p>
    <w:p w:rsidR="00362DDB" w:rsidRPr="00960C13" w:rsidP="00362DDB">
      <w:r w:rsidRPr="00960C13">
        <w:t>The following solicitation provisions apply to this acquisition:</w:t>
      </w:r>
    </w:p>
    <w:p w:rsidR="00362DDB" w:rsidRPr="00960C13" w:rsidP="00362DDB">
      <w:pPr>
        <w:pStyle w:val="ListParagraph"/>
        <w:numPr>
          <w:ilvl w:val="0"/>
          <w:numId w:val="1"/>
        </w:numPr>
        <w:rPr>
          <w:rFonts w:ascii="Arial" w:hAnsi="Arial" w:cs="Arial"/>
        </w:rPr>
      </w:pPr>
      <w:r w:rsidRPr="00960C13">
        <w:rPr>
          <w:rFonts w:ascii="Arial" w:hAnsi="Arial" w:cs="Arial"/>
        </w:rPr>
        <w:t>FAR 52.212-1, Instructions to Offerors–Commercial Items (</w:t>
      </w:r>
      <w:r>
        <w:rPr>
          <w:rFonts w:ascii="Arial" w:hAnsi="Arial" w:cs="Arial"/>
        </w:rPr>
        <w:t>SEP 2023</w:t>
      </w:r>
      <w:r w:rsidRPr="00960C13">
        <w:rPr>
          <w:rFonts w:ascii="Arial" w:hAnsi="Arial" w:cs="Arial"/>
        </w:rPr>
        <w:t>)</w:t>
      </w:r>
    </w:p>
    <w:p w:rsidR="00362DDB" w:rsidRPr="00960C13" w:rsidP="00362DDB">
      <w:pPr>
        <w:pStyle w:val="ListParagraph"/>
        <w:numPr>
          <w:ilvl w:val="0"/>
          <w:numId w:val="1"/>
        </w:numPr>
        <w:rPr>
          <w:rFonts w:ascii="Arial" w:hAnsi="Arial" w:cs="Arial"/>
        </w:rPr>
      </w:pPr>
      <w:r w:rsidRPr="00960C13">
        <w:rPr>
          <w:rFonts w:ascii="Arial" w:hAnsi="Arial" w:cs="Arial"/>
        </w:rPr>
        <w:t>FAR 52.212-3, Offerors Representations and Certifications–Commercial Items (</w:t>
      </w:r>
      <w:r>
        <w:rPr>
          <w:rFonts w:ascii="Arial" w:hAnsi="Arial" w:cs="Arial"/>
        </w:rPr>
        <w:t>FEB 2024</w:t>
      </w:r>
      <w:r w:rsidRPr="00960C13">
        <w:rPr>
          <w:rFonts w:ascii="Arial" w:hAnsi="Arial" w:cs="Arial"/>
        </w:rPr>
        <w:t xml:space="preserve">) </w:t>
      </w:r>
    </w:p>
    <w:p w:rsidR="00362DDB" w:rsidRPr="00960C13" w:rsidP="00362DDB">
      <w:r w:rsidRPr="00960C13">
        <w:t xml:space="preserve">Offerors must complete annual representations and certifications electronically via the System for Award Management (SAM) website located at </w:t>
      </w:r>
      <w:r>
        <w:fldChar w:fldCharType="begin"/>
      </w:r>
      <w:r>
        <w:instrText xml:space="preserve"> HYPERLINK "https://www.sam.gov/portal" </w:instrText>
      </w:r>
      <w:r>
        <w:fldChar w:fldCharType="separate"/>
      </w:r>
      <w:r w:rsidRPr="00960C13">
        <w:rPr>
          <w:rStyle w:val="Hyperlink"/>
        </w:rPr>
        <w:t>https://www.sam.gov/portal</w:t>
      </w:r>
      <w:r>
        <w:fldChar w:fldCharType="end"/>
      </w:r>
      <w:r w:rsidRPr="00960C13">
        <w:t xml:space="preserve"> in accordance with FAR 52.212-3, “Offerors Representations and Certifications–Commercial Items.” If paragraph (j) of the provision is applicable, a written submission is required.</w:t>
      </w:r>
    </w:p>
    <w:p w:rsidR="00362DDB" w:rsidRPr="00960C13" w:rsidP="00362DDB">
      <w:r w:rsidRPr="00960C13">
        <w:t xml:space="preserve">The following contract clauses apply to this acquisition: </w:t>
      </w:r>
    </w:p>
    <w:p w:rsidR="00362DDB" w:rsidRPr="00560894" w:rsidP="00362DDB">
      <w:pPr>
        <w:pStyle w:val="ListParagraph"/>
        <w:numPr>
          <w:ilvl w:val="0"/>
          <w:numId w:val="2"/>
        </w:numPr>
        <w:rPr>
          <w:rFonts w:cstheme="minorHAnsi"/>
        </w:rPr>
      </w:pPr>
      <w:r w:rsidRPr="00560894">
        <w:rPr>
          <w:rFonts w:cstheme="minorHAnsi"/>
        </w:rPr>
        <w:t>FAR 52.211-6 Brand Name or Equal (AUG 1999)</w:t>
      </w:r>
    </w:p>
    <w:p w:rsidR="00362DDB" w:rsidRPr="00560894" w:rsidP="00362DDB">
      <w:pPr>
        <w:pStyle w:val="ListParagraph"/>
        <w:numPr>
          <w:ilvl w:val="0"/>
          <w:numId w:val="2"/>
        </w:numPr>
        <w:rPr>
          <w:rFonts w:cstheme="minorHAnsi"/>
        </w:rPr>
      </w:pPr>
      <w:r w:rsidRPr="00560894">
        <w:rPr>
          <w:rFonts w:cstheme="minorHAnsi"/>
        </w:rPr>
        <w:t xml:space="preserve">FAR 52.212-4, Contract Terms and Conditions–Commercial Items (NOV 2023) </w:t>
      </w:r>
    </w:p>
    <w:p w:rsidR="00362DDB" w:rsidRPr="00560894" w:rsidP="00362DDB">
      <w:pPr>
        <w:pStyle w:val="ListParagraph"/>
        <w:numPr>
          <w:ilvl w:val="0"/>
          <w:numId w:val="2"/>
        </w:numPr>
        <w:rPr>
          <w:rFonts w:cstheme="minorHAnsi"/>
        </w:rPr>
      </w:pPr>
      <w:r w:rsidRPr="00560894">
        <w:rPr>
          <w:rFonts w:cstheme="minorHAnsi"/>
        </w:rPr>
        <w:t>FAR 52.212-5, Contract Terms and Conditions Required to Implement Statutes or Executive Orders (FEB 2024)</w:t>
      </w:r>
    </w:p>
    <w:p w:rsidR="00362DDB" w:rsidRPr="00560894" w:rsidP="00362DDB">
      <w:pPr>
        <w:pStyle w:val="ListParagraph"/>
        <w:numPr>
          <w:ilvl w:val="0"/>
          <w:numId w:val="2"/>
        </w:numPr>
        <w:rPr>
          <w:rFonts w:cstheme="minorHAnsi"/>
        </w:rPr>
      </w:pPr>
      <w:r w:rsidRPr="00560894">
        <w:rPr>
          <w:rFonts w:cstheme="minorHAnsi"/>
        </w:rPr>
        <w:t>FAR 52.219-6 Notice of Total Small Business Set-Aside (NOV 2020)</w:t>
      </w:r>
    </w:p>
    <w:p w:rsidR="00362DDB" w:rsidRPr="00560894" w:rsidP="00362DDB">
      <w:pPr>
        <w:numPr>
          <w:ilvl w:val="0"/>
          <w:numId w:val="2"/>
        </w:numPr>
        <w:contextualSpacing/>
        <w:rPr>
          <w:rFonts w:cstheme="minorHAnsi"/>
        </w:rPr>
      </w:pPr>
      <w:r w:rsidRPr="00560894">
        <w:rPr>
          <w:rFonts w:cstheme="minorHAnsi"/>
        </w:rPr>
        <w:t>FAR 52.232-40, Providing Accelerated Payments to Small Business Subcontractor (Nov 2021)</w:t>
      </w:r>
    </w:p>
    <w:p w:rsidR="00362DDB" w:rsidRPr="00560894" w:rsidP="00362DDB">
      <w:pPr>
        <w:numPr>
          <w:ilvl w:val="0"/>
          <w:numId w:val="2"/>
        </w:numPr>
        <w:contextualSpacing/>
        <w:rPr>
          <w:rFonts w:cstheme="minorHAnsi"/>
        </w:rPr>
      </w:pPr>
      <w:r w:rsidRPr="00560894">
        <w:rPr>
          <w:rFonts w:cstheme="minorHAnsi"/>
        </w:rPr>
        <w:t>VAAR 852.203-70, Commercial Advertising (May 2018)</w:t>
      </w:r>
    </w:p>
    <w:p w:rsidR="00362DDB" w:rsidRPr="00560894" w:rsidP="00362DDB">
      <w:pPr>
        <w:numPr>
          <w:ilvl w:val="0"/>
          <w:numId w:val="2"/>
        </w:numPr>
        <w:contextualSpacing/>
        <w:rPr>
          <w:rFonts w:cstheme="minorHAnsi"/>
        </w:rPr>
      </w:pPr>
      <w:r w:rsidRPr="00560894">
        <w:rPr>
          <w:rFonts w:cstheme="minorHAnsi"/>
        </w:rPr>
        <w:t>VAAR 852.232-72, Electronic Submission of payment Requests (Nov 2018)</w:t>
      </w:r>
    </w:p>
    <w:p w:rsidR="00362DDB" w:rsidRPr="00560894" w:rsidP="00362DDB">
      <w:pPr>
        <w:numPr>
          <w:ilvl w:val="0"/>
          <w:numId w:val="2"/>
        </w:numPr>
        <w:contextualSpacing/>
        <w:rPr>
          <w:rFonts w:cstheme="minorHAnsi"/>
        </w:rPr>
      </w:pPr>
      <w:r w:rsidRPr="00560894">
        <w:rPr>
          <w:rFonts w:cstheme="minorHAnsi"/>
        </w:rPr>
        <w:t>VAAR 852.246-71, Rejected Goods (Oct 2018)</w:t>
      </w:r>
    </w:p>
    <w:p w:rsidR="00560894" w:rsidP="00362DDB">
      <w:pPr>
        <w:spacing w:after="120"/>
      </w:pPr>
    </w:p>
    <w:p w:rsidR="00362DDB" w:rsidRPr="00960C13" w:rsidP="00362DDB">
      <w:pPr>
        <w:spacing w:after="120"/>
      </w:pPr>
      <w:r w:rsidRPr="00960C13">
        <w:t xml:space="preserve">Award will be based upon a comparative evaluation of quotes in accordance with the Simplified Acquisition Procedures of FAR 13.  Comparative evaluation is the side by side pairwise comparison of quotes based on factors resulting in a Contracting Officer decision for the quote most favorable to the Government.   </w:t>
      </w:r>
    </w:p>
    <w:p w:rsidR="00362DDB" w:rsidRPr="00960C13" w:rsidP="00362DDB">
      <w:pPr>
        <w:spacing w:after="120"/>
      </w:pPr>
      <w:r w:rsidRPr="00960C13">
        <w:t>The award will be made to the response most advantageous to the Government.</w:t>
      </w:r>
    </w:p>
    <w:p w:rsidR="00362DDB" w:rsidRPr="00960C13" w:rsidP="00362DDB">
      <w:pPr>
        <w:spacing w:after="120"/>
      </w:pPr>
      <w:r w:rsidRPr="00960C13">
        <w:t>Responses should contain your best terms, conditions.</w:t>
      </w:r>
    </w:p>
    <w:p w:rsidR="00362DDB" w:rsidRPr="00960C13" w:rsidP="00362DDB">
      <w:r w:rsidRPr="00960C13">
        <w:t>This procurement is for new items only; no remanufactured or "gray market" items. No remanufactures or gray market items will be acceptable. Gray market items are Original Equipment Manufacturers (OEM) goods sold through unauthorized channels in direct competition with authorized distributors. Vendor shall be an OEM, authorized dealer, authorized distributor, or authorized reseller for the proposed equipment, verified by an authorization letter or other documents from the OEM, such that the OEM’s warranty and service are provided and maintained by the OEM. All warranty and service associated with the equipment shall be in accordance with the OEM terms and conditions.</w:t>
      </w:r>
    </w:p>
    <w:p w:rsidR="00362DDB" w:rsidRPr="00960C13" w:rsidP="00362DDB">
      <w:r w:rsidRPr="00960C13">
        <w:t xml:space="preserve">Award will be based upon a comparative evaluation of quotes in accordance with the Simplified Acquisition Procedures of FAR 13.  Comparative evaluation is the side by side pairwise comparison of </w:t>
      </w:r>
      <w:r w:rsidRPr="00960C13">
        <w:t xml:space="preserve">quotes based on factors resulting in a Contracting Officer decision for the quote most favorable to the Government.   </w:t>
      </w:r>
    </w:p>
    <w:p w:rsidR="00362DDB" w:rsidRPr="00960C13" w:rsidP="00362DDB">
      <w:r w:rsidRPr="00960C13">
        <w:t>The Government will award a contract resulting from this solicitation to the responsible offeror whose offer conforming to the solicitation will be most advantageous to the Government, price and other factors considered. The following factors shall be used to evaluate offers:</w:t>
      </w:r>
    </w:p>
    <w:p w:rsidR="00362DDB" w:rsidRPr="00960C13" w:rsidP="00362DDB">
      <w:r w:rsidRPr="00960C13">
        <w:rPr>
          <w:b/>
          <w:bCs/>
        </w:rPr>
        <w:t>Price:</w:t>
      </w:r>
      <w:r w:rsidRPr="00960C13">
        <w:t xml:space="preserve"> The Government will evaluate the price by adding the total of all line item prices. The Total Evaluated Price will be that sum.</w:t>
      </w:r>
    </w:p>
    <w:p w:rsidR="00362DDB" w:rsidRPr="00960C13" w:rsidP="00362DDB">
      <w:r w:rsidRPr="00960C13">
        <w:rPr>
          <w:b/>
          <w:bCs/>
        </w:rPr>
        <w:t>Technical or Quality:</w:t>
      </w:r>
      <w:r w:rsidRPr="00960C13">
        <w:t xml:space="preserve"> The quotation will be evaluated to the extent to which it can meet and/or exceed the Government’s requirements as outlined in the solicitation and based on the information requested in the instructions to quoters section of the solicitation.</w:t>
      </w:r>
    </w:p>
    <w:p w:rsidR="00362DDB" w:rsidRPr="00960C13" w:rsidP="00362DDB">
      <w:r w:rsidRPr="00960C13">
        <w:rPr>
          <w:b/>
          <w:bCs/>
        </w:rPr>
        <w:t>Past Performance:</w:t>
      </w:r>
      <w:r w:rsidRPr="00960C13">
        <w:t xml:space="preserve"> The past performance evaluation will assess the relative risks associated with a quoter’s likelihood of success in fulfilling the solicitation’s requirements as indicated by the quoter’s record of past performance. The past performance evaluation may be based on the contracting officer’s knowledge of and previous experience with the supply or service being acquired; Customer surveys, and past performance questionnaire replies; Contractor Performance Assessment Reporting System (CPARS) at </w:t>
      </w:r>
      <w:r>
        <w:fldChar w:fldCharType="begin"/>
      </w:r>
      <w:r>
        <w:instrText xml:space="preserve"> HYPERLINK "http://www.cpars.gov/" </w:instrText>
      </w:r>
      <w:r>
        <w:fldChar w:fldCharType="separate"/>
      </w:r>
      <w:r w:rsidRPr="00960C13">
        <w:rPr>
          <w:rStyle w:val="Hyperlink"/>
        </w:rPr>
        <w:t>http://www.cpars.gov/</w:t>
      </w:r>
      <w:r>
        <w:fldChar w:fldCharType="end"/>
      </w:r>
      <w:r w:rsidRPr="00960C13">
        <w:t>; or any other reasonable basis.</w:t>
      </w:r>
    </w:p>
    <w:p w:rsidR="00362DDB" w:rsidRPr="00960C13" w:rsidP="00362DDB">
      <w:r w:rsidRPr="00960C13">
        <w:t>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p>
    <w:p w:rsidR="00362DDB" w:rsidRPr="00960C13" w:rsidP="00362DDB">
      <w:r w:rsidRPr="00960C13">
        <w:t>The award will be made to the response most advantageous to the Government.</w:t>
      </w:r>
    </w:p>
    <w:p w:rsidR="00362DDB" w:rsidRPr="00960C13" w:rsidP="00362DDB">
      <w:r w:rsidRPr="00960C13">
        <w:t>Responses should contain your best terms, conditions.</w:t>
      </w:r>
    </w:p>
    <w:p w:rsidR="00362DDB" w:rsidRPr="00960C13" w:rsidP="00362DDB">
      <w:r w:rsidRPr="00960C13">
        <w:t>To facilitate the award process, all quotes must include a statement regarding the terms and conditions herein as follows:</w:t>
      </w:r>
    </w:p>
    <w:p w:rsidR="00362DDB" w:rsidRPr="00960C13" w:rsidP="00362DDB">
      <w:pPr>
        <w:spacing w:before="120" w:after="120"/>
        <w:ind w:left="360" w:right="720"/>
      </w:pPr>
      <w:r w:rsidRPr="00960C13">
        <w:t>"The terms and conditions in the solicitation are acceptable to be included in the award document without modification, deletion, or addition."</w:t>
      </w:r>
    </w:p>
    <w:p w:rsidR="00362DDB" w:rsidRPr="00960C13" w:rsidP="00362DDB">
      <w:pPr>
        <w:spacing w:before="120" w:after="120"/>
        <w:ind w:left="360" w:right="720"/>
      </w:pPr>
      <w:r w:rsidRPr="00960C13">
        <w:t>OR</w:t>
      </w:r>
    </w:p>
    <w:p w:rsidR="00362DDB" w:rsidRPr="00960C13" w:rsidP="00362DDB">
      <w:pPr>
        <w:spacing w:before="120" w:after="240"/>
        <w:ind w:left="360" w:right="720"/>
      </w:pPr>
      <w:r w:rsidRPr="00960C13">
        <w:t>"The terms and conditions in the solicitation are acceptable to be included in the award document with the exception, deletion, or addition of the following:"</w:t>
      </w:r>
    </w:p>
    <w:p w:rsidR="00362DDB" w:rsidRPr="00960C13" w:rsidP="00362DDB">
      <w:r w:rsidRPr="00960C13">
        <w:rPr>
          <w:color w:val="0070C0"/>
        </w:rPr>
        <w:t xml:space="preserve"> </w:t>
      </w:r>
      <w:r w:rsidRPr="00960C13">
        <w:t>Quoters shall list exception(s) and rationale for the exception(s), if any.</w:t>
      </w:r>
    </w:p>
    <w:p w:rsidR="00362DDB" w:rsidRPr="00960C13" w:rsidP="00362DDB">
      <w:r w:rsidRPr="00960C13">
        <w:t xml:space="preserve">Submission of your response shall be received not later than </w:t>
      </w:r>
      <w:r>
        <w:t>4:00</w:t>
      </w:r>
      <w:r w:rsidRPr="00960C13">
        <w:t xml:space="preserve">pm local time, </w:t>
      </w:r>
      <w:r w:rsidR="00560894">
        <w:t>May 13, 2024</w:t>
      </w:r>
      <w:r>
        <w:t>,</w:t>
      </w:r>
      <w:r w:rsidRPr="00960C13">
        <w:t xml:space="preserve"> at </w:t>
      </w:r>
      <w:r>
        <w:fldChar w:fldCharType="begin"/>
      </w:r>
      <w:r>
        <w:instrText xml:space="preserve"> HYPERLINK "mailto:john.tschirhart@va.gov" </w:instrText>
      </w:r>
      <w:r>
        <w:fldChar w:fldCharType="separate"/>
      </w:r>
      <w:r w:rsidRPr="00960C13">
        <w:rPr>
          <w:rStyle w:val="Hyperlink"/>
        </w:rPr>
        <w:t>john.tschirhart@va.gov</w:t>
      </w:r>
      <w:r>
        <w:fldChar w:fldCharType="end"/>
      </w:r>
      <w:r w:rsidRPr="00960C13">
        <w:t xml:space="preserve"> </w:t>
      </w:r>
    </w:p>
    <w:p w:rsidR="00362DDB" w:rsidRPr="00960C13" w:rsidP="00362DDB"/>
    <w:p w:rsidR="00362DDB" w:rsidRPr="00960C13" w:rsidP="00362DDB">
      <w:pPr>
        <w:rPr>
          <w:color w:val="0070C0"/>
        </w:rPr>
      </w:pPr>
      <w:r w:rsidRPr="00960C13">
        <w:t>Late submissions shall be treated in accordance with the solicitation provision at FAR 52.212-1(f).</w:t>
      </w:r>
    </w:p>
    <w:p w:rsidR="00362DDB" w:rsidRPr="00960C13" w:rsidP="00362DDB">
      <w:pPr>
        <w:rPr>
          <w:iCs/>
        </w:rPr>
      </w:pPr>
      <w:r w:rsidRPr="00960C13">
        <w:t>Any questions or concerns regarding this solicitation should be forwarded in writing via e-mail to the Point of Contact listed below</w:t>
      </w:r>
      <w:r w:rsidRPr="00960C13">
        <w:rPr>
          <w:iCs/>
        </w:rPr>
        <w:t xml:space="preserve">. </w:t>
      </w:r>
    </w:p>
    <w:p w:rsidR="00362DDB" w:rsidRPr="00960C13" w:rsidP="00362DDB">
      <w:pPr>
        <w:rPr>
          <w:b/>
          <w:bCs/>
          <w:iCs/>
        </w:rPr>
      </w:pPr>
      <w:r w:rsidRPr="00960C13">
        <w:rPr>
          <w:b/>
          <w:bCs/>
          <w:iCs/>
        </w:rPr>
        <w:t>Point of Contact</w:t>
      </w:r>
    </w:p>
    <w:p w:rsidR="00362DDB" w:rsidRPr="00960C13" w:rsidP="00560894">
      <w:pPr>
        <w:spacing w:after="0" w:line="240" w:lineRule="auto"/>
        <w:rPr>
          <w:iCs/>
        </w:rPr>
      </w:pPr>
      <w:r w:rsidRPr="00960C13">
        <w:rPr>
          <w:iCs/>
        </w:rPr>
        <w:t>John Tschirhart</w:t>
      </w:r>
    </w:p>
    <w:p w:rsidR="00362DDB" w:rsidRPr="00960C13" w:rsidP="00560894">
      <w:pPr>
        <w:spacing w:after="0" w:line="240" w:lineRule="auto"/>
        <w:rPr>
          <w:iCs/>
        </w:rPr>
      </w:pPr>
      <w:r w:rsidRPr="00960C13">
        <w:rPr>
          <w:iCs/>
        </w:rPr>
        <w:t>Contract Specialist</w:t>
      </w:r>
    </w:p>
    <w:p w:rsidR="00362DDB" w:rsidRPr="00960C13" w:rsidP="00560894">
      <w:pPr>
        <w:spacing w:after="0" w:line="240" w:lineRule="auto"/>
        <w:rPr>
          <w:iCs/>
        </w:rPr>
      </w:pPr>
      <w:r w:rsidRPr="00960C13">
        <w:rPr>
          <w:iCs/>
        </w:rPr>
        <w:t>Network Contract Office (NCO) 10</w:t>
      </w:r>
    </w:p>
    <w:p w:rsidR="00362DDB" w:rsidRPr="00960C13" w:rsidP="00560894">
      <w:pPr>
        <w:spacing w:after="0" w:line="240" w:lineRule="auto"/>
        <w:rPr>
          <w:iCs/>
        </w:rPr>
      </w:pPr>
      <w:r w:rsidRPr="00960C13">
        <w:rPr>
          <w:iCs/>
        </w:rPr>
        <w:t xml:space="preserve">Office: 937-267-3952 </w:t>
      </w:r>
    </w:p>
    <w:p w:rsidR="00362DDB" w:rsidRPr="00960C13" w:rsidP="00560894">
      <w:pPr>
        <w:spacing w:after="0" w:line="240" w:lineRule="auto"/>
      </w:pPr>
      <w:r w:rsidRPr="00960C13">
        <w:rPr>
          <w:iCs/>
        </w:rPr>
        <w:t xml:space="preserve">Email: </w:t>
      </w:r>
      <w:r>
        <w:fldChar w:fldCharType="begin"/>
      </w:r>
      <w:r>
        <w:instrText xml:space="preserve"> HYPERLINK "mailto:john.tschirhart@va.gov" </w:instrText>
      </w:r>
      <w:r>
        <w:fldChar w:fldCharType="separate"/>
      </w:r>
      <w:r w:rsidRPr="00960C13">
        <w:rPr>
          <w:rStyle w:val="Hyperlink"/>
          <w:iCs/>
        </w:rPr>
        <w:t>john.tschirhart@va.gov</w:t>
      </w:r>
      <w:r>
        <w:fldChar w:fldCharType="end"/>
      </w:r>
    </w:p>
    <w:p w:rsidR="00444A6A"/>
    <w:sectPr>
      <w:headerReference w:type="default" r:id="rId8"/>
      <w:footerReference w:type="default" r:id="rId9"/>
      <w:type w:val="continuous"/>
      <w:pgSz w:w="12240" w:h="15840"/>
      <w:pgMar w:top="1080" w:right="1440" w:bottom="1080" w:left="1440" w:header="360" w:footer="36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DE02F3">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0B32E0" w:rsidP="000B32E0">
          <w:pPr>
            <w:pStyle w:val="Footer"/>
          </w:pPr>
        </w:p>
      </w:tc>
      <w:tc>
        <w:tcPr>
          <w:tcW w:w="4788" w:type="dxa"/>
        </w:tcPr>
        <w:p w:rsidR="000B32E0" w:rsidP="000B32E0">
          <w:pPr>
            <w:pStyle w:val="Footer"/>
            <w:jc w:val="right"/>
          </w:pPr>
          <w:r>
            <w:t>Combined Synopsis/Solicitation Notice</w:t>
          </w:r>
        </w:p>
      </w:tc>
    </w:tr>
  </w:tbl>
  <w:p w:rsidR="005A5226" w:rsidP="005A5226">
    <w:pPr>
      <w:pStyle w:val="Footer"/>
      <w:jc w:val="right"/>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0B32E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0B32E0" w:rsidP="000B32E0">
          <w:pPr>
            <w:pStyle w:val="Footer"/>
          </w:pPr>
          <w:r w:rsidRPr="000B32E0">
            <w:t>*= Required Field</w:t>
          </w:r>
        </w:p>
      </w:tc>
      <w:tc>
        <w:tcPr>
          <w:tcW w:w="4788" w:type="dxa"/>
        </w:tcPr>
        <w:p w:rsidR="000B32E0" w:rsidP="00625F03">
          <w:pPr>
            <w:pStyle w:val="Footer"/>
            <w:jc w:val="right"/>
          </w:pPr>
          <w:r>
            <w:t>Combined Synopsis/Solicitation Notice</w:t>
          </w:r>
        </w:p>
      </w:tc>
    </w:tr>
  </w:tbl>
  <w:p w:rsidR="00625F03" w:rsidP="00625F03">
    <w:pPr>
      <w:pStyle w:val="Footer"/>
      <w:jc w:val="right"/>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43E" w:rsidP="0012556A">
    <w:pPr>
      <w:pStyle w:val="Footer"/>
    </w:pPr>
    <w:r>
      <w:t>Effective Date: 03/15/2023</w:t>
    </w:r>
  </w:p>
  <w:p w:rsidR="0025743E" w:rsidRPr="0012556A" w:rsidP="0012556A">
    <w:pPr>
      <w:pStyle w:val="Footer"/>
    </w:pPr>
    <w:r>
      <w:t>Revision: 01</w:t>
    </w:r>
  </w:p>
  <w:p w:rsidR="0025743E">
    <w:pPr>
      <w:pStyle w:val="Header"/>
      <w:jc w:val="right"/>
    </w:pPr>
    <w:r>
      <w:t xml:space="preserve">Page </w:t>
    </w:r>
    <w:r>
      <w:fldChar w:fldCharType="begin"/>
    </w:r>
    <w:r>
      <w:instrText xml:space="preserve"> PAGE   \* MERGEFORMAT </w:instrText>
    </w:r>
    <w:r>
      <w:fldChar w:fldCharType="separate"/>
    </w:r>
    <w:r>
      <w:t>7</w:t>
    </w:r>
    <w:r>
      <w:fldChar w:fldCharType="end"/>
    </w:r>
    <w:r>
      <w:t xml:space="preserve"> of </w:t>
    </w:r>
    <w:r>
      <w:fldChar w:fldCharType="begin"/>
    </w:r>
    <w:r>
      <w:instrText xml:space="preserve"> NUMPAGES   \* MERGEFORMAT </w:instrText>
    </w:r>
    <w:r>
      <w:fldChar w:fldCharType="separate"/>
    </w:r>
    <w:r>
      <w:t>7</w:t>
    </w:r>
    <w:r>
      <w:fldChar w:fldCharType="end"/>
    </w:r>
  </w:p>
  <w:p>
    <w:pPr>
      <w:pStyle w:val="Header"/>
      <w:jc w:val="right"/>
    </w:pPr>
    <w:r>
      <w:t xml:space="preserve">Page </w:t>
    </w:r>
    <w:r>
      <w:fldChar w:fldCharType="begin"/>
    </w:r>
    <w:r>
      <w:instrText xml:space="preserve"> PAGE   \* MERGEFORMAT </w:instrText>
    </w:r>
    <w:r>
      <w:fldChar w:fldCharType="separate"/>
    </w:r>
    <w:r>
      <w:t>7</w:t>
    </w:r>
    <w:r>
      <w:fldChar w:fldCharType="end"/>
    </w:r>
    <w:r>
      <w:t xml:space="preserve"> of </w:t>
    </w:r>
    <w:r>
      <w:fldChar w:fldCharType="begin"/>
    </w:r>
    <w:r>
      <w:instrText xml:space="preserve"> NUMPAGES   \* MERGEFORMAT </w:instrText>
    </w:r>
    <w:r>
      <w:fldChar w:fldCharType="separate"/>
    </w:r>
    <w:r>
      <w:t>7</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376" w:rsidRPr="00BA6826" w:rsidP="00BA6826">
    <w:pPr>
      <w:pStyle w:val="Heading1"/>
      <w:jc w:val="center"/>
      <w:rPr>
        <w:rFonts w:eastAsia="Times New Roman"/>
        <w:sz w:val="36"/>
      </w:rPr>
    </w:pPr>
    <w:r w:rsidRPr="00640376">
      <w:rPr>
        <w:rFonts w:eastAsia="Times New Roman"/>
        <w:sz w:val="36"/>
      </w:rPr>
      <w:t>Combined Synopsis/Solicitation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2E0" w:rsidRPr="00282F33" w:rsidP="00282F33">
    <w:pPr>
      <w:pStyle w:val="Heading1"/>
      <w:jc w:val="center"/>
      <w:rPr>
        <w:rFonts w:eastAsia="Times New Roman"/>
        <w:sz w:val="36"/>
      </w:rPr>
    </w:pPr>
    <w:r w:rsidRPr="00640376">
      <w:rPr>
        <w:rFonts w:eastAsia="Times New Roman"/>
        <w:sz w:val="36"/>
      </w:rPr>
      <w:t>Combined Synopsis/Solicitation Notice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43E" w:rsidRPr="00DC58B0" w:rsidP="0062512C">
    <w:pPr>
      <w:pStyle w:val="Header"/>
      <w:jc w:val="center"/>
      <w:rPr>
        <w:sz w:val="23"/>
        <w:szCs w:val="23"/>
      </w:rPr>
    </w:pPr>
    <w:r w:rsidRPr="00DC58B0">
      <w:rPr>
        <w:sz w:val="23"/>
        <w:szCs w:val="23"/>
      </w:rPr>
      <w:t xml:space="preserve">Attachment </w:t>
    </w:r>
    <w:r>
      <w:rPr>
        <w:sz w:val="23"/>
        <w:szCs w:val="23"/>
      </w:rPr>
      <w:t>1</w:t>
    </w:r>
    <w:r w:rsidRPr="00DC58B0">
      <w:rPr>
        <w:sz w:val="23"/>
        <w:szCs w:val="23"/>
      </w:rPr>
      <w:t xml:space="preserve">: Template for Combined Synopsis-Solicitation for Commercial </w:t>
    </w:r>
    <w:r>
      <w:rPr>
        <w:sz w:val="23"/>
        <w:szCs w:val="23"/>
      </w:rPr>
      <w:t>Products and Commercial Services</w:t>
    </w:r>
    <w:r w:rsidRPr="00DC58B0">
      <w:rPr>
        <w:sz w:val="23"/>
        <w:szCs w:val="23"/>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372C0"/>
    <w:multiLevelType w:val="hybridMultilevel"/>
    <w:tmpl w:val="FFE826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1A22248"/>
    <w:multiLevelType w:val="hybridMultilevel"/>
    <w:tmpl w:val="BA9225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5A522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B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62DDB"/>
    <w:rPr>
      <w:color w:val="0000FF"/>
      <w:u w:val="single"/>
    </w:rPr>
  </w:style>
  <w:style w:type="table" w:styleId="LightListAccent1">
    <w:name w:val="Light List Accent 1"/>
    <w:basedOn w:val="TableNormal"/>
    <w:uiPriority w:val="61"/>
    <w:rsid w:val="00362DDB"/>
    <w:pPr>
      <w:jc w:val="left"/>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2024-05-06T16:14:58Z</dcterms:created>
  <dcterms:modified xsi:type="dcterms:W3CDTF">2024-05-06T16:14:58Z</dcterms:modified>
</cp:coreProperties>
</file>