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37AE" w14:textId="31F0EA5F" w:rsidR="003120B9" w:rsidRPr="00A86E66" w:rsidRDefault="00902F8D" w:rsidP="007F0CA4">
      <w:pPr>
        <w:jc w:val="center"/>
        <w:rPr>
          <w:rFonts w:ascii="Arial" w:hAnsi="Arial" w:cs="Arial"/>
          <w:b/>
          <w:bCs/>
        </w:rPr>
      </w:pPr>
      <w:r>
        <w:rPr>
          <w:rFonts w:ascii="Arial" w:hAnsi="Arial" w:cs="Arial"/>
          <w:b/>
          <w:bCs/>
        </w:rPr>
        <w:t>PERFORMANCE WORK STATEMENT</w:t>
      </w:r>
    </w:p>
    <w:p w14:paraId="7FD019A4" w14:textId="2D1A8194" w:rsidR="003120B9" w:rsidRPr="00A86E66" w:rsidRDefault="007F0CA4" w:rsidP="007F0CA4">
      <w:pPr>
        <w:jc w:val="center"/>
        <w:rPr>
          <w:rFonts w:ascii="Arial" w:hAnsi="Arial" w:cs="Arial"/>
        </w:rPr>
      </w:pPr>
      <w:r w:rsidRPr="007F0CA4">
        <w:rPr>
          <w:rFonts w:ascii="Arial" w:hAnsi="Arial" w:cs="Arial"/>
        </w:rPr>
        <w:t>5G/6G Core Networks and Algorithms Support Services</w:t>
      </w:r>
      <w:r>
        <w:rPr>
          <w:rFonts w:ascii="Arial" w:hAnsi="Arial" w:cs="Arial"/>
        </w:rPr>
        <w:br/>
      </w:r>
    </w:p>
    <w:p w14:paraId="616B7AB5" w14:textId="4733DD68" w:rsidR="003120B9" w:rsidRPr="00A86E66" w:rsidRDefault="003120B9" w:rsidP="008179FA">
      <w:pPr>
        <w:rPr>
          <w:rFonts w:ascii="Arial" w:hAnsi="Arial" w:cs="Arial"/>
          <w:b/>
          <w:bCs/>
        </w:rPr>
      </w:pPr>
      <w:r w:rsidRPr="00A86E66">
        <w:rPr>
          <w:rFonts w:ascii="Arial" w:hAnsi="Arial" w:cs="Arial"/>
          <w:b/>
          <w:bCs/>
        </w:rPr>
        <w:t>BACKGROUND INFORMATION</w:t>
      </w:r>
    </w:p>
    <w:p w14:paraId="2BC1B88C" w14:textId="7B457F9D" w:rsidR="003120B9" w:rsidRPr="00A86E66" w:rsidRDefault="003120B9" w:rsidP="003120B9">
      <w:pPr>
        <w:rPr>
          <w:rFonts w:ascii="Arial" w:hAnsi="Arial" w:cs="Arial"/>
        </w:rPr>
      </w:pPr>
    </w:p>
    <w:p w14:paraId="0632624A" w14:textId="61F3C631" w:rsidR="003120B9" w:rsidRPr="00A86E66" w:rsidRDefault="007F0CA4" w:rsidP="003120B9">
      <w:pPr>
        <w:rPr>
          <w:rFonts w:ascii="Arial" w:hAnsi="Arial" w:cs="Arial"/>
        </w:rPr>
      </w:pPr>
      <w:r w:rsidRPr="007F0CA4">
        <w:rPr>
          <w:rFonts w:ascii="Arial" w:hAnsi="Arial" w:cs="Arial"/>
        </w:rPr>
        <w:t>The Transformational Networks and Services Group (TNSG) in the Smart Connected Systems Division, Communications Technology Laboratory</w:t>
      </w:r>
      <w:r w:rsidR="00D3348E">
        <w:rPr>
          <w:rFonts w:ascii="Arial" w:hAnsi="Arial" w:cs="Arial"/>
        </w:rPr>
        <w:t xml:space="preserve"> (CTL)</w:t>
      </w:r>
      <w:r w:rsidRPr="007F0CA4">
        <w:rPr>
          <w:rFonts w:ascii="Arial" w:hAnsi="Arial" w:cs="Arial"/>
        </w:rPr>
        <w:t xml:space="preserve"> at the National Institute of Standards and Technologies (NIST) develops foundational network science, network measurement science, standards, and best practices to support the transformation of industries critical to national priorities such as industrial automation and smart transportation. TNSG’s research efforts include fifth and sixth generation (5G/6G) core networks, </w:t>
      </w:r>
      <w:proofErr w:type="gramStart"/>
      <w:r w:rsidRPr="007F0CA4">
        <w:rPr>
          <w:rFonts w:ascii="Arial" w:hAnsi="Arial" w:cs="Arial"/>
        </w:rPr>
        <w:t>edge</w:t>
      </w:r>
      <w:proofErr w:type="gramEnd"/>
      <w:r w:rsidRPr="007F0CA4">
        <w:rPr>
          <w:rFonts w:ascii="Arial" w:hAnsi="Arial" w:cs="Arial"/>
        </w:rPr>
        <w:t xml:space="preserve"> and distributed AI (Artificial Intelligence) and their applications to networking, AI-based autonomous networking, optical and quantum networking, cloud computing, information-centric networks, and automated driving.</w:t>
      </w:r>
      <w:r w:rsidR="00EB6B6D" w:rsidRPr="00A86E66">
        <w:rPr>
          <w:rFonts w:ascii="Arial" w:hAnsi="Arial" w:cs="Arial"/>
        </w:rPr>
        <w:br/>
      </w:r>
    </w:p>
    <w:p w14:paraId="273F7F22" w14:textId="5DD19709" w:rsidR="003120B9" w:rsidRPr="00A86E66" w:rsidRDefault="003120B9" w:rsidP="00254D85">
      <w:pPr>
        <w:rPr>
          <w:rFonts w:ascii="Arial" w:hAnsi="Arial" w:cs="Arial"/>
          <w:b/>
          <w:bCs/>
        </w:rPr>
      </w:pPr>
      <w:r w:rsidRPr="00A86E66">
        <w:rPr>
          <w:rFonts w:ascii="Arial" w:hAnsi="Arial" w:cs="Arial"/>
          <w:b/>
          <w:bCs/>
        </w:rPr>
        <w:t>PURPOSE</w:t>
      </w:r>
      <w:r w:rsidR="00EB6B6D" w:rsidRPr="00A86E66">
        <w:rPr>
          <w:rFonts w:ascii="Arial" w:hAnsi="Arial" w:cs="Arial"/>
          <w:b/>
          <w:bCs/>
        </w:rPr>
        <w:br/>
      </w:r>
    </w:p>
    <w:p w14:paraId="6753E02F" w14:textId="33B36E3E" w:rsidR="007F0CA4" w:rsidRPr="007F0CA4" w:rsidRDefault="007F0CA4" w:rsidP="007F0CA4">
      <w:pPr>
        <w:rPr>
          <w:rFonts w:ascii="Arial" w:hAnsi="Arial" w:cs="Arial"/>
        </w:rPr>
      </w:pPr>
      <w:r w:rsidRPr="007F0CA4">
        <w:rPr>
          <w:rFonts w:ascii="Arial" w:hAnsi="Arial" w:cs="Arial"/>
        </w:rPr>
        <w:t>The purpose of this requirement is to obtain contractor services to develop AI and ML (machine learning) techniques (including models and algorithms) for supporting 5G/6G networks, quantum networks, and applications over such emerging networks; create new AI-based architectural concepts for such networks; and develop test methods and tools for evaluating the new techniques.</w:t>
      </w:r>
      <w:r>
        <w:rPr>
          <w:rFonts w:ascii="Arial" w:hAnsi="Arial" w:cs="Arial"/>
        </w:rPr>
        <w:br/>
      </w:r>
      <w:r>
        <w:rPr>
          <w:rFonts w:ascii="Arial" w:hAnsi="Arial" w:cs="Arial"/>
        </w:rPr>
        <w:br/>
      </w:r>
      <w:r w:rsidRPr="007F0CA4">
        <w:rPr>
          <w:rFonts w:ascii="Arial" w:hAnsi="Arial" w:cs="Arial"/>
          <w:b/>
          <w:bCs/>
        </w:rPr>
        <w:t>SCOPE OF WORK</w:t>
      </w:r>
      <w:r>
        <w:rPr>
          <w:rFonts w:ascii="Arial" w:hAnsi="Arial" w:cs="Arial"/>
        </w:rPr>
        <w:br/>
      </w:r>
      <w:r>
        <w:rPr>
          <w:rFonts w:ascii="Arial" w:hAnsi="Arial" w:cs="Arial"/>
        </w:rPr>
        <w:br/>
      </w:r>
      <w:r w:rsidRPr="007F0CA4">
        <w:rPr>
          <w:rFonts w:ascii="Arial" w:hAnsi="Arial" w:cs="Arial"/>
        </w:rPr>
        <w:t xml:space="preserve">The Contractor shall design, evaluate, and demonstrate new models and algorithms for supporting edge and distributed AI, AI-based network architectures, assurance of end-to-end (E2E) network service qualities, management of E2E interservice interference, and advanced routing for 5G/6G networks and quantum networks. More specifically, the Contractor </w:t>
      </w:r>
      <w:r w:rsidR="00D3348E">
        <w:rPr>
          <w:rFonts w:ascii="Arial" w:hAnsi="Arial" w:cs="Arial"/>
        </w:rPr>
        <w:t>shall</w:t>
      </w:r>
      <w:r w:rsidR="00D3348E" w:rsidRPr="007F0CA4">
        <w:rPr>
          <w:rFonts w:ascii="Arial" w:hAnsi="Arial" w:cs="Arial"/>
        </w:rPr>
        <w:t xml:space="preserve"> </w:t>
      </w:r>
      <w:r w:rsidRPr="007F0CA4">
        <w:rPr>
          <w:rFonts w:ascii="Arial" w:hAnsi="Arial" w:cs="Arial"/>
        </w:rPr>
        <w:t>provide research support and design distributed optimization and learning algorithms for the following:</w:t>
      </w:r>
    </w:p>
    <w:p w14:paraId="17CC67D5" w14:textId="77777777" w:rsidR="007F0CA4" w:rsidRPr="007F0CA4" w:rsidRDefault="007F0CA4" w:rsidP="007F0CA4">
      <w:pPr>
        <w:rPr>
          <w:rFonts w:ascii="Arial" w:hAnsi="Arial" w:cs="Arial"/>
        </w:rPr>
      </w:pPr>
    </w:p>
    <w:p w14:paraId="17B81A6B" w14:textId="4F3E9954" w:rsidR="007F0CA4" w:rsidRPr="007F0CA4" w:rsidRDefault="007F0CA4" w:rsidP="007F0CA4">
      <w:pPr>
        <w:pStyle w:val="ListParagraph"/>
        <w:numPr>
          <w:ilvl w:val="0"/>
          <w:numId w:val="30"/>
        </w:numPr>
        <w:rPr>
          <w:rFonts w:ascii="Arial" w:hAnsi="Arial" w:cs="Arial"/>
        </w:rPr>
      </w:pPr>
      <w:r w:rsidRPr="007F0CA4">
        <w:rPr>
          <w:rFonts w:ascii="Arial" w:hAnsi="Arial" w:cs="Arial"/>
        </w:rPr>
        <w:t>New edge and distributed machine learning for supporting 5G/6G networks and applications.</w:t>
      </w:r>
    </w:p>
    <w:p w14:paraId="0CDA2BA7" w14:textId="6147A858" w:rsidR="007F0CA4" w:rsidRPr="007F0CA4" w:rsidRDefault="007F0CA4" w:rsidP="007F0CA4">
      <w:pPr>
        <w:ind w:firstLine="70"/>
        <w:rPr>
          <w:rFonts w:ascii="Arial" w:hAnsi="Arial" w:cs="Arial"/>
        </w:rPr>
      </w:pPr>
    </w:p>
    <w:p w14:paraId="28C962A9" w14:textId="15120FB6" w:rsidR="007F0CA4" w:rsidRPr="007F0CA4" w:rsidRDefault="007F0CA4" w:rsidP="007F0CA4">
      <w:pPr>
        <w:pStyle w:val="ListParagraph"/>
        <w:numPr>
          <w:ilvl w:val="0"/>
          <w:numId w:val="30"/>
        </w:numPr>
        <w:rPr>
          <w:rFonts w:ascii="Arial" w:hAnsi="Arial" w:cs="Arial"/>
        </w:rPr>
      </w:pPr>
      <w:r w:rsidRPr="007F0CA4">
        <w:rPr>
          <w:rFonts w:ascii="Arial" w:hAnsi="Arial" w:cs="Arial"/>
        </w:rPr>
        <w:t xml:space="preserve">Optimal resource allocation for E2E quality-of-service (QoS) assurance over 5G/6G networks. </w:t>
      </w:r>
    </w:p>
    <w:p w14:paraId="50DAC1B0" w14:textId="77777777" w:rsidR="007F0CA4" w:rsidRPr="007F0CA4" w:rsidRDefault="007F0CA4" w:rsidP="007F0CA4">
      <w:pPr>
        <w:rPr>
          <w:rFonts w:ascii="Arial" w:hAnsi="Arial" w:cs="Arial"/>
        </w:rPr>
      </w:pPr>
    </w:p>
    <w:p w14:paraId="73456409" w14:textId="18E7AB3B" w:rsidR="007F0CA4" w:rsidRPr="007F0CA4" w:rsidRDefault="007F0CA4" w:rsidP="007F0CA4">
      <w:pPr>
        <w:pStyle w:val="ListParagraph"/>
        <w:numPr>
          <w:ilvl w:val="0"/>
          <w:numId w:val="30"/>
        </w:numPr>
        <w:rPr>
          <w:rFonts w:ascii="Arial" w:hAnsi="Arial" w:cs="Arial"/>
        </w:rPr>
      </w:pPr>
      <w:r w:rsidRPr="007F0CA4">
        <w:rPr>
          <w:rFonts w:ascii="Arial" w:hAnsi="Arial" w:cs="Arial"/>
        </w:rPr>
        <w:t xml:space="preserve">Efficient entanglement routing in quantum networks. </w:t>
      </w:r>
    </w:p>
    <w:p w14:paraId="481BAB13" w14:textId="77777777" w:rsidR="007F0CA4" w:rsidRPr="007F0CA4" w:rsidRDefault="007F0CA4" w:rsidP="007F0CA4">
      <w:pPr>
        <w:rPr>
          <w:rFonts w:ascii="Arial" w:hAnsi="Arial" w:cs="Arial"/>
        </w:rPr>
      </w:pPr>
    </w:p>
    <w:p w14:paraId="7390D720" w14:textId="68CF62C6" w:rsidR="007F0CA4" w:rsidRPr="00D3348E" w:rsidRDefault="007F0CA4" w:rsidP="00D3348E">
      <w:pPr>
        <w:rPr>
          <w:rFonts w:ascii="Arial" w:hAnsi="Arial" w:cs="Arial"/>
        </w:rPr>
      </w:pPr>
      <w:r w:rsidRPr="007F0CA4">
        <w:rPr>
          <w:rFonts w:ascii="Arial" w:hAnsi="Arial" w:cs="Arial"/>
        </w:rPr>
        <w:t>The Contractor shall work closely with a team of CTL scientists who are working on 6G core networks, where this project is located. The Contractor shall assist in the design and implementation of a 5G core network testbed, tests and data collection, and evaluation of the new AI/ML algorithms for supporting networking functions and selected applications (such as automated driving). The Contractor shall also support collaborations with internal and external collaborators.</w:t>
      </w:r>
    </w:p>
    <w:p w14:paraId="772813F6" w14:textId="2267E459" w:rsidR="003120B9" w:rsidRPr="00A86E66" w:rsidRDefault="003120B9" w:rsidP="009461AB">
      <w:pPr>
        <w:rPr>
          <w:rFonts w:ascii="Arial" w:hAnsi="Arial" w:cs="Arial"/>
          <w:b/>
          <w:bCs/>
        </w:rPr>
      </w:pPr>
      <w:r w:rsidRPr="00A86E66">
        <w:rPr>
          <w:rFonts w:ascii="Arial" w:hAnsi="Arial" w:cs="Arial"/>
          <w:b/>
          <w:bCs/>
        </w:rPr>
        <w:lastRenderedPageBreak/>
        <w:t>REQUIREMENTS</w:t>
      </w:r>
    </w:p>
    <w:p w14:paraId="7261D99B" w14:textId="77777777" w:rsidR="003120B9" w:rsidRPr="00A86E66" w:rsidRDefault="003120B9" w:rsidP="003120B9">
      <w:pPr>
        <w:rPr>
          <w:rFonts w:ascii="Arial" w:hAnsi="Arial" w:cs="Arial"/>
        </w:rPr>
      </w:pPr>
    </w:p>
    <w:p w14:paraId="259823C1" w14:textId="080FD2FE" w:rsidR="00EB6B6D" w:rsidRPr="00A86E66" w:rsidRDefault="003120B9" w:rsidP="00EB6B6D">
      <w:pPr>
        <w:rPr>
          <w:rFonts w:ascii="Arial" w:hAnsi="Arial" w:cs="Arial"/>
        </w:rPr>
      </w:pPr>
      <w:r w:rsidRPr="00A86E66">
        <w:rPr>
          <w:rFonts w:ascii="Arial" w:hAnsi="Arial" w:cs="Arial"/>
        </w:rPr>
        <w:t>The Contractor shall provide all support for project oversight, administration</w:t>
      </w:r>
      <w:r w:rsidR="00D774A1" w:rsidRPr="00A86E66">
        <w:rPr>
          <w:rFonts w:ascii="Arial" w:hAnsi="Arial" w:cs="Arial"/>
        </w:rPr>
        <w:t>,</w:t>
      </w:r>
      <w:r w:rsidRPr="00A86E66">
        <w:rPr>
          <w:rFonts w:ascii="Arial" w:hAnsi="Arial" w:cs="Arial"/>
        </w:rPr>
        <w:t xml:space="preserve"> and technical</w:t>
      </w:r>
      <w:r w:rsidR="00D774A1" w:rsidRPr="00A86E66">
        <w:rPr>
          <w:rFonts w:ascii="Arial" w:hAnsi="Arial" w:cs="Arial"/>
        </w:rPr>
        <w:t xml:space="preserve"> </w:t>
      </w:r>
      <w:r w:rsidRPr="00A86E66">
        <w:rPr>
          <w:rFonts w:ascii="Arial" w:hAnsi="Arial" w:cs="Arial"/>
        </w:rPr>
        <w:t>execution of this contract. The Contractor is responsible for maintaining accurate records</w:t>
      </w:r>
      <w:r w:rsidR="00D774A1" w:rsidRPr="00A86E66">
        <w:rPr>
          <w:rFonts w:ascii="Arial" w:hAnsi="Arial" w:cs="Arial"/>
        </w:rPr>
        <w:t xml:space="preserve"> </w:t>
      </w:r>
      <w:r w:rsidRPr="00A86E66">
        <w:rPr>
          <w:rFonts w:ascii="Arial" w:hAnsi="Arial" w:cs="Arial"/>
        </w:rPr>
        <w:t>of project activities.</w:t>
      </w:r>
      <w:r w:rsidR="00633692">
        <w:rPr>
          <w:rFonts w:ascii="Arial" w:hAnsi="Arial" w:cs="Arial"/>
        </w:rPr>
        <w:t xml:space="preserve"> All deliverables shall be Section 508 Compliant, as applicable. </w:t>
      </w:r>
      <w:r w:rsidR="00EB6B6D" w:rsidRPr="00A86E66">
        <w:rPr>
          <w:rFonts w:ascii="Arial" w:hAnsi="Arial" w:cs="Arial"/>
        </w:rPr>
        <w:br/>
      </w:r>
      <w:r w:rsidR="00EB6B6D" w:rsidRPr="00A86E66">
        <w:rPr>
          <w:rFonts w:ascii="Arial" w:hAnsi="Arial" w:cs="Arial"/>
        </w:rPr>
        <w:br/>
        <w:t xml:space="preserve">The Contractor shall </w:t>
      </w:r>
      <w:r w:rsidR="00EB3728">
        <w:rPr>
          <w:rFonts w:ascii="Arial" w:hAnsi="Arial" w:cs="Arial"/>
        </w:rPr>
        <w:t xml:space="preserve">perform the following </w:t>
      </w:r>
      <w:proofErr w:type="gramStart"/>
      <w:r w:rsidR="00EB3728">
        <w:rPr>
          <w:rFonts w:ascii="Arial" w:hAnsi="Arial" w:cs="Arial"/>
        </w:rPr>
        <w:t>services</w:t>
      </w:r>
      <w:proofErr w:type="gramEnd"/>
    </w:p>
    <w:p w14:paraId="1D5CCB8B" w14:textId="77777777" w:rsidR="00EB6B6D" w:rsidRPr="00A86E66" w:rsidRDefault="00EB6B6D" w:rsidP="00EB6B6D">
      <w:pPr>
        <w:rPr>
          <w:rFonts w:ascii="Arial" w:hAnsi="Arial" w:cs="Arial"/>
        </w:rPr>
      </w:pPr>
    </w:p>
    <w:p w14:paraId="23384600" w14:textId="621E1DC8" w:rsidR="00EC48D2" w:rsidRPr="00EC48D2" w:rsidRDefault="00A644E4" w:rsidP="00EC48D2">
      <w:pPr>
        <w:pStyle w:val="ListParagraph"/>
        <w:numPr>
          <w:ilvl w:val="0"/>
          <w:numId w:val="23"/>
        </w:numPr>
        <w:rPr>
          <w:rFonts w:ascii="Arial" w:hAnsi="Arial" w:cs="Arial"/>
        </w:rPr>
      </w:pPr>
      <w:r>
        <w:rPr>
          <w:rFonts w:ascii="Arial" w:hAnsi="Arial" w:cs="Arial"/>
          <w:b/>
          <w:bCs/>
        </w:rPr>
        <w:t xml:space="preserve">5G/6G Core Networks </w:t>
      </w:r>
      <w:r w:rsidR="00FC2904">
        <w:rPr>
          <w:rFonts w:ascii="Arial" w:hAnsi="Arial" w:cs="Arial"/>
          <w:b/>
          <w:bCs/>
        </w:rPr>
        <w:t xml:space="preserve">and Algorithms </w:t>
      </w:r>
      <w:r>
        <w:rPr>
          <w:rFonts w:ascii="Arial" w:hAnsi="Arial" w:cs="Arial"/>
          <w:b/>
          <w:bCs/>
        </w:rPr>
        <w:t>Support Services</w:t>
      </w:r>
      <w:r w:rsidR="00EC48D2">
        <w:rPr>
          <w:rFonts w:ascii="Arial" w:hAnsi="Arial" w:cs="Arial"/>
          <w:b/>
          <w:bCs/>
        </w:rPr>
        <w:t xml:space="preserve"> </w:t>
      </w:r>
      <w:r w:rsidR="00EC48D2">
        <w:rPr>
          <w:rFonts w:ascii="Arial" w:hAnsi="Arial" w:cs="Arial"/>
          <w:b/>
          <w:bCs/>
        </w:rPr>
        <w:br/>
      </w:r>
    </w:p>
    <w:p w14:paraId="37379A6D" w14:textId="0245595D" w:rsidR="00663FB0" w:rsidRPr="00520988" w:rsidRDefault="00612366" w:rsidP="00663FB0">
      <w:pPr>
        <w:pStyle w:val="ListParagraph"/>
        <w:numPr>
          <w:ilvl w:val="1"/>
          <w:numId w:val="23"/>
        </w:numPr>
        <w:ind w:left="1080"/>
        <w:rPr>
          <w:rFonts w:ascii="Arial" w:hAnsi="Arial" w:cs="Arial"/>
        </w:rPr>
      </w:pPr>
      <w:r>
        <w:rPr>
          <w:rFonts w:ascii="Arial" w:hAnsi="Arial" w:cs="Arial"/>
          <w:b/>
          <w:bCs/>
        </w:rPr>
        <w:t xml:space="preserve">Develop </w:t>
      </w:r>
      <w:r w:rsidR="00ED2707">
        <w:rPr>
          <w:rFonts w:ascii="Arial" w:hAnsi="Arial" w:cs="Arial"/>
          <w:b/>
          <w:bCs/>
        </w:rPr>
        <w:t xml:space="preserve">and Evaluate Edge and Distributed Learning </w:t>
      </w:r>
      <w:r w:rsidR="007D7551">
        <w:rPr>
          <w:rFonts w:ascii="Arial" w:hAnsi="Arial" w:cs="Arial"/>
          <w:b/>
          <w:bCs/>
        </w:rPr>
        <w:t>Techniques</w:t>
      </w:r>
      <w:r w:rsidR="00FA430E" w:rsidRPr="00EC48D2">
        <w:rPr>
          <w:rFonts w:ascii="Arial" w:hAnsi="Arial" w:cs="Arial"/>
          <w:b/>
          <w:bCs/>
        </w:rPr>
        <w:t xml:space="preserve">: </w:t>
      </w:r>
      <w:r w:rsidR="007D7551" w:rsidRPr="00520988">
        <w:rPr>
          <w:rFonts w:ascii="Arial" w:hAnsi="Arial" w:cs="Arial"/>
        </w:rPr>
        <w:t xml:space="preserve">The Contractor </w:t>
      </w:r>
      <w:r w:rsidR="007D7551">
        <w:rPr>
          <w:rFonts w:ascii="Arial" w:hAnsi="Arial" w:cs="Arial"/>
        </w:rPr>
        <w:t>shall e</w:t>
      </w:r>
      <w:r w:rsidR="00ED2707" w:rsidRPr="00ED2707">
        <w:rPr>
          <w:rFonts w:ascii="Arial" w:hAnsi="Arial" w:cs="Arial"/>
        </w:rPr>
        <w:t>xtend the Federated Learning algorithm developed by TNSG to increase performance</w:t>
      </w:r>
      <w:r w:rsidR="007D7551">
        <w:rPr>
          <w:rFonts w:ascii="Arial" w:hAnsi="Arial" w:cs="Arial"/>
        </w:rPr>
        <w:t>, p</w:t>
      </w:r>
      <w:r w:rsidR="00ED2707" w:rsidRPr="00ED2707">
        <w:rPr>
          <w:rFonts w:ascii="Arial" w:hAnsi="Arial" w:cs="Arial"/>
        </w:rPr>
        <w:t>rovide theoretical and experimental evaluations of the new algorithms, including defining the necessary evaluation metrics</w:t>
      </w:r>
      <w:r w:rsidR="007D7551">
        <w:rPr>
          <w:rFonts w:ascii="Arial" w:hAnsi="Arial" w:cs="Arial"/>
        </w:rPr>
        <w:t>, and i</w:t>
      </w:r>
      <w:r w:rsidR="00ED2707" w:rsidRPr="00ED2707">
        <w:rPr>
          <w:rFonts w:ascii="Arial" w:hAnsi="Arial" w:cs="Arial"/>
        </w:rPr>
        <w:t>nvestigate how edge learning can be used to enable new applications, including spectrum sharing and remote driving</w:t>
      </w:r>
      <w:r w:rsidR="00663FB0" w:rsidRPr="00520988">
        <w:rPr>
          <w:rFonts w:ascii="Arial" w:hAnsi="Arial" w:cs="Arial"/>
        </w:rPr>
        <w:t>.</w:t>
      </w:r>
    </w:p>
    <w:p w14:paraId="30F050AF" w14:textId="13F26F17" w:rsidR="00C44B1B" w:rsidRPr="00C44B1B" w:rsidRDefault="00C16137" w:rsidP="00C44B1B">
      <w:pPr>
        <w:pStyle w:val="ListParagraph"/>
        <w:numPr>
          <w:ilvl w:val="1"/>
          <w:numId w:val="23"/>
        </w:numPr>
        <w:ind w:left="1080"/>
        <w:rPr>
          <w:rFonts w:ascii="Arial" w:hAnsi="Arial" w:cs="Arial"/>
        </w:rPr>
      </w:pPr>
      <w:r>
        <w:rPr>
          <w:rFonts w:ascii="Arial" w:hAnsi="Arial" w:cs="Arial"/>
          <w:b/>
          <w:bCs/>
        </w:rPr>
        <w:t>Design E2E Q</w:t>
      </w:r>
      <w:r w:rsidR="00F91380">
        <w:rPr>
          <w:rFonts w:ascii="Arial" w:hAnsi="Arial" w:cs="Arial"/>
          <w:b/>
          <w:bCs/>
        </w:rPr>
        <w:t>oS</w:t>
      </w:r>
      <w:r>
        <w:rPr>
          <w:rFonts w:ascii="Arial" w:hAnsi="Arial" w:cs="Arial"/>
          <w:b/>
          <w:bCs/>
        </w:rPr>
        <w:t xml:space="preserve"> Assurance Algorithms</w:t>
      </w:r>
      <w:r w:rsidR="00FA430E" w:rsidRPr="00663FB0">
        <w:rPr>
          <w:rFonts w:ascii="Arial" w:hAnsi="Arial" w:cs="Arial"/>
          <w:b/>
          <w:bCs/>
        </w:rPr>
        <w:t xml:space="preserve">: </w:t>
      </w:r>
      <w:r w:rsidR="00C44B1B" w:rsidRPr="00C44B1B">
        <w:rPr>
          <w:rFonts w:ascii="Arial" w:hAnsi="Arial" w:cs="Arial"/>
        </w:rPr>
        <w:t>The</w:t>
      </w:r>
      <w:r w:rsidR="007D7551">
        <w:rPr>
          <w:rFonts w:ascii="Arial" w:hAnsi="Arial" w:cs="Arial"/>
        </w:rPr>
        <w:t xml:space="preserve"> Contractor shall e</w:t>
      </w:r>
      <w:r w:rsidRPr="00C16137">
        <w:rPr>
          <w:rFonts w:ascii="Arial" w:hAnsi="Arial" w:cs="Arial"/>
        </w:rPr>
        <w:t>xtend the E2E QoS assurance methods developed by TNSG to increase performance</w:t>
      </w:r>
      <w:r w:rsidR="007D7551">
        <w:rPr>
          <w:rFonts w:ascii="Arial" w:hAnsi="Arial" w:cs="Arial"/>
        </w:rPr>
        <w:t>, d</w:t>
      </w:r>
      <w:r w:rsidRPr="00C16137">
        <w:rPr>
          <w:rFonts w:ascii="Arial" w:hAnsi="Arial" w:cs="Arial"/>
        </w:rPr>
        <w:t xml:space="preserve">efine </w:t>
      </w:r>
      <w:proofErr w:type="gramStart"/>
      <w:r w:rsidRPr="00C16137">
        <w:rPr>
          <w:rFonts w:ascii="Arial" w:hAnsi="Arial" w:cs="Arial"/>
        </w:rPr>
        <w:t>metrics</w:t>
      </w:r>
      <w:proofErr w:type="gramEnd"/>
      <w:r w:rsidRPr="00C16137">
        <w:rPr>
          <w:rFonts w:ascii="Arial" w:hAnsi="Arial" w:cs="Arial"/>
        </w:rPr>
        <w:t xml:space="preserve"> and develop algorithms for measuring E2E interservice interferences</w:t>
      </w:r>
      <w:r w:rsidR="007D7551">
        <w:rPr>
          <w:rFonts w:ascii="Arial" w:hAnsi="Arial" w:cs="Arial"/>
        </w:rPr>
        <w:t>, d</w:t>
      </w:r>
      <w:r w:rsidRPr="00C16137">
        <w:rPr>
          <w:rFonts w:ascii="Arial" w:hAnsi="Arial" w:cs="Arial"/>
        </w:rPr>
        <w:t>evelop algorithms for automatically analyzing the risks of network events</w:t>
      </w:r>
      <w:r w:rsidR="007D7551">
        <w:rPr>
          <w:rFonts w:ascii="Arial" w:hAnsi="Arial" w:cs="Arial"/>
        </w:rPr>
        <w:t>, and p</w:t>
      </w:r>
      <w:r w:rsidRPr="00C16137">
        <w:rPr>
          <w:rFonts w:ascii="Arial" w:hAnsi="Arial" w:cs="Arial"/>
        </w:rPr>
        <w:t>rovide theoretical analyses and numerical evaluations of the new algorithms</w:t>
      </w:r>
      <w:r w:rsidR="00C44B1B" w:rsidRPr="00C44B1B">
        <w:rPr>
          <w:rFonts w:ascii="Arial" w:hAnsi="Arial" w:cs="Arial"/>
        </w:rPr>
        <w:t>.</w:t>
      </w:r>
    </w:p>
    <w:p w14:paraId="22106940" w14:textId="3B055D92" w:rsidR="0012076F" w:rsidRPr="002F1DA5" w:rsidRDefault="00DA23D3" w:rsidP="00520988">
      <w:pPr>
        <w:pStyle w:val="ListParagraph"/>
        <w:numPr>
          <w:ilvl w:val="1"/>
          <w:numId w:val="23"/>
        </w:numPr>
        <w:ind w:left="1080"/>
        <w:rPr>
          <w:rFonts w:ascii="Arial" w:hAnsi="Arial" w:cs="Arial"/>
        </w:rPr>
      </w:pPr>
      <w:r>
        <w:rPr>
          <w:rFonts w:ascii="Arial" w:hAnsi="Arial" w:cs="Arial"/>
          <w:b/>
          <w:bCs/>
        </w:rPr>
        <w:t xml:space="preserve">Develop </w:t>
      </w:r>
      <w:r w:rsidR="003E2E65">
        <w:rPr>
          <w:rFonts w:ascii="Arial" w:hAnsi="Arial" w:cs="Arial"/>
          <w:b/>
          <w:bCs/>
        </w:rPr>
        <w:t>Entanglement Routing Algorithms for Quantum Networks</w:t>
      </w:r>
      <w:r w:rsidR="00FA430E" w:rsidRPr="00C44B1B">
        <w:rPr>
          <w:rFonts w:ascii="Arial" w:hAnsi="Arial" w:cs="Arial"/>
          <w:b/>
          <w:bCs/>
        </w:rPr>
        <w:t xml:space="preserve">: </w:t>
      </w:r>
      <w:r w:rsidRPr="00DA23D3">
        <w:rPr>
          <w:rFonts w:ascii="Arial" w:hAnsi="Arial" w:cs="Arial"/>
        </w:rPr>
        <w:t xml:space="preserve">The </w:t>
      </w:r>
      <w:r w:rsidR="007D7551">
        <w:rPr>
          <w:rFonts w:ascii="Arial" w:hAnsi="Arial" w:cs="Arial"/>
        </w:rPr>
        <w:t>Contractor shall a</w:t>
      </w:r>
      <w:r w:rsidR="00236DFD" w:rsidRPr="00236DFD">
        <w:rPr>
          <w:rFonts w:ascii="Arial" w:hAnsi="Arial" w:cs="Arial"/>
        </w:rPr>
        <w:t>nalyze limitations of current entanglement routing techniques</w:t>
      </w:r>
      <w:r w:rsidR="007D7551">
        <w:rPr>
          <w:rFonts w:ascii="Arial" w:hAnsi="Arial" w:cs="Arial"/>
        </w:rPr>
        <w:t>, d</w:t>
      </w:r>
      <w:r w:rsidR="00236DFD" w:rsidRPr="00236DFD">
        <w:rPr>
          <w:rFonts w:ascii="Arial" w:hAnsi="Arial" w:cs="Arial"/>
        </w:rPr>
        <w:t>evelop a new algorithm for entanglement routing between concurrent source-destination pairs via untrusted repeater nodes</w:t>
      </w:r>
      <w:r w:rsidR="007D7551">
        <w:rPr>
          <w:rFonts w:ascii="Arial" w:hAnsi="Arial" w:cs="Arial"/>
        </w:rPr>
        <w:t>, and p</w:t>
      </w:r>
      <w:r w:rsidR="00236DFD" w:rsidRPr="00236DFD">
        <w:rPr>
          <w:rFonts w:ascii="Arial" w:hAnsi="Arial" w:cs="Arial"/>
        </w:rPr>
        <w:t>rovide theoretical analyses and numerical evaluations of the algorithm</w:t>
      </w:r>
      <w:r w:rsidR="00EB3728" w:rsidRPr="00C44B1B">
        <w:rPr>
          <w:rFonts w:ascii="Arial" w:hAnsi="Arial" w:cs="Arial"/>
        </w:rPr>
        <w:t xml:space="preserve">. </w:t>
      </w:r>
    </w:p>
    <w:p w14:paraId="4791D959" w14:textId="77777777" w:rsidR="00EB6B6D" w:rsidRPr="00A86E66" w:rsidRDefault="00EB6B6D" w:rsidP="00863234">
      <w:pPr>
        <w:tabs>
          <w:tab w:val="left" w:pos="803"/>
        </w:tabs>
        <w:rPr>
          <w:rFonts w:ascii="Arial" w:hAnsi="Arial" w:cs="Arial"/>
        </w:rPr>
      </w:pPr>
    </w:p>
    <w:p w14:paraId="62D76385" w14:textId="528C8BBE" w:rsidR="00EA2EEC" w:rsidRDefault="00EA2EEC" w:rsidP="00566D73">
      <w:pPr>
        <w:pStyle w:val="ListParagraph"/>
        <w:numPr>
          <w:ilvl w:val="0"/>
          <w:numId w:val="23"/>
        </w:numPr>
        <w:tabs>
          <w:tab w:val="left" w:pos="803"/>
        </w:tabs>
        <w:rPr>
          <w:rFonts w:ascii="Arial" w:hAnsi="Arial" w:cs="Arial"/>
        </w:rPr>
      </w:pPr>
      <w:r w:rsidRPr="00EA2EEC">
        <w:rPr>
          <w:rFonts w:ascii="Arial" w:hAnsi="Arial" w:cs="Arial"/>
          <w:b/>
          <w:bCs/>
        </w:rPr>
        <w:t xml:space="preserve">Progress </w:t>
      </w:r>
      <w:r w:rsidR="00D34E94">
        <w:rPr>
          <w:rFonts w:ascii="Arial" w:hAnsi="Arial" w:cs="Arial"/>
          <w:b/>
          <w:bCs/>
        </w:rPr>
        <w:t>Reporting</w:t>
      </w:r>
      <w:r w:rsidR="00EC48D2">
        <w:rPr>
          <w:rFonts w:ascii="Arial" w:hAnsi="Arial" w:cs="Arial"/>
          <w:b/>
          <w:bCs/>
        </w:rPr>
        <w:t xml:space="preserve"> </w:t>
      </w:r>
      <w:r w:rsidR="00D34E94">
        <w:rPr>
          <w:rFonts w:ascii="Arial" w:hAnsi="Arial" w:cs="Arial"/>
        </w:rPr>
        <w:br/>
      </w:r>
    </w:p>
    <w:p w14:paraId="47DDCFCA" w14:textId="034D56D3" w:rsidR="00566D73" w:rsidRPr="00A86E66" w:rsidRDefault="007E74F2" w:rsidP="00520988">
      <w:pPr>
        <w:pStyle w:val="ListParagraph"/>
        <w:numPr>
          <w:ilvl w:val="1"/>
          <w:numId w:val="23"/>
        </w:numPr>
        <w:tabs>
          <w:tab w:val="left" w:pos="803"/>
        </w:tabs>
        <w:ind w:left="1080" w:hanging="270"/>
        <w:rPr>
          <w:rFonts w:ascii="Arial" w:hAnsi="Arial" w:cs="Arial"/>
        </w:rPr>
      </w:pPr>
      <w:r w:rsidRPr="00A86E66">
        <w:rPr>
          <w:rFonts w:ascii="Arial" w:hAnsi="Arial" w:cs="Arial"/>
        </w:rPr>
        <w:t xml:space="preserve">Submit monthly progress reports which detail progress made during the prior month, progress expected for the next month, any significant problems, </w:t>
      </w:r>
      <w:proofErr w:type="gramStart"/>
      <w:r w:rsidRPr="00A86E66">
        <w:rPr>
          <w:rFonts w:ascii="Arial" w:hAnsi="Arial" w:cs="Arial"/>
        </w:rPr>
        <w:t>risks</w:t>
      </w:r>
      <w:proofErr w:type="gramEnd"/>
      <w:r w:rsidRPr="00A86E66">
        <w:rPr>
          <w:rFonts w:ascii="Arial" w:hAnsi="Arial" w:cs="Arial"/>
        </w:rPr>
        <w:t xml:space="preserve"> or issues encountered, recommended actions to resolve identified problems, and any variances or expected variances from scheduled due dates. Monthly progress reports shall be due on the 10th of each month, beginning during the first full month of performance (if the performance period starts on a date other than the first of the month), covering all activity during the preceding month.</w:t>
      </w:r>
      <w:r w:rsidR="00566D73" w:rsidRPr="00A86E66">
        <w:rPr>
          <w:rFonts w:ascii="Arial" w:hAnsi="Arial" w:cs="Arial"/>
        </w:rPr>
        <w:br/>
      </w:r>
    </w:p>
    <w:p w14:paraId="708A8766" w14:textId="67D77AC9" w:rsidR="00566D73" w:rsidRPr="00A86E66" w:rsidRDefault="007E74F2" w:rsidP="00520988">
      <w:pPr>
        <w:pStyle w:val="ListParagraph"/>
        <w:numPr>
          <w:ilvl w:val="1"/>
          <w:numId w:val="23"/>
        </w:numPr>
        <w:tabs>
          <w:tab w:val="left" w:pos="803"/>
        </w:tabs>
        <w:ind w:left="1080" w:hanging="270"/>
        <w:rPr>
          <w:rFonts w:ascii="Arial" w:hAnsi="Arial" w:cs="Arial"/>
        </w:rPr>
      </w:pPr>
      <w:r w:rsidRPr="00A86E66">
        <w:rPr>
          <w:rFonts w:ascii="Arial" w:hAnsi="Arial" w:cs="Arial"/>
        </w:rPr>
        <w:t>Participate in weekly status meetings with the NIST Contracting Officer’s Representative (COR) to discuss progress to date. These meetings shall take place via telephone or virtual video call and are expected to take no more than one hour each.</w:t>
      </w:r>
      <w:r w:rsidR="00566D73" w:rsidRPr="00A86E66">
        <w:rPr>
          <w:rFonts w:ascii="Arial" w:hAnsi="Arial" w:cs="Arial"/>
        </w:rPr>
        <w:br/>
      </w:r>
    </w:p>
    <w:p w14:paraId="7123F21A" w14:textId="77777777" w:rsidR="007F0CA4" w:rsidRDefault="00566D73" w:rsidP="00566D73">
      <w:pPr>
        <w:tabs>
          <w:tab w:val="left" w:pos="803"/>
        </w:tabs>
        <w:rPr>
          <w:rFonts w:ascii="Arial" w:hAnsi="Arial" w:cs="Arial"/>
          <w:b/>
          <w:bCs/>
        </w:rPr>
      </w:pPr>
      <w:r w:rsidRPr="00A86E66">
        <w:rPr>
          <w:rFonts w:ascii="Arial" w:hAnsi="Arial" w:cs="Arial"/>
          <w:b/>
          <w:bCs/>
        </w:rPr>
        <w:t>DELIVERABLES</w:t>
      </w:r>
    </w:p>
    <w:p w14:paraId="5E6F0D88" w14:textId="77777777" w:rsidR="007F0CA4" w:rsidRDefault="007F0CA4" w:rsidP="00566D73">
      <w:pPr>
        <w:tabs>
          <w:tab w:val="left" w:pos="803"/>
        </w:tabs>
        <w:rPr>
          <w:rFonts w:ascii="Arial" w:hAnsi="Arial" w:cs="Arial"/>
          <w:b/>
          <w:bCs/>
        </w:rPr>
      </w:pPr>
    </w:p>
    <w:tbl>
      <w:tblPr>
        <w:tblStyle w:val="TableGrid"/>
        <w:tblW w:w="11250" w:type="dxa"/>
        <w:jc w:val="center"/>
        <w:tblLook w:val="04A0" w:firstRow="1" w:lastRow="0" w:firstColumn="1" w:lastColumn="0" w:noHBand="0" w:noVBand="1"/>
      </w:tblPr>
      <w:tblGrid>
        <w:gridCol w:w="1606"/>
        <w:gridCol w:w="4836"/>
        <w:gridCol w:w="1530"/>
        <w:gridCol w:w="1312"/>
        <w:gridCol w:w="1966"/>
      </w:tblGrid>
      <w:tr w:rsidR="007F0CA4" w:rsidRPr="007F0CA4" w14:paraId="08EB6CD0" w14:textId="77777777" w:rsidTr="00373D93">
        <w:trPr>
          <w:jc w:val="center"/>
        </w:trPr>
        <w:tc>
          <w:tcPr>
            <w:tcW w:w="1606" w:type="dxa"/>
            <w:tcBorders>
              <w:top w:val="single" w:sz="4" w:space="0" w:color="auto"/>
              <w:left w:val="single" w:sz="4" w:space="0" w:color="auto"/>
              <w:bottom w:val="single" w:sz="4" w:space="0" w:color="auto"/>
              <w:right w:val="single" w:sz="4" w:space="0" w:color="auto"/>
            </w:tcBorders>
            <w:vAlign w:val="center"/>
            <w:hideMark/>
          </w:tcPr>
          <w:p w14:paraId="6567010E" w14:textId="77777777" w:rsidR="007F0CA4" w:rsidRPr="007F0CA4" w:rsidRDefault="007F0CA4" w:rsidP="00B939A0">
            <w:pPr>
              <w:widowControl w:val="0"/>
              <w:autoSpaceDE w:val="0"/>
              <w:autoSpaceDN w:val="0"/>
              <w:adjustRightInd w:val="0"/>
              <w:spacing w:line="259" w:lineRule="auto"/>
              <w:jc w:val="center"/>
              <w:rPr>
                <w:rFonts w:ascii="Arial" w:hAnsi="Arial" w:cs="Arial"/>
                <w:b/>
              </w:rPr>
            </w:pPr>
            <w:r w:rsidRPr="007F0CA4">
              <w:rPr>
                <w:rFonts w:ascii="Arial" w:eastAsia="Arial" w:hAnsi="Arial" w:cs="Arial"/>
                <w:b/>
              </w:rPr>
              <w:t>Task</w:t>
            </w:r>
          </w:p>
          <w:p w14:paraId="3BA07072" w14:textId="77777777" w:rsidR="007F0CA4" w:rsidRPr="007F0CA4" w:rsidRDefault="007F0CA4" w:rsidP="00B939A0">
            <w:pPr>
              <w:spacing w:before="120" w:after="120"/>
              <w:ind w:left="86"/>
              <w:jc w:val="center"/>
              <w:rPr>
                <w:rFonts w:ascii="Arial" w:hAnsi="Arial" w:cs="Arial"/>
              </w:rPr>
            </w:pPr>
            <w:r w:rsidRPr="007F0CA4">
              <w:rPr>
                <w:rFonts w:ascii="Arial" w:eastAsia="Arial" w:hAnsi="Arial" w:cs="Arial"/>
                <w:b/>
              </w:rPr>
              <w:t>Number</w:t>
            </w:r>
          </w:p>
        </w:tc>
        <w:tc>
          <w:tcPr>
            <w:tcW w:w="4836" w:type="dxa"/>
            <w:tcBorders>
              <w:top w:val="single" w:sz="4" w:space="0" w:color="auto"/>
              <w:left w:val="single" w:sz="4" w:space="0" w:color="auto"/>
              <w:bottom w:val="single" w:sz="4" w:space="0" w:color="auto"/>
              <w:right w:val="single" w:sz="4" w:space="0" w:color="auto"/>
            </w:tcBorders>
            <w:vAlign w:val="center"/>
            <w:hideMark/>
          </w:tcPr>
          <w:p w14:paraId="150690A5" w14:textId="77777777" w:rsidR="007F0CA4" w:rsidRPr="007F0CA4" w:rsidRDefault="007F0CA4" w:rsidP="00B939A0">
            <w:pPr>
              <w:spacing w:before="120" w:after="120"/>
              <w:ind w:left="86"/>
              <w:jc w:val="center"/>
              <w:rPr>
                <w:rFonts w:ascii="Arial" w:hAnsi="Arial" w:cs="Arial"/>
              </w:rPr>
            </w:pPr>
            <w:r w:rsidRPr="007F0CA4">
              <w:rPr>
                <w:rFonts w:ascii="Arial" w:hAnsi="Arial" w:cs="Arial"/>
                <w:b/>
                <w:bCs/>
              </w:rPr>
              <w:t>Description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7E7CB81" w14:textId="77777777" w:rsidR="007F0CA4" w:rsidRPr="007F0CA4" w:rsidRDefault="007F0CA4" w:rsidP="00B939A0">
            <w:pPr>
              <w:spacing w:before="120" w:after="120"/>
              <w:ind w:left="86"/>
              <w:jc w:val="center"/>
              <w:rPr>
                <w:rFonts w:ascii="Arial" w:hAnsi="Arial" w:cs="Arial"/>
              </w:rPr>
            </w:pPr>
            <w:r w:rsidRPr="007F0CA4">
              <w:rPr>
                <w:rFonts w:ascii="Arial" w:hAnsi="Arial" w:cs="Arial"/>
                <w:b/>
                <w:bCs/>
              </w:rPr>
              <w:t>Format</w:t>
            </w:r>
          </w:p>
        </w:tc>
        <w:tc>
          <w:tcPr>
            <w:tcW w:w="1312" w:type="dxa"/>
            <w:tcBorders>
              <w:top w:val="single" w:sz="4" w:space="0" w:color="auto"/>
              <w:left w:val="single" w:sz="4" w:space="0" w:color="auto"/>
              <w:bottom w:val="single" w:sz="4" w:space="0" w:color="auto"/>
              <w:right w:val="single" w:sz="4" w:space="0" w:color="auto"/>
            </w:tcBorders>
            <w:vAlign w:val="center"/>
            <w:hideMark/>
          </w:tcPr>
          <w:p w14:paraId="5276EB3B" w14:textId="77777777" w:rsidR="007F0CA4" w:rsidRPr="007F0CA4" w:rsidRDefault="007F0CA4" w:rsidP="00B939A0">
            <w:pPr>
              <w:spacing w:before="120" w:after="120"/>
              <w:ind w:left="86"/>
              <w:jc w:val="center"/>
              <w:rPr>
                <w:rFonts w:ascii="Arial" w:hAnsi="Arial" w:cs="Arial"/>
              </w:rPr>
            </w:pPr>
            <w:r w:rsidRPr="007F0CA4">
              <w:rPr>
                <w:rFonts w:ascii="Arial" w:hAnsi="Arial" w:cs="Arial"/>
                <w:b/>
                <w:bCs/>
              </w:rPr>
              <w:t>Quantity</w:t>
            </w:r>
          </w:p>
        </w:tc>
        <w:tc>
          <w:tcPr>
            <w:tcW w:w="1966" w:type="dxa"/>
            <w:tcBorders>
              <w:top w:val="single" w:sz="4" w:space="0" w:color="auto"/>
              <w:left w:val="single" w:sz="4" w:space="0" w:color="auto"/>
              <w:bottom w:val="single" w:sz="4" w:space="0" w:color="auto"/>
              <w:right w:val="single" w:sz="4" w:space="0" w:color="auto"/>
            </w:tcBorders>
            <w:vAlign w:val="center"/>
            <w:hideMark/>
          </w:tcPr>
          <w:p w14:paraId="372B0855" w14:textId="77777777" w:rsidR="007F0CA4" w:rsidRPr="007F0CA4" w:rsidRDefault="007F0CA4" w:rsidP="00B939A0">
            <w:pPr>
              <w:spacing w:before="120" w:after="120"/>
              <w:ind w:left="86"/>
              <w:jc w:val="center"/>
              <w:rPr>
                <w:rFonts w:ascii="Arial" w:hAnsi="Arial" w:cs="Arial"/>
              </w:rPr>
            </w:pPr>
            <w:r w:rsidRPr="007F0CA4">
              <w:rPr>
                <w:rFonts w:ascii="Arial" w:hAnsi="Arial" w:cs="Arial"/>
                <w:b/>
                <w:bCs/>
              </w:rPr>
              <w:t>Date Required</w:t>
            </w:r>
          </w:p>
        </w:tc>
      </w:tr>
      <w:tr w:rsidR="007F0CA4" w:rsidRPr="007F0CA4" w14:paraId="42949681" w14:textId="77777777" w:rsidTr="00373D93">
        <w:trPr>
          <w:trHeight w:val="432"/>
          <w:jc w:val="center"/>
        </w:trPr>
        <w:tc>
          <w:tcPr>
            <w:tcW w:w="1606" w:type="dxa"/>
            <w:tcBorders>
              <w:top w:val="single" w:sz="4" w:space="0" w:color="auto"/>
              <w:left w:val="single" w:sz="4" w:space="0" w:color="auto"/>
              <w:bottom w:val="single" w:sz="4" w:space="0" w:color="auto"/>
              <w:right w:val="single" w:sz="4" w:space="0" w:color="auto"/>
            </w:tcBorders>
            <w:vAlign w:val="center"/>
            <w:hideMark/>
          </w:tcPr>
          <w:p w14:paraId="7B2F94BB" w14:textId="79A8FABF" w:rsidR="007F0CA4" w:rsidRPr="007F0CA4" w:rsidRDefault="007F0CA4" w:rsidP="00B939A0">
            <w:pPr>
              <w:spacing w:before="120" w:after="120"/>
              <w:ind w:left="86"/>
              <w:jc w:val="center"/>
              <w:rPr>
                <w:rFonts w:ascii="Arial" w:hAnsi="Arial" w:cs="Arial"/>
              </w:rPr>
            </w:pPr>
            <w:r w:rsidRPr="007F0CA4">
              <w:rPr>
                <w:rFonts w:ascii="Arial" w:hAnsi="Arial" w:cs="Arial"/>
              </w:rPr>
              <w:t>1-</w:t>
            </w:r>
            <w:r w:rsidR="00DA23D3">
              <w:rPr>
                <w:rFonts w:ascii="Arial" w:hAnsi="Arial" w:cs="Arial"/>
              </w:rPr>
              <w:t>a</w:t>
            </w:r>
          </w:p>
        </w:tc>
        <w:tc>
          <w:tcPr>
            <w:tcW w:w="4836" w:type="dxa"/>
            <w:tcBorders>
              <w:top w:val="single" w:sz="4" w:space="0" w:color="000000"/>
              <w:left w:val="single" w:sz="4" w:space="0" w:color="000000"/>
              <w:bottom w:val="single" w:sz="4" w:space="0" w:color="000000"/>
              <w:right w:val="single" w:sz="4" w:space="0" w:color="000000"/>
            </w:tcBorders>
            <w:hideMark/>
          </w:tcPr>
          <w:p w14:paraId="6B69B9B9" w14:textId="77777777" w:rsidR="007F0CA4" w:rsidRPr="007F0CA4" w:rsidRDefault="007F0CA4" w:rsidP="00B939A0">
            <w:pPr>
              <w:jc w:val="both"/>
              <w:rPr>
                <w:rFonts w:ascii="Arial" w:hAnsi="Arial" w:cs="Arial"/>
                <w:lang w:val="en"/>
              </w:rPr>
            </w:pPr>
            <w:r w:rsidRPr="007F0CA4">
              <w:rPr>
                <w:rFonts w:ascii="Arial" w:hAnsi="Arial" w:cs="Arial"/>
                <w:lang w:val="en"/>
              </w:rPr>
              <w:t>Develop and evaluate edge and distributed learning techniques</w:t>
            </w:r>
          </w:p>
        </w:tc>
        <w:tc>
          <w:tcPr>
            <w:tcW w:w="1530" w:type="dxa"/>
            <w:tcBorders>
              <w:top w:val="single" w:sz="4" w:space="0" w:color="000000"/>
              <w:left w:val="single" w:sz="4" w:space="0" w:color="000000"/>
              <w:bottom w:val="single" w:sz="4" w:space="0" w:color="000000"/>
              <w:right w:val="single" w:sz="4" w:space="0" w:color="000000"/>
            </w:tcBorders>
            <w:hideMark/>
          </w:tcPr>
          <w:p w14:paraId="5206EEB5"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MSWord or PowerPoint</w:t>
            </w:r>
          </w:p>
        </w:tc>
        <w:tc>
          <w:tcPr>
            <w:tcW w:w="1312" w:type="dxa"/>
            <w:tcBorders>
              <w:top w:val="single" w:sz="4" w:space="0" w:color="000000"/>
              <w:left w:val="single" w:sz="4" w:space="0" w:color="000000"/>
              <w:bottom w:val="single" w:sz="4" w:space="0" w:color="000000"/>
              <w:right w:val="single" w:sz="4" w:space="0" w:color="000000"/>
            </w:tcBorders>
            <w:hideMark/>
          </w:tcPr>
          <w:p w14:paraId="6F00835F"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1</w:t>
            </w:r>
          </w:p>
        </w:tc>
        <w:tc>
          <w:tcPr>
            <w:tcW w:w="1966" w:type="dxa"/>
            <w:tcBorders>
              <w:top w:val="single" w:sz="4" w:space="0" w:color="000000"/>
              <w:left w:val="single" w:sz="4" w:space="0" w:color="000000"/>
              <w:bottom w:val="single" w:sz="4" w:space="0" w:color="000000"/>
              <w:right w:val="single" w:sz="4" w:space="0" w:color="000000"/>
            </w:tcBorders>
            <w:hideMark/>
          </w:tcPr>
          <w:p w14:paraId="01BCC9C1" w14:textId="5B3FDD93" w:rsidR="007F0CA4" w:rsidRPr="007F0CA4" w:rsidRDefault="007F0CA4" w:rsidP="00B939A0">
            <w:pPr>
              <w:spacing w:before="120" w:after="120"/>
              <w:ind w:left="86"/>
              <w:jc w:val="center"/>
              <w:rPr>
                <w:rFonts w:ascii="Arial" w:hAnsi="Arial" w:cs="Arial"/>
              </w:rPr>
            </w:pPr>
            <w:r w:rsidRPr="007F0CA4">
              <w:rPr>
                <w:rFonts w:ascii="Arial" w:hAnsi="Arial" w:cs="Arial"/>
              </w:rPr>
              <w:t xml:space="preserve">12 months from </w:t>
            </w:r>
            <w:r w:rsidR="00E86EF5">
              <w:rPr>
                <w:rFonts w:ascii="Arial" w:hAnsi="Arial" w:cs="Arial"/>
              </w:rPr>
              <w:t>start of award POP</w:t>
            </w:r>
          </w:p>
        </w:tc>
      </w:tr>
      <w:tr w:rsidR="007F0CA4" w:rsidRPr="007F0CA4" w14:paraId="5829F43C" w14:textId="77777777" w:rsidTr="00373D93">
        <w:trPr>
          <w:trHeight w:val="432"/>
          <w:jc w:val="center"/>
        </w:trPr>
        <w:tc>
          <w:tcPr>
            <w:tcW w:w="1606" w:type="dxa"/>
            <w:tcBorders>
              <w:top w:val="single" w:sz="4" w:space="0" w:color="auto"/>
              <w:left w:val="single" w:sz="4" w:space="0" w:color="auto"/>
              <w:bottom w:val="single" w:sz="4" w:space="0" w:color="auto"/>
              <w:right w:val="single" w:sz="4" w:space="0" w:color="auto"/>
            </w:tcBorders>
            <w:vAlign w:val="center"/>
            <w:hideMark/>
          </w:tcPr>
          <w:p w14:paraId="595E9ED7" w14:textId="7C73C135" w:rsidR="007F0CA4" w:rsidRPr="007F0CA4" w:rsidRDefault="007F0CA4" w:rsidP="00B939A0">
            <w:pPr>
              <w:spacing w:before="120" w:after="120"/>
              <w:ind w:left="86"/>
              <w:jc w:val="center"/>
              <w:rPr>
                <w:rFonts w:ascii="Arial" w:hAnsi="Arial" w:cs="Arial"/>
              </w:rPr>
            </w:pPr>
            <w:r w:rsidRPr="007F0CA4">
              <w:rPr>
                <w:rFonts w:ascii="Arial" w:hAnsi="Arial" w:cs="Arial"/>
              </w:rPr>
              <w:t>1-</w:t>
            </w:r>
            <w:r w:rsidR="00DA23D3">
              <w:rPr>
                <w:rFonts w:ascii="Arial" w:hAnsi="Arial" w:cs="Arial"/>
              </w:rPr>
              <w:t>b</w:t>
            </w:r>
          </w:p>
        </w:tc>
        <w:tc>
          <w:tcPr>
            <w:tcW w:w="4836" w:type="dxa"/>
            <w:tcBorders>
              <w:top w:val="single" w:sz="4" w:space="0" w:color="000000"/>
              <w:left w:val="single" w:sz="4" w:space="0" w:color="000000"/>
              <w:bottom w:val="single" w:sz="4" w:space="0" w:color="000000"/>
              <w:right w:val="single" w:sz="4" w:space="0" w:color="000000"/>
            </w:tcBorders>
            <w:hideMark/>
          </w:tcPr>
          <w:p w14:paraId="1E0095FE" w14:textId="77777777" w:rsidR="007F0CA4" w:rsidRPr="007F0CA4" w:rsidRDefault="007F0CA4" w:rsidP="00B939A0">
            <w:pPr>
              <w:spacing w:before="120" w:after="120"/>
              <w:rPr>
                <w:rFonts w:ascii="Arial" w:hAnsi="Arial" w:cs="Arial"/>
              </w:rPr>
            </w:pPr>
            <w:r w:rsidRPr="007F0CA4">
              <w:rPr>
                <w:rFonts w:ascii="Arial" w:hAnsi="Arial" w:cs="Arial"/>
              </w:rPr>
              <w:t>Design E2E QoS assurance algorithms</w:t>
            </w:r>
          </w:p>
        </w:tc>
        <w:tc>
          <w:tcPr>
            <w:tcW w:w="1530" w:type="dxa"/>
            <w:tcBorders>
              <w:top w:val="single" w:sz="4" w:space="0" w:color="000000"/>
              <w:left w:val="single" w:sz="4" w:space="0" w:color="000000"/>
              <w:bottom w:val="single" w:sz="4" w:space="0" w:color="000000"/>
              <w:right w:val="single" w:sz="4" w:space="0" w:color="000000"/>
            </w:tcBorders>
            <w:hideMark/>
          </w:tcPr>
          <w:p w14:paraId="1786FCBB"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MSWord or PowerPoint</w:t>
            </w:r>
          </w:p>
        </w:tc>
        <w:tc>
          <w:tcPr>
            <w:tcW w:w="1312" w:type="dxa"/>
            <w:tcBorders>
              <w:top w:val="single" w:sz="4" w:space="0" w:color="000000"/>
              <w:left w:val="single" w:sz="4" w:space="0" w:color="000000"/>
              <w:bottom w:val="single" w:sz="4" w:space="0" w:color="000000"/>
              <w:right w:val="single" w:sz="4" w:space="0" w:color="000000"/>
            </w:tcBorders>
            <w:hideMark/>
          </w:tcPr>
          <w:p w14:paraId="309A420A"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1</w:t>
            </w:r>
          </w:p>
        </w:tc>
        <w:tc>
          <w:tcPr>
            <w:tcW w:w="1966" w:type="dxa"/>
            <w:tcBorders>
              <w:top w:val="single" w:sz="4" w:space="0" w:color="000000"/>
              <w:left w:val="single" w:sz="4" w:space="0" w:color="000000"/>
              <w:bottom w:val="single" w:sz="4" w:space="0" w:color="000000"/>
              <w:right w:val="single" w:sz="4" w:space="0" w:color="000000"/>
            </w:tcBorders>
            <w:hideMark/>
          </w:tcPr>
          <w:p w14:paraId="28E444A3" w14:textId="14A34C9A" w:rsidR="007F0CA4" w:rsidRPr="007F0CA4" w:rsidRDefault="00E86EF5" w:rsidP="00B939A0">
            <w:pPr>
              <w:spacing w:before="120" w:after="120"/>
              <w:ind w:left="86"/>
              <w:jc w:val="center"/>
              <w:rPr>
                <w:rFonts w:ascii="Arial" w:hAnsi="Arial" w:cs="Arial"/>
              </w:rPr>
            </w:pPr>
            <w:r w:rsidRPr="007F0CA4">
              <w:rPr>
                <w:rFonts w:ascii="Arial" w:hAnsi="Arial" w:cs="Arial"/>
              </w:rPr>
              <w:t xml:space="preserve">12 months from </w:t>
            </w:r>
            <w:r>
              <w:rPr>
                <w:rFonts w:ascii="Arial" w:hAnsi="Arial" w:cs="Arial"/>
              </w:rPr>
              <w:t>start of award POP</w:t>
            </w:r>
          </w:p>
        </w:tc>
      </w:tr>
      <w:tr w:rsidR="007F0CA4" w:rsidRPr="007F0CA4" w14:paraId="28140873" w14:textId="77777777" w:rsidTr="00373D93">
        <w:trPr>
          <w:trHeight w:val="432"/>
          <w:jc w:val="center"/>
        </w:trPr>
        <w:tc>
          <w:tcPr>
            <w:tcW w:w="1606" w:type="dxa"/>
            <w:tcBorders>
              <w:top w:val="single" w:sz="4" w:space="0" w:color="auto"/>
              <w:left w:val="single" w:sz="4" w:space="0" w:color="auto"/>
              <w:bottom w:val="single" w:sz="4" w:space="0" w:color="auto"/>
              <w:right w:val="single" w:sz="4" w:space="0" w:color="auto"/>
            </w:tcBorders>
            <w:vAlign w:val="center"/>
            <w:hideMark/>
          </w:tcPr>
          <w:p w14:paraId="5C8B8586" w14:textId="53778E12" w:rsidR="007F0CA4" w:rsidRPr="007F0CA4" w:rsidRDefault="007F0CA4" w:rsidP="00B939A0">
            <w:pPr>
              <w:spacing w:before="120" w:after="120"/>
              <w:ind w:left="86"/>
              <w:jc w:val="center"/>
              <w:rPr>
                <w:rFonts w:ascii="Arial" w:hAnsi="Arial" w:cs="Arial"/>
              </w:rPr>
            </w:pPr>
            <w:r w:rsidRPr="007F0CA4">
              <w:rPr>
                <w:rFonts w:ascii="Arial" w:hAnsi="Arial" w:cs="Arial"/>
              </w:rPr>
              <w:t>1-</w:t>
            </w:r>
            <w:r w:rsidR="00DA23D3">
              <w:rPr>
                <w:rFonts w:ascii="Arial" w:hAnsi="Arial" w:cs="Arial"/>
              </w:rPr>
              <w:t>c</w:t>
            </w:r>
          </w:p>
        </w:tc>
        <w:tc>
          <w:tcPr>
            <w:tcW w:w="4836" w:type="dxa"/>
            <w:tcBorders>
              <w:top w:val="single" w:sz="4" w:space="0" w:color="000000"/>
              <w:left w:val="single" w:sz="4" w:space="0" w:color="000000"/>
              <w:bottom w:val="single" w:sz="4" w:space="0" w:color="000000"/>
              <w:right w:val="single" w:sz="4" w:space="0" w:color="000000"/>
            </w:tcBorders>
            <w:hideMark/>
          </w:tcPr>
          <w:p w14:paraId="6F8E5CD0" w14:textId="77777777" w:rsidR="007F0CA4" w:rsidRPr="007F0CA4" w:rsidRDefault="007F0CA4" w:rsidP="00B939A0">
            <w:pPr>
              <w:spacing w:before="120" w:after="120"/>
              <w:rPr>
                <w:rFonts w:ascii="Arial" w:hAnsi="Arial" w:cs="Arial"/>
              </w:rPr>
            </w:pPr>
            <w:r w:rsidRPr="007F0CA4">
              <w:rPr>
                <w:rFonts w:ascii="Arial" w:hAnsi="Arial" w:cs="Arial"/>
              </w:rPr>
              <w:t>Develop entanglement routing models for quantum networks</w:t>
            </w:r>
          </w:p>
        </w:tc>
        <w:tc>
          <w:tcPr>
            <w:tcW w:w="1530" w:type="dxa"/>
            <w:tcBorders>
              <w:top w:val="single" w:sz="4" w:space="0" w:color="000000"/>
              <w:left w:val="single" w:sz="4" w:space="0" w:color="000000"/>
              <w:bottom w:val="single" w:sz="4" w:space="0" w:color="000000"/>
              <w:right w:val="single" w:sz="4" w:space="0" w:color="000000"/>
            </w:tcBorders>
            <w:hideMark/>
          </w:tcPr>
          <w:p w14:paraId="438B906C"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MSWord or PowerPoint</w:t>
            </w:r>
          </w:p>
        </w:tc>
        <w:tc>
          <w:tcPr>
            <w:tcW w:w="1312" w:type="dxa"/>
            <w:tcBorders>
              <w:top w:val="single" w:sz="4" w:space="0" w:color="000000"/>
              <w:left w:val="single" w:sz="4" w:space="0" w:color="000000"/>
              <w:bottom w:val="single" w:sz="4" w:space="0" w:color="000000"/>
              <w:right w:val="single" w:sz="4" w:space="0" w:color="000000"/>
            </w:tcBorders>
            <w:hideMark/>
          </w:tcPr>
          <w:p w14:paraId="5C30589F"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1</w:t>
            </w:r>
          </w:p>
        </w:tc>
        <w:tc>
          <w:tcPr>
            <w:tcW w:w="1966" w:type="dxa"/>
            <w:tcBorders>
              <w:top w:val="single" w:sz="4" w:space="0" w:color="000000"/>
              <w:left w:val="single" w:sz="4" w:space="0" w:color="000000"/>
              <w:bottom w:val="single" w:sz="4" w:space="0" w:color="000000"/>
              <w:right w:val="single" w:sz="4" w:space="0" w:color="000000"/>
            </w:tcBorders>
            <w:hideMark/>
          </w:tcPr>
          <w:p w14:paraId="45C4C05A" w14:textId="2504EEC8" w:rsidR="007F0CA4" w:rsidRPr="007F0CA4" w:rsidRDefault="00E86EF5" w:rsidP="00B939A0">
            <w:pPr>
              <w:spacing w:before="120" w:after="120"/>
              <w:ind w:left="86"/>
              <w:jc w:val="center"/>
              <w:rPr>
                <w:rFonts w:ascii="Arial" w:hAnsi="Arial" w:cs="Arial"/>
              </w:rPr>
            </w:pPr>
            <w:r w:rsidRPr="007F0CA4">
              <w:rPr>
                <w:rFonts w:ascii="Arial" w:hAnsi="Arial" w:cs="Arial"/>
              </w:rPr>
              <w:t xml:space="preserve">12 months from </w:t>
            </w:r>
            <w:r>
              <w:rPr>
                <w:rFonts w:ascii="Arial" w:hAnsi="Arial" w:cs="Arial"/>
              </w:rPr>
              <w:t>start of award POP</w:t>
            </w:r>
          </w:p>
        </w:tc>
      </w:tr>
      <w:tr w:rsidR="007F0CA4" w:rsidRPr="007F0CA4" w14:paraId="66086EBC" w14:textId="77777777" w:rsidTr="00373D93">
        <w:trPr>
          <w:trHeight w:val="432"/>
          <w:jc w:val="center"/>
        </w:trPr>
        <w:tc>
          <w:tcPr>
            <w:tcW w:w="1606" w:type="dxa"/>
            <w:tcBorders>
              <w:top w:val="single" w:sz="4" w:space="0" w:color="auto"/>
              <w:left w:val="single" w:sz="4" w:space="0" w:color="auto"/>
              <w:bottom w:val="single" w:sz="4" w:space="0" w:color="auto"/>
              <w:right w:val="single" w:sz="4" w:space="0" w:color="auto"/>
            </w:tcBorders>
            <w:vAlign w:val="center"/>
          </w:tcPr>
          <w:p w14:paraId="2394EFC2" w14:textId="422395D8" w:rsidR="007F0CA4" w:rsidRPr="007F0CA4" w:rsidRDefault="00DA23D3" w:rsidP="00B939A0">
            <w:pPr>
              <w:spacing w:before="120" w:after="120"/>
              <w:ind w:left="86"/>
              <w:jc w:val="center"/>
              <w:rPr>
                <w:rFonts w:ascii="Arial" w:hAnsi="Arial" w:cs="Arial"/>
              </w:rPr>
            </w:pPr>
            <w:r>
              <w:rPr>
                <w:rFonts w:ascii="Arial" w:hAnsi="Arial" w:cs="Arial"/>
              </w:rPr>
              <w:t>2</w:t>
            </w:r>
          </w:p>
        </w:tc>
        <w:tc>
          <w:tcPr>
            <w:tcW w:w="4836" w:type="dxa"/>
            <w:tcBorders>
              <w:top w:val="single" w:sz="4" w:space="0" w:color="000000"/>
              <w:left w:val="single" w:sz="4" w:space="0" w:color="000000"/>
              <w:bottom w:val="single" w:sz="4" w:space="0" w:color="000000"/>
              <w:right w:val="single" w:sz="4" w:space="0" w:color="000000"/>
            </w:tcBorders>
          </w:tcPr>
          <w:p w14:paraId="23BE9FFF" w14:textId="77777777" w:rsidR="007F0CA4" w:rsidRPr="007F0CA4" w:rsidRDefault="007F0CA4" w:rsidP="00B939A0">
            <w:pPr>
              <w:spacing w:before="120" w:after="120"/>
              <w:ind w:left="86"/>
              <w:rPr>
                <w:rFonts w:ascii="Arial" w:hAnsi="Arial" w:cs="Arial"/>
              </w:rPr>
            </w:pPr>
            <w:r w:rsidRPr="007F0CA4">
              <w:rPr>
                <w:rFonts w:ascii="Arial" w:hAnsi="Arial" w:cs="Arial"/>
              </w:rPr>
              <w:t xml:space="preserve">Monthly Progress Report </w:t>
            </w:r>
          </w:p>
        </w:tc>
        <w:tc>
          <w:tcPr>
            <w:tcW w:w="1530" w:type="dxa"/>
            <w:tcBorders>
              <w:top w:val="single" w:sz="4" w:space="0" w:color="000000"/>
              <w:left w:val="single" w:sz="4" w:space="0" w:color="000000"/>
              <w:bottom w:val="single" w:sz="4" w:space="0" w:color="000000"/>
              <w:right w:val="single" w:sz="4" w:space="0" w:color="000000"/>
            </w:tcBorders>
          </w:tcPr>
          <w:p w14:paraId="630CCE27" w14:textId="7D5D6FD0" w:rsidR="007F0CA4" w:rsidRPr="007F0CA4" w:rsidRDefault="007F0CA4" w:rsidP="00B939A0">
            <w:pPr>
              <w:spacing w:before="120" w:after="120"/>
              <w:ind w:left="86"/>
              <w:jc w:val="center"/>
              <w:rPr>
                <w:rFonts w:ascii="Arial" w:hAnsi="Arial" w:cs="Arial"/>
              </w:rPr>
            </w:pPr>
            <w:r w:rsidRPr="007F0CA4">
              <w:rPr>
                <w:rFonts w:ascii="Arial" w:hAnsi="Arial" w:cs="Arial"/>
              </w:rPr>
              <w:t xml:space="preserve">MSWord via email </w:t>
            </w:r>
          </w:p>
        </w:tc>
        <w:tc>
          <w:tcPr>
            <w:tcW w:w="1312" w:type="dxa"/>
            <w:tcBorders>
              <w:top w:val="single" w:sz="4" w:space="0" w:color="000000"/>
              <w:left w:val="single" w:sz="4" w:space="0" w:color="000000"/>
              <w:bottom w:val="single" w:sz="4" w:space="0" w:color="000000"/>
              <w:right w:val="single" w:sz="4" w:space="0" w:color="000000"/>
            </w:tcBorders>
          </w:tcPr>
          <w:p w14:paraId="7D4DAA2C"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1/month</w:t>
            </w:r>
          </w:p>
        </w:tc>
        <w:tc>
          <w:tcPr>
            <w:tcW w:w="1966" w:type="dxa"/>
            <w:tcBorders>
              <w:top w:val="single" w:sz="4" w:space="0" w:color="000000"/>
              <w:left w:val="single" w:sz="4" w:space="0" w:color="000000"/>
              <w:bottom w:val="single" w:sz="4" w:space="0" w:color="000000"/>
              <w:right w:val="single" w:sz="4" w:space="0" w:color="000000"/>
            </w:tcBorders>
          </w:tcPr>
          <w:p w14:paraId="27864B6D" w14:textId="77777777" w:rsidR="007F0CA4" w:rsidRPr="007F0CA4" w:rsidRDefault="007F0CA4" w:rsidP="00B939A0">
            <w:pPr>
              <w:spacing w:before="120" w:after="120"/>
              <w:ind w:left="86"/>
              <w:jc w:val="center"/>
              <w:rPr>
                <w:rFonts w:ascii="Arial" w:hAnsi="Arial" w:cs="Arial"/>
              </w:rPr>
            </w:pPr>
            <w:r w:rsidRPr="007F0CA4">
              <w:rPr>
                <w:rFonts w:ascii="Arial" w:hAnsi="Arial" w:cs="Arial"/>
              </w:rPr>
              <w:t>Monthly</w:t>
            </w:r>
          </w:p>
        </w:tc>
      </w:tr>
    </w:tbl>
    <w:p w14:paraId="1EA46388" w14:textId="574BC846" w:rsidR="00566D73" w:rsidRPr="00A86E66" w:rsidRDefault="00566D73" w:rsidP="00C621D2">
      <w:pPr>
        <w:tabs>
          <w:tab w:val="left" w:pos="803"/>
        </w:tabs>
        <w:rPr>
          <w:rFonts w:ascii="Arial" w:hAnsi="Arial" w:cs="Arial"/>
        </w:rPr>
      </w:pPr>
    </w:p>
    <w:p w14:paraId="4CFF5588" w14:textId="77777777" w:rsidR="00566D73" w:rsidRPr="00A86E66" w:rsidRDefault="00566D73" w:rsidP="00566D73">
      <w:pPr>
        <w:rPr>
          <w:rFonts w:ascii="Arial" w:hAnsi="Arial" w:cs="Arial"/>
        </w:rPr>
      </w:pPr>
    </w:p>
    <w:p w14:paraId="7A812EE6" w14:textId="77777777" w:rsidR="00566D73" w:rsidRPr="00A86E66" w:rsidRDefault="00566D73" w:rsidP="00566D73">
      <w:pPr>
        <w:rPr>
          <w:rFonts w:ascii="Arial" w:hAnsi="Arial" w:cs="Arial"/>
          <w:b/>
          <w:bCs/>
        </w:rPr>
      </w:pPr>
      <w:r w:rsidRPr="00A86E66">
        <w:rPr>
          <w:rFonts w:ascii="Arial" w:hAnsi="Arial" w:cs="Arial"/>
          <w:b/>
          <w:bCs/>
        </w:rPr>
        <w:t>STANDARDS FOR ACCEPTANCE OF DELIVERABLES</w:t>
      </w:r>
    </w:p>
    <w:p w14:paraId="678C3C30" w14:textId="1385A7FD" w:rsidR="00566D73" w:rsidRPr="00B81D92" w:rsidRDefault="00566D73" w:rsidP="00B81D92">
      <w:pPr>
        <w:spacing w:before="240"/>
        <w:outlineLvl w:val="0"/>
        <w:rPr>
          <w:rFonts w:ascii="Arial" w:hAnsi="Arial" w:cs="Arial"/>
        </w:rPr>
      </w:pPr>
      <w:r w:rsidRPr="00A86E66">
        <w:rPr>
          <w:rFonts w:ascii="Arial" w:hAnsi="Arial" w:cs="Arial"/>
        </w:rPr>
        <w:t xml:space="preserve">As tasks and deliverables are completed, the Contractor shall submit the deliverables for review to the NIST COR. The COR will provide comments on any given deliverable within </w:t>
      </w:r>
      <w:r w:rsidR="00D3348E">
        <w:rPr>
          <w:rFonts w:ascii="Arial" w:hAnsi="Arial" w:cs="Arial"/>
        </w:rPr>
        <w:t>7</w:t>
      </w:r>
      <w:r w:rsidRPr="00A86E66">
        <w:rPr>
          <w:rFonts w:ascii="Arial" w:hAnsi="Arial" w:cs="Arial"/>
        </w:rPr>
        <w:t xml:space="preserve"> calendar days after receipt. The Contractor shall revise and resubmit the deliverable(s) within </w:t>
      </w:r>
      <w:r w:rsidR="00D3348E">
        <w:rPr>
          <w:rFonts w:ascii="Arial" w:hAnsi="Arial" w:cs="Arial"/>
        </w:rPr>
        <w:t>7</w:t>
      </w:r>
      <w:r w:rsidRPr="00A86E66">
        <w:rPr>
          <w:rFonts w:ascii="Arial" w:hAnsi="Arial" w:cs="Arial"/>
        </w:rPr>
        <w:t xml:space="preserve"> calendars after receipt of COR feedback. All revisions shall be made at no additional cost to the Government. The COR will provide notification when deliverables are accepted. </w:t>
      </w:r>
    </w:p>
    <w:p w14:paraId="0B134B82" w14:textId="3C60B9A9" w:rsidR="003120B9" w:rsidRPr="00A86E66" w:rsidRDefault="003120B9" w:rsidP="003120B9">
      <w:pPr>
        <w:rPr>
          <w:rFonts w:ascii="Arial" w:hAnsi="Arial" w:cs="Arial"/>
        </w:rPr>
      </w:pPr>
    </w:p>
    <w:p w14:paraId="507A965F" w14:textId="2E39E985" w:rsidR="00C621D2" w:rsidRDefault="00C621D2" w:rsidP="00031AE6">
      <w:pPr>
        <w:rPr>
          <w:rFonts w:ascii="Arial" w:hAnsi="Arial" w:cs="Arial"/>
          <w:b/>
          <w:bCs/>
        </w:rPr>
      </w:pPr>
      <w:r>
        <w:rPr>
          <w:rFonts w:ascii="Arial" w:hAnsi="Arial" w:cs="Arial"/>
          <w:b/>
          <w:bCs/>
        </w:rPr>
        <w:t>PERFORMANCE REQUIREMENTS SUMMARY</w:t>
      </w:r>
      <w:r>
        <w:rPr>
          <w:rFonts w:ascii="Arial" w:hAnsi="Arial" w:cs="Arial"/>
          <w:b/>
          <w:bCs/>
        </w:rPr>
        <w:br/>
      </w:r>
    </w:p>
    <w:tbl>
      <w:tblPr>
        <w:tblStyle w:val="TableGrid"/>
        <w:tblW w:w="11250" w:type="dxa"/>
        <w:jc w:val="center"/>
        <w:tblLook w:val="04A0" w:firstRow="1" w:lastRow="0" w:firstColumn="1" w:lastColumn="0" w:noHBand="0" w:noVBand="1"/>
      </w:tblPr>
      <w:tblGrid>
        <w:gridCol w:w="1380"/>
        <w:gridCol w:w="1937"/>
        <w:gridCol w:w="3149"/>
        <w:gridCol w:w="2669"/>
        <w:gridCol w:w="2115"/>
      </w:tblGrid>
      <w:tr w:rsidR="00673DB9" w:rsidRPr="00C621D2" w14:paraId="4E86B03E" w14:textId="77777777" w:rsidTr="00B81D92">
        <w:trPr>
          <w:jc w:val="center"/>
        </w:trPr>
        <w:tc>
          <w:tcPr>
            <w:tcW w:w="1380" w:type="dxa"/>
            <w:vAlign w:val="center"/>
          </w:tcPr>
          <w:p w14:paraId="09E78C69" w14:textId="77777777" w:rsidR="00C621D2" w:rsidRPr="00C621D2" w:rsidRDefault="00C621D2" w:rsidP="00B939A0">
            <w:pPr>
              <w:spacing w:before="120" w:after="120"/>
              <w:jc w:val="center"/>
              <w:rPr>
                <w:rFonts w:ascii="Arial" w:hAnsi="Arial" w:cs="Arial"/>
                <w:b/>
                <w:bCs/>
              </w:rPr>
            </w:pPr>
            <w:r w:rsidRPr="00C621D2">
              <w:rPr>
                <w:rFonts w:ascii="Arial" w:hAnsi="Arial" w:cs="Arial"/>
                <w:b/>
                <w:bCs/>
              </w:rPr>
              <w:t>Task Number</w:t>
            </w:r>
          </w:p>
        </w:tc>
        <w:tc>
          <w:tcPr>
            <w:tcW w:w="1937" w:type="dxa"/>
          </w:tcPr>
          <w:p w14:paraId="13026014" w14:textId="77777777" w:rsidR="00C621D2" w:rsidRPr="00C621D2" w:rsidRDefault="00C621D2" w:rsidP="00B939A0">
            <w:pPr>
              <w:spacing w:before="120" w:after="120"/>
              <w:ind w:left="-30"/>
              <w:jc w:val="center"/>
              <w:rPr>
                <w:rFonts w:ascii="Arial" w:hAnsi="Arial" w:cs="Arial"/>
                <w:b/>
                <w:bCs/>
              </w:rPr>
            </w:pPr>
            <w:r w:rsidRPr="00C621D2">
              <w:rPr>
                <w:rFonts w:ascii="Arial" w:hAnsi="Arial" w:cs="Arial"/>
                <w:b/>
                <w:bCs/>
              </w:rPr>
              <w:t>Desired                            Output</w:t>
            </w:r>
          </w:p>
        </w:tc>
        <w:tc>
          <w:tcPr>
            <w:tcW w:w="3149" w:type="dxa"/>
          </w:tcPr>
          <w:p w14:paraId="5D2CA120" w14:textId="4E01AFC1" w:rsidR="00C621D2" w:rsidRPr="00C621D2" w:rsidRDefault="00C621D2" w:rsidP="00B939A0">
            <w:pPr>
              <w:spacing w:before="120" w:after="120"/>
              <w:jc w:val="center"/>
              <w:rPr>
                <w:rFonts w:ascii="Arial" w:hAnsi="Arial" w:cs="Arial"/>
                <w:b/>
                <w:bCs/>
              </w:rPr>
            </w:pPr>
            <w:r w:rsidRPr="00C621D2">
              <w:rPr>
                <w:rFonts w:ascii="Arial" w:hAnsi="Arial" w:cs="Arial"/>
                <w:b/>
                <w:bCs/>
              </w:rPr>
              <w:t>Required Service</w:t>
            </w:r>
          </w:p>
        </w:tc>
        <w:tc>
          <w:tcPr>
            <w:tcW w:w="2669" w:type="dxa"/>
          </w:tcPr>
          <w:p w14:paraId="142E3BDE" w14:textId="77777777" w:rsidR="00C621D2" w:rsidRPr="00C621D2" w:rsidRDefault="00C621D2" w:rsidP="00B939A0">
            <w:pPr>
              <w:spacing w:before="120" w:after="120"/>
              <w:jc w:val="center"/>
              <w:rPr>
                <w:rFonts w:ascii="Arial" w:hAnsi="Arial" w:cs="Arial"/>
                <w:b/>
                <w:bCs/>
              </w:rPr>
            </w:pPr>
            <w:r w:rsidRPr="00C621D2">
              <w:rPr>
                <w:rFonts w:ascii="Arial" w:hAnsi="Arial" w:cs="Arial"/>
                <w:b/>
                <w:bCs/>
              </w:rPr>
              <w:t>Performance Standard</w:t>
            </w:r>
          </w:p>
        </w:tc>
        <w:tc>
          <w:tcPr>
            <w:tcW w:w="2115" w:type="dxa"/>
          </w:tcPr>
          <w:p w14:paraId="4CBB750F" w14:textId="77777777" w:rsidR="00C621D2" w:rsidRPr="00C621D2" w:rsidRDefault="00C621D2" w:rsidP="00B939A0">
            <w:pPr>
              <w:spacing w:before="120" w:after="120"/>
              <w:jc w:val="center"/>
              <w:rPr>
                <w:rFonts w:ascii="Arial" w:hAnsi="Arial" w:cs="Arial"/>
                <w:b/>
                <w:bCs/>
              </w:rPr>
            </w:pPr>
            <w:r w:rsidRPr="00C621D2">
              <w:rPr>
                <w:rFonts w:ascii="Arial" w:hAnsi="Arial" w:cs="Arial"/>
                <w:b/>
                <w:bCs/>
              </w:rPr>
              <w:t>Monitoring Method</w:t>
            </w:r>
          </w:p>
        </w:tc>
      </w:tr>
      <w:tr w:rsidR="00673DB9" w:rsidRPr="00C621D2" w14:paraId="3C889619" w14:textId="77777777" w:rsidTr="00B81D92">
        <w:trPr>
          <w:trHeight w:val="432"/>
          <w:jc w:val="center"/>
        </w:trPr>
        <w:tc>
          <w:tcPr>
            <w:tcW w:w="1380" w:type="dxa"/>
            <w:tcBorders>
              <w:bottom w:val="single" w:sz="4" w:space="0" w:color="auto"/>
            </w:tcBorders>
            <w:shd w:val="clear" w:color="auto" w:fill="auto"/>
            <w:vAlign w:val="center"/>
          </w:tcPr>
          <w:p w14:paraId="202414AA" w14:textId="457031FE" w:rsidR="00C621D2" w:rsidRPr="00C621D2" w:rsidRDefault="00C621D2" w:rsidP="00B939A0">
            <w:pPr>
              <w:spacing w:before="120" w:after="120"/>
              <w:ind w:left="270"/>
              <w:jc w:val="center"/>
              <w:rPr>
                <w:rFonts w:ascii="Arial" w:hAnsi="Arial" w:cs="Arial"/>
              </w:rPr>
            </w:pPr>
            <w:r w:rsidRPr="00C621D2">
              <w:rPr>
                <w:rFonts w:ascii="Arial" w:hAnsi="Arial" w:cs="Arial"/>
              </w:rPr>
              <w:t>1-</w:t>
            </w:r>
            <w:r w:rsidR="00DA23D3">
              <w:rPr>
                <w:rFonts w:ascii="Arial" w:hAnsi="Arial" w:cs="Arial"/>
              </w:rPr>
              <w:t>a</w:t>
            </w:r>
          </w:p>
        </w:tc>
        <w:tc>
          <w:tcPr>
            <w:tcW w:w="1937" w:type="dxa"/>
            <w:tcBorders>
              <w:bottom w:val="single" w:sz="4" w:space="0" w:color="auto"/>
            </w:tcBorders>
            <w:shd w:val="clear" w:color="auto" w:fill="auto"/>
          </w:tcPr>
          <w:p w14:paraId="233984F1" w14:textId="77777777" w:rsidR="00C621D2" w:rsidRPr="00C621D2" w:rsidRDefault="00C621D2" w:rsidP="00B939A0">
            <w:pPr>
              <w:ind w:left="-30"/>
              <w:rPr>
                <w:rFonts w:ascii="Arial" w:hAnsi="Arial" w:cs="Arial"/>
              </w:rPr>
            </w:pPr>
            <w:r w:rsidRPr="00C621D2">
              <w:rPr>
                <w:rFonts w:ascii="Arial" w:hAnsi="Arial" w:cs="Arial"/>
              </w:rPr>
              <w:t>Develop and evaluate edge and distributed learning techniques</w:t>
            </w:r>
          </w:p>
        </w:tc>
        <w:tc>
          <w:tcPr>
            <w:tcW w:w="3149" w:type="dxa"/>
            <w:tcBorders>
              <w:bottom w:val="single" w:sz="4" w:space="0" w:color="auto"/>
            </w:tcBorders>
            <w:shd w:val="clear" w:color="auto" w:fill="auto"/>
          </w:tcPr>
          <w:p w14:paraId="70ADDA74" w14:textId="77777777" w:rsidR="00C621D2" w:rsidRPr="00C621D2" w:rsidRDefault="00C621D2" w:rsidP="00B939A0">
            <w:pPr>
              <w:rPr>
                <w:rFonts w:ascii="Arial" w:hAnsi="Arial" w:cs="Arial"/>
              </w:rPr>
            </w:pPr>
            <w:r w:rsidRPr="00C621D2">
              <w:rPr>
                <w:rFonts w:ascii="Arial" w:eastAsiaTheme="minorEastAsia" w:hAnsi="Arial" w:cs="Arial"/>
                <w:bCs/>
              </w:rPr>
              <w:t>Develop and conduct mathematical and experimental evaluation of new edge and distributed learning algorithms for supporting 5G/6G networks and selected applications</w:t>
            </w:r>
          </w:p>
        </w:tc>
        <w:tc>
          <w:tcPr>
            <w:tcW w:w="2669" w:type="dxa"/>
            <w:tcBorders>
              <w:bottom w:val="single" w:sz="4" w:space="0" w:color="auto"/>
            </w:tcBorders>
            <w:shd w:val="clear" w:color="auto" w:fill="auto"/>
          </w:tcPr>
          <w:p w14:paraId="58A28A3A" w14:textId="77777777" w:rsidR="00C621D2" w:rsidRPr="00C621D2" w:rsidRDefault="00C621D2" w:rsidP="00B939A0">
            <w:pPr>
              <w:rPr>
                <w:rFonts w:ascii="Arial" w:eastAsiaTheme="minorEastAsia" w:hAnsi="Arial" w:cs="Arial"/>
                <w:bCs/>
              </w:rPr>
            </w:pPr>
            <w:r w:rsidRPr="00C621D2">
              <w:rPr>
                <w:rFonts w:ascii="Arial" w:eastAsiaTheme="minorEastAsia" w:hAnsi="Arial" w:cs="Arial"/>
                <w:bCs/>
              </w:rPr>
              <w:t>Documentation and demonstration of the new algorithms and their applications.</w:t>
            </w:r>
          </w:p>
          <w:p w14:paraId="6E9DB719" w14:textId="77777777" w:rsidR="00C621D2" w:rsidRPr="00C621D2" w:rsidRDefault="00C621D2" w:rsidP="00B939A0">
            <w:pPr>
              <w:rPr>
                <w:rFonts w:ascii="Arial" w:hAnsi="Arial" w:cs="Arial"/>
              </w:rPr>
            </w:pPr>
          </w:p>
        </w:tc>
        <w:tc>
          <w:tcPr>
            <w:tcW w:w="2115" w:type="dxa"/>
            <w:tcBorders>
              <w:bottom w:val="single" w:sz="4" w:space="0" w:color="auto"/>
            </w:tcBorders>
            <w:shd w:val="clear" w:color="auto" w:fill="auto"/>
          </w:tcPr>
          <w:p w14:paraId="338626BB" w14:textId="77777777" w:rsidR="00C621D2" w:rsidRPr="00C621D2" w:rsidRDefault="00C621D2" w:rsidP="00B939A0">
            <w:pPr>
              <w:rPr>
                <w:rFonts w:ascii="Arial" w:hAnsi="Arial" w:cs="Arial"/>
              </w:rPr>
            </w:pPr>
            <w:r w:rsidRPr="00C621D2">
              <w:rPr>
                <w:rFonts w:ascii="Arial" w:eastAsiaTheme="minorEastAsia" w:hAnsi="Arial" w:cs="Arial"/>
                <w:bCs/>
              </w:rPr>
              <w:t>NIST COR shall review the progress of the AV evaluation effort and determine its acceptability</w:t>
            </w:r>
          </w:p>
        </w:tc>
      </w:tr>
      <w:tr w:rsidR="00673DB9" w:rsidRPr="00C621D2" w14:paraId="449DAFC6" w14:textId="77777777" w:rsidTr="00B81D92">
        <w:trPr>
          <w:trHeight w:val="432"/>
          <w:jc w:val="center"/>
        </w:trPr>
        <w:tc>
          <w:tcPr>
            <w:tcW w:w="1380" w:type="dxa"/>
            <w:tcBorders>
              <w:bottom w:val="single" w:sz="4" w:space="0" w:color="auto"/>
            </w:tcBorders>
            <w:shd w:val="clear" w:color="auto" w:fill="auto"/>
            <w:vAlign w:val="center"/>
          </w:tcPr>
          <w:p w14:paraId="5EF2FF78" w14:textId="2EE0EBA0" w:rsidR="00C621D2" w:rsidRPr="00C621D2" w:rsidRDefault="00C621D2" w:rsidP="00B939A0">
            <w:pPr>
              <w:spacing w:before="120" w:after="120"/>
              <w:ind w:left="270"/>
              <w:jc w:val="center"/>
              <w:rPr>
                <w:rFonts w:ascii="Arial" w:hAnsi="Arial" w:cs="Arial"/>
              </w:rPr>
            </w:pPr>
            <w:r w:rsidRPr="00C621D2">
              <w:rPr>
                <w:rFonts w:ascii="Arial" w:hAnsi="Arial" w:cs="Arial"/>
              </w:rPr>
              <w:t>1-</w:t>
            </w:r>
            <w:r w:rsidR="00DA23D3">
              <w:rPr>
                <w:rFonts w:ascii="Arial" w:hAnsi="Arial" w:cs="Arial"/>
              </w:rPr>
              <w:t>b</w:t>
            </w:r>
          </w:p>
        </w:tc>
        <w:tc>
          <w:tcPr>
            <w:tcW w:w="1937" w:type="dxa"/>
            <w:tcBorders>
              <w:bottom w:val="single" w:sz="4" w:space="0" w:color="auto"/>
            </w:tcBorders>
            <w:shd w:val="clear" w:color="auto" w:fill="auto"/>
          </w:tcPr>
          <w:p w14:paraId="2B3F75E3" w14:textId="77777777" w:rsidR="00C621D2" w:rsidRPr="00C621D2" w:rsidRDefault="00C621D2" w:rsidP="00B939A0">
            <w:pPr>
              <w:ind w:left="-30"/>
              <w:rPr>
                <w:rFonts w:ascii="Arial" w:hAnsi="Arial" w:cs="Arial"/>
              </w:rPr>
            </w:pPr>
            <w:r w:rsidRPr="00C621D2">
              <w:rPr>
                <w:rFonts w:ascii="Arial" w:hAnsi="Arial" w:cs="Arial"/>
              </w:rPr>
              <w:t>Design E2E QoS assurance algorithms</w:t>
            </w:r>
          </w:p>
        </w:tc>
        <w:tc>
          <w:tcPr>
            <w:tcW w:w="3149" w:type="dxa"/>
            <w:tcBorders>
              <w:bottom w:val="single" w:sz="4" w:space="0" w:color="auto"/>
            </w:tcBorders>
            <w:shd w:val="clear" w:color="auto" w:fill="auto"/>
          </w:tcPr>
          <w:p w14:paraId="3C9A5065" w14:textId="77777777" w:rsidR="00C621D2" w:rsidRPr="00C621D2" w:rsidRDefault="00C621D2" w:rsidP="00B939A0">
            <w:pPr>
              <w:rPr>
                <w:rFonts w:ascii="Arial" w:hAnsi="Arial" w:cs="Arial"/>
              </w:rPr>
            </w:pPr>
            <w:r w:rsidRPr="00C621D2">
              <w:rPr>
                <w:rFonts w:ascii="Arial" w:hAnsi="Arial" w:cs="Arial"/>
              </w:rPr>
              <w:t xml:space="preserve">Develop and conduct mathematical and experimental evaluation of new techniques for supporting E2E service </w:t>
            </w:r>
            <w:r w:rsidRPr="00C621D2">
              <w:rPr>
                <w:rFonts w:ascii="Arial" w:hAnsi="Arial" w:cs="Arial"/>
              </w:rPr>
              <w:lastRenderedPageBreak/>
              <w:t xml:space="preserve">assurance for 5G/6G networks and selected applications. </w:t>
            </w:r>
          </w:p>
        </w:tc>
        <w:tc>
          <w:tcPr>
            <w:tcW w:w="2669" w:type="dxa"/>
            <w:tcBorders>
              <w:bottom w:val="single" w:sz="4" w:space="0" w:color="auto"/>
            </w:tcBorders>
            <w:shd w:val="clear" w:color="auto" w:fill="auto"/>
          </w:tcPr>
          <w:p w14:paraId="070AFEBF" w14:textId="77777777" w:rsidR="00C621D2" w:rsidRPr="00C621D2" w:rsidRDefault="00C621D2" w:rsidP="00B939A0">
            <w:pPr>
              <w:rPr>
                <w:rFonts w:ascii="Arial" w:hAnsi="Arial" w:cs="Arial"/>
              </w:rPr>
            </w:pPr>
            <w:r w:rsidRPr="00C621D2">
              <w:rPr>
                <w:rFonts w:ascii="Arial" w:hAnsi="Arial" w:cs="Arial"/>
              </w:rPr>
              <w:lastRenderedPageBreak/>
              <w:t>Documentation and demonstration of the new algorithms and their applications.</w:t>
            </w:r>
          </w:p>
        </w:tc>
        <w:tc>
          <w:tcPr>
            <w:tcW w:w="2115" w:type="dxa"/>
            <w:tcBorders>
              <w:bottom w:val="single" w:sz="4" w:space="0" w:color="auto"/>
            </w:tcBorders>
            <w:shd w:val="clear" w:color="auto" w:fill="auto"/>
          </w:tcPr>
          <w:p w14:paraId="4BDBA6E0" w14:textId="134C6AED" w:rsidR="00C621D2" w:rsidRPr="00C621D2" w:rsidRDefault="00C621D2" w:rsidP="00B939A0">
            <w:pPr>
              <w:rPr>
                <w:rFonts w:ascii="Arial" w:hAnsi="Arial" w:cs="Arial"/>
              </w:rPr>
            </w:pPr>
            <w:r w:rsidRPr="00C621D2">
              <w:rPr>
                <w:rFonts w:ascii="Arial" w:hAnsi="Arial" w:cs="Arial"/>
              </w:rPr>
              <w:t xml:space="preserve">NIST COR shall periodically review the progress of the study and </w:t>
            </w:r>
            <w:r w:rsidRPr="00C621D2">
              <w:rPr>
                <w:rFonts w:ascii="Arial" w:hAnsi="Arial" w:cs="Arial"/>
              </w:rPr>
              <w:lastRenderedPageBreak/>
              <w:t>determine acceptability</w:t>
            </w:r>
          </w:p>
        </w:tc>
      </w:tr>
      <w:tr w:rsidR="00673DB9" w:rsidRPr="00C621D2" w14:paraId="025FA25D" w14:textId="77777777" w:rsidTr="00B81D92">
        <w:trPr>
          <w:trHeight w:val="432"/>
          <w:jc w:val="center"/>
        </w:trPr>
        <w:tc>
          <w:tcPr>
            <w:tcW w:w="1380" w:type="dxa"/>
            <w:tcBorders>
              <w:bottom w:val="single" w:sz="4" w:space="0" w:color="auto"/>
            </w:tcBorders>
            <w:shd w:val="clear" w:color="auto" w:fill="auto"/>
            <w:vAlign w:val="center"/>
          </w:tcPr>
          <w:p w14:paraId="706D14F2" w14:textId="497519B4" w:rsidR="00C621D2" w:rsidRPr="00C621D2" w:rsidRDefault="00C621D2" w:rsidP="00B939A0">
            <w:pPr>
              <w:spacing w:before="120" w:after="120"/>
              <w:ind w:left="270"/>
              <w:jc w:val="center"/>
              <w:rPr>
                <w:rFonts w:ascii="Arial" w:hAnsi="Arial" w:cs="Arial"/>
              </w:rPr>
            </w:pPr>
            <w:r w:rsidRPr="00C621D2">
              <w:rPr>
                <w:rFonts w:ascii="Arial" w:hAnsi="Arial" w:cs="Arial"/>
              </w:rPr>
              <w:lastRenderedPageBreak/>
              <w:t>1-</w:t>
            </w:r>
            <w:r w:rsidR="00DA23D3">
              <w:rPr>
                <w:rFonts w:ascii="Arial" w:hAnsi="Arial" w:cs="Arial"/>
              </w:rPr>
              <w:t>c</w:t>
            </w:r>
          </w:p>
        </w:tc>
        <w:tc>
          <w:tcPr>
            <w:tcW w:w="1937" w:type="dxa"/>
            <w:tcBorders>
              <w:bottom w:val="single" w:sz="4" w:space="0" w:color="auto"/>
            </w:tcBorders>
            <w:shd w:val="clear" w:color="auto" w:fill="auto"/>
          </w:tcPr>
          <w:p w14:paraId="23C975D6" w14:textId="77777777" w:rsidR="00C621D2" w:rsidRPr="00C621D2" w:rsidRDefault="00C621D2" w:rsidP="00B939A0">
            <w:pPr>
              <w:ind w:left="-30"/>
              <w:rPr>
                <w:rFonts w:ascii="Arial" w:hAnsi="Arial" w:cs="Arial"/>
              </w:rPr>
            </w:pPr>
            <w:r w:rsidRPr="00C621D2">
              <w:rPr>
                <w:rFonts w:ascii="Arial" w:hAnsi="Arial" w:cs="Arial"/>
              </w:rPr>
              <w:t>Develop entanglement routing models for quantum networks</w:t>
            </w:r>
          </w:p>
        </w:tc>
        <w:tc>
          <w:tcPr>
            <w:tcW w:w="3149" w:type="dxa"/>
            <w:tcBorders>
              <w:bottom w:val="single" w:sz="4" w:space="0" w:color="auto"/>
            </w:tcBorders>
            <w:shd w:val="clear" w:color="auto" w:fill="auto"/>
          </w:tcPr>
          <w:p w14:paraId="02BA5834" w14:textId="77777777" w:rsidR="00C621D2" w:rsidRPr="00C621D2" w:rsidRDefault="00C621D2" w:rsidP="00B939A0">
            <w:pPr>
              <w:rPr>
                <w:rFonts w:ascii="Arial" w:hAnsi="Arial" w:cs="Arial"/>
              </w:rPr>
            </w:pPr>
            <w:r w:rsidRPr="00C621D2">
              <w:rPr>
                <w:rFonts w:ascii="Arial" w:hAnsi="Arial" w:cs="Arial"/>
              </w:rPr>
              <w:t>Develop and conduct mathematical evaluation of new techniques for supporting routing over quantum networks.</w:t>
            </w:r>
          </w:p>
        </w:tc>
        <w:tc>
          <w:tcPr>
            <w:tcW w:w="2669" w:type="dxa"/>
            <w:tcBorders>
              <w:bottom w:val="single" w:sz="4" w:space="0" w:color="auto"/>
            </w:tcBorders>
            <w:shd w:val="clear" w:color="auto" w:fill="auto"/>
          </w:tcPr>
          <w:p w14:paraId="41D684FA" w14:textId="77777777" w:rsidR="00C621D2" w:rsidRPr="00C621D2" w:rsidRDefault="00C621D2" w:rsidP="00B939A0">
            <w:pPr>
              <w:rPr>
                <w:rFonts w:ascii="Arial" w:hAnsi="Arial" w:cs="Arial"/>
              </w:rPr>
            </w:pPr>
            <w:r w:rsidRPr="00C621D2">
              <w:rPr>
                <w:rFonts w:ascii="Arial" w:hAnsi="Arial" w:cs="Arial"/>
              </w:rPr>
              <w:t>Documentation and theoretical evaluation of the new algorithms and their applications</w:t>
            </w:r>
          </w:p>
        </w:tc>
        <w:tc>
          <w:tcPr>
            <w:tcW w:w="2115" w:type="dxa"/>
            <w:tcBorders>
              <w:bottom w:val="single" w:sz="4" w:space="0" w:color="auto"/>
            </w:tcBorders>
            <w:shd w:val="clear" w:color="auto" w:fill="auto"/>
          </w:tcPr>
          <w:p w14:paraId="5DB84C9A" w14:textId="4A6E2C29" w:rsidR="00C621D2" w:rsidRPr="00C621D2" w:rsidRDefault="00C621D2" w:rsidP="00B939A0">
            <w:pPr>
              <w:rPr>
                <w:rFonts w:ascii="Arial" w:hAnsi="Arial" w:cs="Arial"/>
              </w:rPr>
            </w:pPr>
            <w:r w:rsidRPr="00C621D2">
              <w:rPr>
                <w:rFonts w:ascii="Arial" w:hAnsi="Arial" w:cs="Arial"/>
              </w:rPr>
              <w:t>NIST COR shall review the quality of the measurements and determine acceptability</w:t>
            </w:r>
          </w:p>
        </w:tc>
      </w:tr>
      <w:tr w:rsidR="00673DB9" w:rsidRPr="00C621D2" w14:paraId="50C10DEF" w14:textId="77777777" w:rsidTr="00B81D92">
        <w:trPr>
          <w:trHeight w:val="432"/>
          <w:jc w:val="center"/>
        </w:trPr>
        <w:tc>
          <w:tcPr>
            <w:tcW w:w="1380" w:type="dxa"/>
            <w:tcBorders>
              <w:bottom w:val="single" w:sz="4" w:space="0" w:color="auto"/>
            </w:tcBorders>
            <w:shd w:val="clear" w:color="auto" w:fill="auto"/>
            <w:vAlign w:val="center"/>
          </w:tcPr>
          <w:p w14:paraId="7ECA64B1" w14:textId="10FFBDA2" w:rsidR="00D3348E" w:rsidRPr="00C621D2" w:rsidRDefault="00DA23D3" w:rsidP="00B939A0">
            <w:pPr>
              <w:spacing w:before="120" w:after="120"/>
              <w:ind w:left="270"/>
              <w:jc w:val="center"/>
              <w:rPr>
                <w:rFonts w:ascii="Arial" w:hAnsi="Arial" w:cs="Arial"/>
              </w:rPr>
            </w:pPr>
            <w:r>
              <w:rPr>
                <w:rFonts w:ascii="Arial" w:hAnsi="Arial" w:cs="Arial"/>
              </w:rPr>
              <w:t>2</w:t>
            </w:r>
          </w:p>
        </w:tc>
        <w:tc>
          <w:tcPr>
            <w:tcW w:w="1937" w:type="dxa"/>
            <w:tcBorders>
              <w:bottom w:val="single" w:sz="4" w:space="0" w:color="auto"/>
            </w:tcBorders>
            <w:shd w:val="clear" w:color="auto" w:fill="auto"/>
          </w:tcPr>
          <w:p w14:paraId="3585DBDA" w14:textId="63DB8BC4" w:rsidR="00D3348E" w:rsidRPr="00C621D2" w:rsidRDefault="00D3348E" w:rsidP="00B939A0">
            <w:pPr>
              <w:ind w:left="-30"/>
              <w:rPr>
                <w:rFonts w:ascii="Arial" w:hAnsi="Arial" w:cs="Arial"/>
              </w:rPr>
            </w:pPr>
            <w:r>
              <w:rPr>
                <w:rFonts w:ascii="Arial" w:hAnsi="Arial" w:cs="Arial"/>
              </w:rPr>
              <w:t>Progress Reporting</w:t>
            </w:r>
          </w:p>
        </w:tc>
        <w:tc>
          <w:tcPr>
            <w:tcW w:w="3149" w:type="dxa"/>
            <w:tcBorders>
              <w:bottom w:val="single" w:sz="4" w:space="0" w:color="auto"/>
            </w:tcBorders>
            <w:shd w:val="clear" w:color="auto" w:fill="auto"/>
          </w:tcPr>
          <w:p w14:paraId="6B501648" w14:textId="56370081" w:rsidR="00D3348E" w:rsidRPr="00C621D2" w:rsidRDefault="00D3348E" w:rsidP="00B939A0">
            <w:pPr>
              <w:rPr>
                <w:rFonts w:ascii="Arial" w:hAnsi="Arial" w:cs="Arial"/>
              </w:rPr>
            </w:pPr>
            <w:r>
              <w:rPr>
                <w:rFonts w:ascii="Arial" w:hAnsi="Arial" w:cs="Arial"/>
              </w:rPr>
              <w:t>Submit monthly progress reports and participate in weekly status meetings</w:t>
            </w:r>
          </w:p>
        </w:tc>
        <w:tc>
          <w:tcPr>
            <w:tcW w:w="2669" w:type="dxa"/>
            <w:tcBorders>
              <w:bottom w:val="single" w:sz="4" w:space="0" w:color="auto"/>
            </w:tcBorders>
            <w:shd w:val="clear" w:color="auto" w:fill="auto"/>
          </w:tcPr>
          <w:p w14:paraId="7A73AB0F" w14:textId="46E7ECD5" w:rsidR="00D3348E" w:rsidRPr="00C621D2" w:rsidRDefault="00D3348E" w:rsidP="00B939A0">
            <w:pPr>
              <w:rPr>
                <w:rFonts w:ascii="Arial" w:hAnsi="Arial" w:cs="Arial"/>
              </w:rPr>
            </w:pPr>
            <w:r>
              <w:rPr>
                <w:rFonts w:ascii="Arial" w:hAnsi="Arial" w:cs="Arial"/>
              </w:rPr>
              <w:t>Reporting is timely and in accordance with all requirements identified in this document</w:t>
            </w:r>
          </w:p>
        </w:tc>
        <w:tc>
          <w:tcPr>
            <w:tcW w:w="2115" w:type="dxa"/>
            <w:tcBorders>
              <w:bottom w:val="single" w:sz="4" w:space="0" w:color="auto"/>
            </w:tcBorders>
            <w:shd w:val="clear" w:color="auto" w:fill="auto"/>
          </w:tcPr>
          <w:p w14:paraId="427655A9" w14:textId="4E10BED6" w:rsidR="00D3348E" w:rsidRPr="00C621D2" w:rsidRDefault="00D3348E" w:rsidP="00B939A0">
            <w:pPr>
              <w:rPr>
                <w:rFonts w:ascii="Arial" w:hAnsi="Arial" w:cs="Arial"/>
              </w:rPr>
            </w:pPr>
            <w:r>
              <w:rPr>
                <w:rFonts w:ascii="Arial" w:hAnsi="Arial" w:cs="Arial"/>
              </w:rPr>
              <w:t>NIST COR Review</w:t>
            </w:r>
          </w:p>
        </w:tc>
      </w:tr>
    </w:tbl>
    <w:p w14:paraId="47DB03E6" w14:textId="1613E004" w:rsidR="00C621D2" w:rsidRDefault="00C621D2" w:rsidP="00031AE6">
      <w:pPr>
        <w:rPr>
          <w:rFonts w:ascii="Arial" w:hAnsi="Arial" w:cs="Arial"/>
          <w:b/>
          <w:bCs/>
        </w:rPr>
      </w:pPr>
    </w:p>
    <w:p w14:paraId="6681712E" w14:textId="37B542DE" w:rsidR="00031AE6" w:rsidRPr="00A86E66" w:rsidRDefault="00031AE6" w:rsidP="00031AE6">
      <w:pPr>
        <w:rPr>
          <w:rFonts w:ascii="Arial" w:hAnsi="Arial" w:cs="Arial"/>
          <w:b/>
          <w:bCs/>
        </w:rPr>
      </w:pPr>
      <w:r w:rsidRPr="00A86E66">
        <w:rPr>
          <w:rFonts w:ascii="Arial" w:hAnsi="Arial" w:cs="Arial"/>
          <w:b/>
          <w:bCs/>
        </w:rPr>
        <w:t>PERIOD OF PERFORMANCE</w:t>
      </w:r>
    </w:p>
    <w:p w14:paraId="30927D04" w14:textId="50F095E6" w:rsidR="003120B9" w:rsidRPr="00A86E66" w:rsidRDefault="00031AE6" w:rsidP="00031AE6">
      <w:pPr>
        <w:spacing w:before="240"/>
        <w:rPr>
          <w:rFonts w:ascii="Arial" w:hAnsi="Arial" w:cs="Arial"/>
        </w:rPr>
      </w:pPr>
      <w:r w:rsidRPr="00A86E66">
        <w:rPr>
          <w:rFonts w:ascii="Arial" w:hAnsi="Arial" w:cs="Arial"/>
        </w:rPr>
        <w:t xml:space="preserve">The period of performance shall be </w:t>
      </w:r>
      <w:r w:rsidR="00CA6660" w:rsidRPr="00A86E66">
        <w:rPr>
          <w:rFonts w:ascii="Arial" w:hAnsi="Arial" w:cs="Arial"/>
        </w:rPr>
        <w:t xml:space="preserve">for </w:t>
      </w:r>
      <w:r w:rsidR="00566D73" w:rsidRPr="00A86E66">
        <w:rPr>
          <w:rFonts w:ascii="Arial" w:hAnsi="Arial" w:cs="Arial"/>
        </w:rPr>
        <w:t xml:space="preserve">one year from </w:t>
      </w:r>
      <w:r w:rsidR="00C621D2" w:rsidRPr="00C621D2">
        <w:rPr>
          <w:rFonts w:ascii="Arial" w:hAnsi="Arial" w:cs="Arial"/>
        </w:rPr>
        <w:t xml:space="preserve">August 29, </w:t>
      </w:r>
      <w:proofErr w:type="gramStart"/>
      <w:r w:rsidR="00C621D2" w:rsidRPr="00C621D2">
        <w:rPr>
          <w:rFonts w:ascii="Arial" w:hAnsi="Arial" w:cs="Arial"/>
        </w:rPr>
        <w:t>2024</w:t>
      </w:r>
      <w:proofErr w:type="gramEnd"/>
      <w:r w:rsidR="00C621D2" w:rsidRPr="00C621D2">
        <w:rPr>
          <w:rFonts w:ascii="Arial" w:hAnsi="Arial" w:cs="Arial"/>
        </w:rPr>
        <w:t xml:space="preserve"> through August </w:t>
      </w:r>
      <w:r w:rsidR="00ED3ADC">
        <w:rPr>
          <w:rFonts w:ascii="Arial" w:hAnsi="Arial" w:cs="Arial"/>
        </w:rPr>
        <w:t>2</w:t>
      </w:r>
      <w:r w:rsidR="00DA23D3">
        <w:rPr>
          <w:rFonts w:ascii="Arial" w:hAnsi="Arial" w:cs="Arial"/>
        </w:rPr>
        <w:t>8</w:t>
      </w:r>
      <w:r w:rsidR="00C621D2" w:rsidRPr="00C621D2">
        <w:rPr>
          <w:rFonts w:ascii="Arial" w:hAnsi="Arial" w:cs="Arial"/>
        </w:rPr>
        <w:t>, 2025</w:t>
      </w:r>
      <w:r w:rsidR="00566D73" w:rsidRPr="00A86E66">
        <w:rPr>
          <w:rFonts w:ascii="Arial" w:hAnsi="Arial" w:cs="Arial"/>
        </w:rPr>
        <w:t>.</w:t>
      </w:r>
      <w:r w:rsidR="002F1DA5">
        <w:rPr>
          <w:rFonts w:ascii="Arial" w:hAnsi="Arial" w:cs="Arial"/>
        </w:rPr>
        <w:t xml:space="preserve"> </w:t>
      </w:r>
    </w:p>
    <w:p w14:paraId="7799FE50" w14:textId="4C87D7D4" w:rsidR="006C5099" w:rsidRPr="00A86E66" w:rsidRDefault="006C5099" w:rsidP="006C5099">
      <w:pPr>
        <w:spacing w:before="240"/>
        <w:rPr>
          <w:rFonts w:ascii="Arial" w:hAnsi="Arial" w:cs="Arial"/>
          <w:b/>
          <w:bCs/>
        </w:rPr>
      </w:pPr>
      <w:r w:rsidRPr="00A86E66">
        <w:rPr>
          <w:rFonts w:ascii="Arial" w:hAnsi="Arial" w:cs="Arial"/>
          <w:b/>
          <w:bCs/>
        </w:rPr>
        <w:t>PLACE OF PERFORMANCE</w:t>
      </w:r>
    </w:p>
    <w:p w14:paraId="75D95DB1" w14:textId="053B43A5" w:rsidR="00566D73" w:rsidRPr="00A86E66" w:rsidRDefault="003C28FA" w:rsidP="00566D73">
      <w:pPr>
        <w:spacing w:before="240"/>
        <w:rPr>
          <w:rFonts w:ascii="Arial" w:hAnsi="Arial" w:cs="Arial"/>
        </w:rPr>
      </w:pPr>
      <w:r w:rsidRPr="00A86E66">
        <w:rPr>
          <w:rFonts w:ascii="Arial" w:hAnsi="Arial" w:cs="Arial"/>
        </w:rPr>
        <w:t xml:space="preserve">The </w:t>
      </w:r>
      <w:r w:rsidR="00566D73" w:rsidRPr="00A86E66">
        <w:rPr>
          <w:rFonts w:ascii="Arial" w:hAnsi="Arial" w:cs="Arial"/>
        </w:rPr>
        <w:t xml:space="preserve">primary </w:t>
      </w:r>
      <w:r w:rsidRPr="00A86E66">
        <w:rPr>
          <w:rFonts w:ascii="Arial" w:hAnsi="Arial" w:cs="Arial"/>
        </w:rPr>
        <w:t xml:space="preserve">place of performance shall be </w:t>
      </w:r>
      <w:r w:rsidR="00566D73" w:rsidRPr="00A86E66">
        <w:rPr>
          <w:rFonts w:ascii="Arial" w:hAnsi="Arial" w:cs="Arial"/>
        </w:rPr>
        <w:t xml:space="preserve">the NIST campus located at 100 Bureau Drive, Gaithersburg, MD 20899-1640. </w:t>
      </w:r>
      <w:r w:rsidR="00566D73" w:rsidRPr="00A86E66">
        <w:rPr>
          <w:rFonts w:ascii="Arial" w:hAnsi="Arial" w:cs="Arial"/>
        </w:rPr>
        <w:br/>
      </w:r>
      <w:r w:rsidR="00566D73" w:rsidRPr="00A86E66">
        <w:rPr>
          <w:rFonts w:ascii="Arial" w:hAnsi="Arial" w:cs="Arial"/>
        </w:rPr>
        <w:br/>
        <w:t xml:space="preserve">Work may be performed offsite during times when NIST is </w:t>
      </w:r>
      <w:proofErr w:type="gramStart"/>
      <w:r w:rsidR="00566D73" w:rsidRPr="00A86E66">
        <w:rPr>
          <w:rFonts w:ascii="Arial" w:hAnsi="Arial" w:cs="Arial"/>
        </w:rPr>
        <w:t>closed</w:t>
      </w:r>
      <w:proofErr w:type="gramEnd"/>
      <w:r w:rsidR="00566D73" w:rsidRPr="00A86E66">
        <w:rPr>
          <w:rFonts w:ascii="Arial" w:hAnsi="Arial" w:cs="Arial"/>
        </w:rPr>
        <w:t xml:space="preserve"> or access is restricted. Offsite work may also be permitted whenever it is determined to be advantageous to the Government for progress or performance of the work. All offsite work or telework requests must be approved prior by the COR.</w:t>
      </w:r>
    </w:p>
    <w:p w14:paraId="126FB5A9" w14:textId="2EEC4CA8" w:rsidR="003C28FA" w:rsidRPr="00A86E66" w:rsidRDefault="00566D73" w:rsidP="00566D73">
      <w:pPr>
        <w:spacing w:before="240"/>
        <w:rPr>
          <w:rFonts w:ascii="Arial" w:hAnsi="Arial" w:cs="Arial"/>
        </w:rPr>
      </w:pPr>
      <w:r w:rsidRPr="00A86E66">
        <w:rPr>
          <w:rFonts w:ascii="Arial" w:hAnsi="Arial" w:cs="Arial"/>
        </w:rPr>
        <w:t>All work shall be accomplished Monday through Friday except for Federal holidays or other official closures</w:t>
      </w:r>
      <w:r w:rsidRPr="00A86E66">
        <w:rPr>
          <w:rFonts w:ascii="Arial" w:hAnsi="Arial" w:cs="Arial"/>
        </w:rPr>
        <w:br/>
      </w:r>
    </w:p>
    <w:p w14:paraId="62AC7DF1" w14:textId="76A55114" w:rsidR="00A86E66" w:rsidRPr="00060EC8" w:rsidRDefault="00A86E66" w:rsidP="00A86E66">
      <w:pPr>
        <w:rPr>
          <w:rFonts w:ascii="Arial" w:hAnsi="Arial" w:cs="Arial"/>
          <w:b/>
          <w:bCs/>
        </w:rPr>
      </w:pPr>
      <w:r w:rsidRPr="00060EC8">
        <w:rPr>
          <w:rFonts w:ascii="Arial" w:hAnsi="Arial" w:cs="Arial"/>
          <w:b/>
          <w:bCs/>
        </w:rPr>
        <w:t>TRAVEL REQUIREMENTS</w:t>
      </w:r>
    </w:p>
    <w:p w14:paraId="0E686B1C" w14:textId="77777777" w:rsidR="00A86E66" w:rsidRPr="00A86E66" w:rsidRDefault="00A86E66" w:rsidP="00A86E66">
      <w:pPr>
        <w:rPr>
          <w:rFonts w:ascii="Arial" w:hAnsi="Arial" w:cs="Arial"/>
        </w:rPr>
      </w:pPr>
    </w:p>
    <w:p w14:paraId="4F1F7413" w14:textId="5AC1D5A0" w:rsidR="00A86E66" w:rsidRPr="00A86E66" w:rsidRDefault="00A86E66" w:rsidP="00A86E66">
      <w:pPr>
        <w:rPr>
          <w:rFonts w:ascii="Arial" w:hAnsi="Arial" w:cs="Arial"/>
        </w:rPr>
      </w:pPr>
      <w:r w:rsidRPr="00A86E66">
        <w:rPr>
          <w:rFonts w:ascii="Arial" w:hAnsi="Arial" w:cs="Arial"/>
        </w:rPr>
        <w:t xml:space="preserve">NIST anticipates </w:t>
      </w:r>
      <w:r>
        <w:rPr>
          <w:rFonts w:ascii="Arial" w:hAnsi="Arial" w:cs="Arial"/>
        </w:rPr>
        <w:t xml:space="preserve">travel for </w:t>
      </w:r>
      <w:r w:rsidRPr="00A86E66">
        <w:rPr>
          <w:rFonts w:ascii="Arial" w:hAnsi="Arial" w:cs="Arial"/>
        </w:rPr>
        <w:t xml:space="preserve">up to </w:t>
      </w:r>
      <w:r>
        <w:rPr>
          <w:rFonts w:ascii="Arial" w:hAnsi="Arial" w:cs="Arial"/>
        </w:rPr>
        <w:t xml:space="preserve">two </w:t>
      </w:r>
      <w:r w:rsidRPr="00A86E66">
        <w:rPr>
          <w:rFonts w:ascii="Arial" w:hAnsi="Arial" w:cs="Arial"/>
        </w:rPr>
        <w:t xml:space="preserve">domestic trips </w:t>
      </w:r>
      <w:r>
        <w:rPr>
          <w:rFonts w:ascii="Arial" w:hAnsi="Arial" w:cs="Arial"/>
        </w:rPr>
        <w:t>may be to attend conferences</w:t>
      </w:r>
      <w:r w:rsidR="0007521B">
        <w:rPr>
          <w:rFonts w:ascii="Arial" w:hAnsi="Arial" w:cs="Arial"/>
        </w:rPr>
        <w:t xml:space="preserve"> to present the results of research and its impact.</w:t>
      </w:r>
      <w:r>
        <w:rPr>
          <w:rFonts w:ascii="Arial" w:hAnsi="Arial" w:cs="Arial"/>
        </w:rPr>
        <w:t xml:space="preserve"> </w:t>
      </w:r>
      <w:r w:rsidRPr="00A86E66">
        <w:rPr>
          <w:rFonts w:ascii="Arial" w:hAnsi="Arial" w:cs="Arial"/>
        </w:rPr>
        <w:t xml:space="preserve">Each trip is expected to be less than a week in duration. </w:t>
      </w:r>
    </w:p>
    <w:p w14:paraId="04B4E91A" w14:textId="77777777" w:rsidR="00A86E66" w:rsidRPr="00A86E66" w:rsidRDefault="00A86E66" w:rsidP="00A86E66">
      <w:pPr>
        <w:rPr>
          <w:rFonts w:ascii="Arial" w:hAnsi="Arial" w:cs="Arial"/>
        </w:rPr>
      </w:pPr>
    </w:p>
    <w:p w14:paraId="2B5F4903" w14:textId="237D7E98" w:rsidR="00A86E66" w:rsidRPr="00A86E66" w:rsidRDefault="00A86E66" w:rsidP="00A86E66">
      <w:pPr>
        <w:rPr>
          <w:rFonts w:ascii="Arial" w:hAnsi="Arial" w:cs="Arial"/>
        </w:rPr>
      </w:pPr>
      <w:r w:rsidRPr="00A86E66">
        <w:rPr>
          <w:rFonts w:ascii="Arial" w:hAnsi="Arial" w:cs="Arial"/>
        </w:rPr>
        <w:t xml:space="preserve">NIST will provide at least </w:t>
      </w:r>
      <w:r>
        <w:rPr>
          <w:rFonts w:ascii="Arial" w:hAnsi="Arial" w:cs="Arial"/>
        </w:rPr>
        <w:t>three weeks</w:t>
      </w:r>
      <w:r w:rsidRPr="00A86E66">
        <w:rPr>
          <w:rFonts w:ascii="Arial" w:hAnsi="Arial" w:cs="Arial"/>
        </w:rPr>
        <w:t xml:space="preserve"> of advance notification for upcoming travel requirements. Notification will include dates and location of travel. </w:t>
      </w:r>
    </w:p>
    <w:p w14:paraId="0180C545" w14:textId="77777777" w:rsidR="00A86E66" w:rsidRPr="00A86E66" w:rsidRDefault="00A86E66" w:rsidP="00A86E66">
      <w:pPr>
        <w:rPr>
          <w:rFonts w:ascii="Arial" w:hAnsi="Arial" w:cs="Arial"/>
        </w:rPr>
      </w:pPr>
    </w:p>
    <w:p w14:paraId="441C9EFD" w14:textId="592D3ABB" w:rsidR="00A86E66" w:rsidRPr="00A86E66" w:rsidRDefault="00A86E66" w:rsidP="00A86E66">
      <w:pPr>
        <w:rPr>
          <w:rFonts w:ascii="Arial" w:hAnsi="Arial" w:cs="Arial"/>
        </w:rPr>
      </w:pPr>
      <w:r w:rsidRPr="00A86E66">
        <w:rPr>
          <w:rFonts w:ascii="Arial" w:hAnsi="Arial" w:cs="Arial"/>
        </w:rPr>
        <w:t>All travel shall be approved in advance. Approved travel shall be reimbursed in accordance with the Federal Travel Regulation up to the not-to-exceed amount of $</w:t>
      </w:r>
      <w:r w:rsidR="00C621D2">
        <w:rPr>
          <w:rFonts w:ascii="Arial" w:hAnsi="Arial" w:cs="Arial"/>
        </w:rPr>
        <w:t>3,5</w:t>
      </w:r>
      <w:r w:rsidRPr="00A86E66">
        <w:rPr>
          <w:rFonts w:ascii="Arial" w:hAnsi="Arial" w:cs="Arial"/>
        </w:rPr>
        <w:t xml:space="preserve">00.00. </w:t>
      </w:r>
    </w:p>
    <w:p w14:paraId="190C2F39" w14:textId="77777777" w:rsidR="00A86E66" w:rsidRPr="00A86E66" w:rsidRDefault="00A86E66" w:rsidP="00A86E66">
      <w:pPr>
        <w:rPr>
          <w:rFonts w:ascii="Arial" w:hAnsi="Arial" w:cs="Arial"/>
        </w:rPr>
      </w:pPr>
    </w:p>
    <w:p w14:paraId="6A6C52DE" w14:textId="037C5E73" w:rsidR="00566D73" w:rsidRPr="00A86E66" w:rsidRDefault="00A86E66" w:rsidP="00A86E66">
      <w:pPr>
        <w:rPr>
          <w:rFonts w:ascii="Arial" w:hAnsi="Arial" w:cs="Arial"/>
        </w:rPr>
      </w:pPr>
      <w:r w:rsidRPr="00A86E66">
        <w:rPr>
          <w:rFonts w:ascii="Arial" w:hAnsi="Arial" w:cs="Arial"/>
        </w:rPr>
        <w:t xml:space="preserve">The Contractor shall be responsible for making all travel arrangements including but not limited to airline tickets, hotel, car rental reservations, etc. Travel estimates shall be </w:t>
      </w:r>
      <w:r w:rsidRPr="00A86E66">
        <w:rPr>
          <w:rFonts w:ascii="Arial" w:hAnsi="Arial" w:cs="Arial"/>
        </w:rPr>
        <w:lastRenderedPageBreak/>
        <w:t>provided to the NIST COR for written approval prior to incurring costs. When requesting reimbursement for travel costs, the Contractor shall submit an invoice with a detailed breakout of the reimbursable travel costs. The Contractor shall make every effort to keep travel costs to a minimum.</w:t>
      </w:r>
      <w:r>
        <w:rPr>
          <w:rFonts w:ascii="Arial" w:hAnsi="Arial" w:cs="Arial"/>
        </w:rPr>
        <w:br/>
      </w:r>
    </w:p>
    <w:p w14:paraId="58B40C14" w14:textId="77777777" w:rsidR="00566D73" w:rsidRPr="00A86E66" w:rsidRDefault="00566D73" w:rsidP="00566D73">
      <w:pPr>
        <w:rPr>
          <w:rFonts w:ascii="Arial" w:hAnsi="Arial" w:cs="Arial"/>
          <w:b/>
          <w:bCs/>
        </w:rPr>
      </w:pPr>
      <w:r w:rsidRPr="00A86E66">
        <w:rPr>
          <w:rFonts w:ascii="Arial" w:hAnsi="Arial" w:cs="Arial"/>
          <w:b/>
          <w:bCs/>
        </w:rPr>
        <w:t>KEY PERSONNEL REQUIREMENTS</w:t>
      </w:r>
    </w:p>
    <w:p w14:paraId="0E4037A8" w14:textId="77777777" w:rsidR="00566D73" w:rsidRPr="002F1DA5" w:rsidRDefault="00566D73" w:rsidP="00566D73">
      <w:pPr>
        <w:spacing w:before="240"/>
        <w:rPr>
          <w:rFonts w:ascii="Arial" w:hAnsi="Arial" w:cs="Arial"/>
        </w:rPr>
      </w:pPr>
      <w:r w:rsidRPr="00A86E66">
        <w:rPr>
          <w:rFonts w:ascii="Arial" w:hAnsi="Arial" w:cs="Arial"/>
        </w:rPr>
        <w:t>NIST estimates that one (1) Key Personnel is required to perform this requirement. The key personnel shall meet the following minimum qualifications:</w:t>
      </w:r>
      <w:r w:rsidRPr="00A86E66">
        <w:rPr>
          <w:rFonts w:ascii="Arial" w:hAnsi="Arial" w:cs="Arial"/>
        </w:rPr>
        <w:br/>
      </w:r>
    </w:p>
    <w:p w14:paraId="2F88D0AC" w14:textId="77777777" w:rsidR="00C621D2" w:rsidRDefault="00566D73" w:rsidP="00C621D2">
      <w:pPr>
        <w:pStyle w:val="ListParagraph"/>
        <w:numPr>
          <w:ilvl w:val="0"/>
          <w:numId w:val="11"/>
        </w:numPr>
        <w:ind w:left="360"/>
        <w:rPr>
          <w:rFonts w:ascii="Arial" w:hAnsi="Arial" w:cs="Arial"/>
        </w:rPr>
      </w:pPr>
      <w:r w:rsidRPr="002F1DA5">
        <w:rPr>
          <w:rFonts w:ascii="Arial" w:hAnsi="Arial" w:cs="Arial"/>
        </w:rPr>
        <w:t xml:space="preserve">A </w:t>
      </w:r>
      <w:proofErr w:type="gramStart"/>
      <w:r w:rsidR="00C621D2">
        <w:rPr>
          <w:rFonts w:ascii="Arial" w:hAnsi="Arial" w:cs="Arial"/>
        </w:rPr>
        <w:t>Ph.D</w:t>
      </w:r>
      <w:proofErr w:type="gramEnd"/>
      <w:r w:rsidRPr="002F1DA5">
        <w:rPr>
          <w:rFonts w:ascii="Arial" w:hAnsi="Arial" w:cs="Arial"/>
        </w:rPr>
        <w:t xml:space="preserve"> degree in </w:t>
      </w:r>
      <w:r w:rsidR="00C621D2" w:rsidRPr="00C621D2">
        <w:rPr>
          <w:rFonts w:ascii="Arial" w:hAnsi="Arial" w:cs="Arial"/>
        </w:rPr>
        <w:t xml:space="preserve">an area closely related to the work, such as computer science, computer engineering, mathematics, </w:t>
      </w:r>
      <w:r w:rsidR="00C621D2">
        <w:rPr>
          <w:rFonts w:ascii="Arial" w:hAnsi="Arial" w:cs="Arial"/>
        </w:rPr>
        <w:t xml:space="preserve">or </w:t>
      </w:r>
      <w:r w:rsidR="00C621D2" w:rsidRPr="00C621D2">
        <w:rPr>
          <w:rFonts w:ascii="Arial" w:hAnsi="Arial" w:cs="Arial"/>
        </w:rPr>
        <w:t>statistics</w:t>
      </w:r>
      <w:r w:rsidRPr="00A86E66">
        <w:rPr>
          <w:rFonts w:ascii="Arial" w:hAnsi="Arial" w:cs="Arial"/>
        </w:rPr>
        <w:t>.</w:t>
      </w:r>
    </w:p>
    <w:p w14:paraId="27AF3BAD" w14:textId="77777777" w:rsidR="00C621D2" w:rsidRDefault="00C621D2" w:rsidP="00C621D2">
      <w:pPr>
        <w:pStyle w:val="ListParagraph"/>
        <w:numPr>
          <w:ilvl w:val="0"/>
          <w:numId w:val="11"/>
        </w:numPr>
        <w:ind w:left="360"/>
        <w:rPr>
          <w:rFonts w:ascii="Arial" w:hAnsi="Arial" w:cs="Arial"/>
        </w:rPr>
      </w:pPr>
      <w:r w:rsidRPr="00C621D2">
        <w:rPr>
          <w:rFonts w:ascii="Arial" w:hAnsi="Arial" w:cs="Arial"/>
        </w:rPr>
        <w:t xml:space="preserve">Six (6) years of experience in convex optimization, theoretical and practical design and evaluation of machine learning algorithms, algorithm design and analysis, and epidemic modeling. </w:t>
      </w:r>
    </w:p>
    <w:p w14:paraId="229287DC" w14:textId="77777777" w:rsidR="00C621D2" w:rsidRDefault="00C621D2" w:rsidP="00C621D2">
      <w:pPr>
        <w:pStyle w:val="ListParagraph"/>
        <w:numPr>
          <w:ilvl w:val="0"/>
          <w:numId w:val="11"/>
        </w:numPr>
        <w:ind w:left="360"/>
        <w:rPr>
          <w:rFonts w:ascii="Arial" w:hAnsi="Arial" w:cs="Arial"/>
        </w:rPr>
      </w:pPr>
      <w:r w:rsidRPr="00C621D2">
        <w:rPr>
          <w:rFonts w:ascii="Arial" w:hAnsi="Arial" w:cs="Arial"/>
        </w:rPr>
        <w:t>Six (6) years of experience in independent design, efficient implementation, and testing of all aspects of an optimization or machine learning algorithm in a testbed.</w:t>
      </w:r>
    </w:p>
    <w:p w14:paraId="77BD4ABC" w14:textId="77777777" w:rsidR="00C621D2" w:rsidRDefault="00C621D2" w:rsidP="00C621D2">
      <w:pPr>
        <w:pStyle w:val="ListParagraph"/>
        <w:numPr>
          <w:ilvl w:val="0"/>
          <w:numId w:val="11"/>
        </w:numPr>
        <w:ind w:left="360"/>
        <w:rPr>
          <w:rFonts w:ascii="Arial" w:hAnsi="Arial" w:cs="Arial"/>
        </w:rPr>
      </w:pPr>
      <w:r w:rsidRPr="00C621D2">
        <w:rPr>
          <w:rFonts w:ascii="Arial" w:hAnsi="Arial" w:cs="Arial"/>
        </w:rPr>
        <w:t xml:space="preserve">Six (6) years of experience of using popular machine learning libraries such as TensorFlow and </w:t>
      </w:r>
      <w:proofErr w:type="spellStart"/>
      <w:r w:rsidRPr="00C621D2">
        <w:rPr>
          <w:rFonts w:ascii="Arial" w:hAnsi="Arial" w:cs="Arial"/>
        </w:rPr>
        <w:t>PyTorch</w:t>
      </w:r>
      <w:proofErr w:type="spellEnd"/>
      <w:r w:rsidRPr="00C621D2">
        <w:rPr>
          <w:rFonts w:ascii="Arial" w:hAnsi="Arial" w:cs="Arial"/>
        </w:rPr>
        <w:t>.</w:t>
      </w:r>
    </w:p>
    <w:p w14:paraId="435172BA" w14:textId="77777777" w:rsidR="00C621D2" w:rsidRDefault="00C621D2" w:rsidP="00C621D2">
      <w:pPr>
        <w:pStyle w:val="ListParagraph"/>
        <w:numPr>
          <w:ilvl w:val="0"/>
          <w:numId w:val="11"/>
        </w:numPr>
        <w:ind w:left="360"/>
        <w:rPr>
          <w:rFonts w:ascii="Arial" w:hAnsi="Arial" w:cs="Arial"/>
        </w:rPr>
      </w:pPr>
      <w:r w:rsidRPr="00C621D2">
        <w:rPr>
          <w:rFonts w:ascii="Arial" w:hAnsi="Arial" w:cs="Arial"/>
        </w:rPr>
        <w:t>Three (3) years of experience working on 5G networks and mechanisms for supporting end-to-end quality of services.</w:t>
      </w:r>
    </w:p>
    <w:p w14:paraId="20AAA5D4" w14:textId="74FDAFE2" w:rsidR="00C621D2" w:rsidRPr="00C621D2" w:rsidRDefault="00C621D2" w:rsidP="00C621D2">
      <w:pPr>
        <w:pStyle w:val="ListParagraph"/>
        <w:numPr>
          <w:ilvl w:val="0"/>
          <w:numId w:val="11"/>
        </w:numPr>
        <w:ind w:left="360"/>
        <w:rPr>
          <w:rFonts w:ascii="Arial" w:hAnsi="Arial" w:cs="Arial"/>
        </w:rPr>
      </w:pPr>
      <w:r w:rsidRPr="00C621D2">
        <w:rPr>
          <w:rFonts w:ascii="Arial" w:hAnsi="Arial" w:cs="Arial"/>
        </w:rPr>
        <w:t xml:space="preserve">Six (6) years of experience working with software version control systems such as GitHub. </w:t>
      </w:r>
    </w:p>
    <w:p w14:paraId="7477072E" w14:textId="7F6FCDAA" w:rsidR="00D672A4" w:rsidRPr="00A86E66" w:rsidRDefault="00D672A4" w:rsidP="007E74F2">
      <w:pPr>
        <w:spacing w:before="240"/>
        <w:rPr>
          <w:rFonts w:ascii="Arial" w:hAnsi="Arial" w:cs="Arial"/>
          <w:b/>
          <w:bCs/>
        </w:rPr>
      </w:pPr>
      <w:r w:rsidRPr="00A86E66">
        <w:rPr>
          <w:rFonts w:ascii="Arial" w:hAnsi="Arial" w:cs="Arial"/>
          <w:b/>
          <w:bCs/>
        </w:rPr>
        <w:t>GOVERNMENT FURNISHED PROPERTY</w:t>
      </w:r>
    </w:p>
    <w:p w14:paraId="155B6BDF" w14:textId="04C6F35F" w:rsidR="00D672A4" w:rsidRPr="00A86E66" w:rsidRDefault="00D672A4" w:rsidP="007E74F2">
      <w:pPr>
        <w:spacing w:before="240"/>
        <w:outlineLvl w:val="0"/>
        <w:rPr>
          <w:rFonts w:ascii="Arial" w:hAnsi="Arial" w:cs="Arial"/>
        </w:rPr>
      </w:pPr>
      <w:r w:rsidRPr="00A86E66">
        <w:rPr>
          <w:rFonts w:ascii="Arial" w:hAnsi="Arial" w:cs="Arial"/>
        </w:rPr>
        <w:t>Governm</w:t>
      </w:r>
      <w:r w:rsidR="007E74F2" w:rsidRPr="00A86E66">
        <w:rPr>
          <w:rFonts w:ascii="Arial" w:hAnsi="Arial" w:cs="Arial"/>
        </w:rPr>
        <w:t>e</w:t>
      </w:r>
      <w:r w:rsidRPr="00A86E66">
        <w:rPr>
          <w:rFonts w:ascii="Arial" w:hAnsi="Arial" w:cs="Arial"/>
        </w:rPr>
        <w:t>nt-furnished equipment will be provided in an as-is condition and in a working condition. Upon award, the Government will provide the Contractor with equipment needed in the performance of this requirement</w:t>
      </w:r>
      <w:r w:rsidR="007E74F2" w:rsidRPr="00A86E66">
        <w:rPr>
          <w:rFonts w:ascii="Arial" w:hAnsi="Arial" w:cs="Arial"/>
        </w:rPr>
        <w:t xml:space="preserve"> including office space, a desk, chair, office telephone, and a computer</w:t>
      </w:r>
      <w:r w:rsidRPr="00A86E66">
        <w:rPr>
          <w:rFonts w:ascii="Arial" w:hAnsi="Arial" w:cs="Arial"/>
        </w:rPr>
        <w:t xml:space="preserve">. </w:t>
      </w:r>
      <w:r w:rsidR="00CA6660" w:rsidRPr="00A86E66">
        <w:rPr>
          <w:rFonts w:ascii="Arial" w:hAnsi="Arial" w:cs="Arial"/>
        </w:rPr>
        <w:t xml:space="preserve">All equipment provided shall be returned to the Government at the end of the </w:t>
      </w:r>
      <w:r w:rsidR="007E74F2" w:rsidRPr="00A86E66">
        <w:rPr>
          <w:rFonts w:ascii="Arial" w:hAnsi="Arial" w:cs="Arial"/>
        </w:rPr>
        <w:t>award</w:t>
      </w:r>
      <w:r w:rsidR="00CA6660" w:rsidRPr="00A86E66">
        <w:rPr>
          <w:rFonts w:ascii="Arial" w:hAnsi="Arial" w:cs="Arial"/>
        </w:rPr>
        <w:t xml:space="preserve"> in the condition it was received in.</w:t>
      </w:r>
      <w:r w:rsidR="007E74F2" w:rsidRPr="00A86E66">
        <w:rPr>
          <w:rFonts w:ascii="Arial" w:hAnsi="Arial" w:cs="Arial"/>
        </w:rPr>
        <w:br/>
      </w:r>
      <w:r w:rsidR="007E74F2" w:rsidRPr="00A86E66">
        <w:rPr>
          <w:rFonts w:ascii="Arial" w:hAnsi="Arial" w:cs="Arial"/>
        </w:rPr>
        <w:br/>
        <w:t>All property, data, and information provided by the Government in the performance of this task remains the property of the Government and shall be surrendered to the government upon completion or termination of this requirement. Likewise, all deliverables generated under this requirement are the property of the Government.</w:t>
      </w:r>
    </w:p>
    <w:p w14:paraId="6F45FCBC" w14:textId="2B77F5EC" w:rsidR="00D672A4" w:rsidRPr="00A86E66" w:rsidRDefault="000053AF" w:rsidP="00D672A4">
      <w:pPr>
        <w:spacing w:before="240"/>
        <w:rPr>
          <w:rFonts w:ascii="Arial" w:hAnsi="Arial" w:cs="Arial"/>
          <w:b/>
          <w:bCs/>
        </w:rPr>
      </w:pPr>
      <w:r>
        <w:rPr>
          <w:rFonts w:ascii="Arial" w:hAnsi="Arial" w:cs="Arial"/>
          <w:b/>
          <w:bCs/>
        </w:rPr>
        <w:t>RISK LEVEL ASSESSMENT</w:t>
      </w:r>
      <w:r>
        <w:rPr>
          <w:rFonts w:ascii="Arial" w:hAnsi="Arial" w:cs="Arial"/>
          <w:b/>
          <w:bCs/>
        </w:rPr>
        <w:br/>
      </w:r>
      <w:r>
        <w:rPr>
          <w:rFonts w:ascii="Arial" w:hAnsi="Arial" w:cs="Arial"/>
          <w:b/>
          <w:bCs/>
        </w:rPr>
        <w:br/>
      </w:r>
      <w:r>
        <w:rPr>
          <w:rFonts w:ascii="Arial" w:hAnsi="Arial" w:cs="Arial"/>
        </w:rPr>
        <w:t xml:space="preserve">This requirement is identified as Information Technology (IT) Low Risk and Non-IT Low Risk. The contractor will have access to a NIST computer and email account. </w:t>
      </w:r>
      <w:r>
        <w:rPr>
          <w:rFonts w:ascii="Arial" w:hAnsi="Arial" w:cs="Arial"/>
          <w:b/>
          <w:bCs/>
        </w:rPr>
        <w:br/>
      </w:r>
      <w:r>
        <w:rPr>
          <w:rFonts w:ascii="Arial" w:hAnsi="Arial" w:cs="Arial"/>
          <w:b/>
          <w:bCs/>
        </w:rPr>
        <w:br/>
      </w:r>
      <w:r w:rsidR="00D672A4" w:rsidRPr="00A86E66">
        <w:rPr>
          <w:rFonts w:ascii="Arial" w:hAnsi="Arial" w:cs="Arial"/>
          <w:b/>
          <w:bCs/>
        </w:rPr>
        <w:t>CONTRACT TYPE</w:t>
      </w:r>
    </w:p>
    <w:p w14:paraId="45403BFE" w14:textId="098A40AC" w:rsidR="00732BF7" w:rsidRPr="00B81D92" w:rsidRDefault="00D672A4" w:rsidP="00B81D92">
      <w:pPr>
        <w:spacing w:before="240"/>
        <w:outlineLvl w:val="0"/>
        <w:rPr>
          <w:rFonts w:ascii="Arial" w:hAnsi="Arial" w:cs="Arial"/>
          <w:bCs/>
        </w:rPr>
      </w:pPr>
      <w:r w:rsidRPr="00A86E66">
        <w:rPr>
          <w:rFonts w:ascii="Arial" w:hAnsi="Arial" w:cs="Arial"/>
          <w:bCs/>
        </w:rPr>
        <w:t>Firm-Fixed Price</w:t>
      </w:r>
      <w:r w:rsidR="00566D73" w:rsidRPr="00A86E66">
        <w:rPr>
          <w:rFonts w:ascii="Arial" w:hAnsi="Arial" w:cs="Arial"/>
          <w:bCs/>
        </w:rPr>
        <w:t xml:space="preserve">. </w:t>
      </w:r>
      <w:r w:rsidR="00060EC8">
        <w:rPr>
          <w:rFonts w:ascii="Arial" w:hAnsi="Arial" w:cs="Arial"/>
          <w:bCs/>
        </w:rPr>
        <w:br/>
      </w:r>
      <w:r w:rsidR="00060EC8">
        <w:rPr>
          <w:rFonts w:ascii="Arial" w:hAnsi="Arial" w:cs="Arial"/>
          <w:bCs/>
        </w:rPr>
        <w:br/>
      </w:r>
    </w:p>
    <w:sectPr w:rsidR="00732BF7" w:rsidRPr="00B8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B50"/>
    <w:multiLevelType w:val="hybridMultilevel"/>
    <w:tmpl w:val="AAAADDE8"/>
    <w:lvl w:ilvl="0" w:tplc="F984C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75910"/>
    <w:multiLevelType w:val="hybridMultilevel"/>
    <w:tmpl w:val="FD2C194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C1BFE"/>
    <w:multiLevelType w:val="hybridMultilevel"/>
    <w:tmpl w:val="4F4E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63C04"/>
    <w:multiLevelType w:val="hybridMultilevel"/>
    <w:tmpl w:val="64EA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D6C8B"/>
    <w:multiLevelType w:val="hybridMultilevel"/>
    <w:tmpl w:val="DAE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C2D"/>
    <w:multiLevelType w:val="hybridMultilevel"/>
    <w:tmpl w:val="D12E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0035F"/>
    <w:multiLevelType w:val="hybridMultilevel"/>
    <w:tmpl w:val="2AE2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365A4"/>
    <w:multiLevelType w:val="hybridMultilevel"/>
    <w:tmpl w:val="6C1E193E"/>
    <w:lvl w:ilvl="0" w:tplc="2146DD6E">
      <w:start w:val="1"/>
      <w:numFmt w:val="lowerLetter"/>
      <w:lvlText w:val="%1)"/>
      <w:lvlJc w:val="left"/>
      <w:pPr>
        <w:ind w:left="450" w:hanging="360"/>
      </w:pPr>
      <w:rPr>
        <w:rFonts w:eastAsiaTheme="minorEastAsia"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EFF5FC2"/>
    <w:multiLevelType w:val="hybridMultilevel"/>
    <w:tmpl w:val="59242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DA38A1"/>
    <w:multiLevelType w:val="hybridMultilevel"/>
    <w:tmpl w:val="655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10FFC"/>
    <w:multiLevelType w:val="hybridMultilevel"/>
    <w:tmpl w:val="B448DF08"/>
    <w:lvl w:ilvl="0" w:tplc="D02E2E9C">
      <w:start w:val="1"/>
      <w:numFmt w:val="lowerLetter"/>
      <w:lvlText w:val="%1)"/>
      <w:lvlJc w:val="left"/>
      <w:pPr>
        <w:ind w:left="446" w:hanging="360"/>
      </w:pPr>
      <w:rPr>
        <w:rFonts w:ascii="Arial" w:eastAsiaTheme="minorHAnsi" w:hAnsi="Arial" w:cs="Arial"/>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2EEE0BE9"/>
    <w:multiLevelType w:val="hybridMultilevel"/>
    <w:tmpl w:val="6046D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1507A"/>
    <w:multiLevelType w:val="hybridMultilevel"/>
    <w:tmpl w:val="EB62B036"/>
    <w:lvl w:ilvl="0" w:tplc="7C24D19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7F441F8"/>
    <w:multiLevelType w:val="hybridMultilevel"/>
    <w:tmpl w:val="C6928B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6E06EE"/>
    <w:multiLevelType w:val="hybridMultilevel"/>
    <w:tmpl w:val="0846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635B6"/>
    <w:multiLevelType w:val="hybridMultilevel"/>
    <w:tmpl w:val="7DC8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72CE0"/>
    <w:multiLevelType w:val="hybridMultilevel"/>
    <w:tmpl w:val="9C7E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66989"/>
    <w:multiLevelType w:val="hybridMultilevel"/>
    <w:tmpl w:val="DC2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36BB7"/>
    <w:multiLevelType w:val="hybridMultilevel"/>
    <w:tmpl w:val="2952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1E84"/>
    <w:multiLevelType w:val="hybridMultilevel"/>
    <w:tmpl w:val="C6928B38"/>
    <w:lvl w:ilvl="0" w:tplc="BEEAC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6008D"/>
    <w:multiLevelType w:val="hybridMultilevel"/>
    <w:tmpl w:val="6892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A41F2"/>
    <w:multiLevelType w:val="hybridMultilevel"/>
    <w:tmpl w:val="2952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8D71C7"/>
    <w:multiLevelType w:val="hybridMultilevel"/>
    <w:tmpl w:val="442A5682"/>
    <w:lvl w:ilvl="0" w:tplc="FE685E4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035F8"/>
    <w:multiLevelType w:val="hybridMultilevel"/>
    <w:tmpl w:val="5924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617E2"/>
    <w:multiLevelType w:val="hybridMultilevel"/>
    <w:tmpl w:val="32101460"/>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C3451E"/>
    <w:multiLevelType w:val="hybridMultilevel"/>
    <w:tmpl w:val="FB58F930"/>
    <w:lvl w:ilvl="0" w:tplc="665897B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69C915FE"/>
    <w:multiLevelType w:val="hybridMultilevel"/>
    <w:tmpl w:val="338E5A0C"/>
    <w:lvl w:ilvl="0" w:tplc="579C81F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2BD1663"/>
    <w:multiLevelType w:val="hybridMultilevel"/>
    <w:tmpl w:val="34A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23871"/>
    <w:multiLevelType w:val="hybridMultilevel"/>
    <w:tmpl w:val="2D06C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292C52"/>
    <w:multiLevelType w:val="hybridMultilevel"/>
    <w:tmpl w:val="B12EA1F8"/>
    <w:lvl w:ilvl="0" w:tplc="04090001">
      <w:start w:val="1"/>
      <w:numFmt w:val="bullet"/>
      <w:lvlText w:val=""/>
      <w:lvlJc w:val="left"/>
      <w:pPr>
        <w:ind w:left="720" w:hanging="360"/>
      </w:pPr>
      <w:rPr>
        <w:rFonts w:ascii="Symbol" w:hAnsi="Symbol" w:hint="default"/>
      </w:rPr>
    </w:lvl>
    <w:lvl w:ilvl="1" w:tplc="18F23BF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4578">
    <w:abstractNumId w:val="20"/>
  </w:num>
  <w:num w:numId="2" w16cid:durableId="1904288413">
    <w:abstractNumId w:val="5"/>
  </w:num>
  <w:num w:numId="3" w16cid:durableId="1732462697">
    <w:abstractNumId w:val="24"/>
  </w:num>
  <w:num w:numId="4" w16cid:durableId="879825227">
    <w:abstractNumId w:val="15"/>
  </w:num>
  <w:num w:numId="5" w16cid:durableId="1463384041">
    <w:abstractNumId w:val="14"/>
  </w:num>
  <w:num w:numId="6" w16cid:durableId="1586958814">
    <w:abstractNumId w:val="2"/>
  </w:num>
  <w:num w:numId="7" w16cid:durableId="1788041863">
    <w:abstractNumId w:val="1"/>
  </w:num>
  <w:num w:numId="8" w16cid:durableId="2131312153">
    <w:abstractNumId w:val="28"/>
  </w:num>
  <w:num w:numId="9" w16cid:durableId="589047153">
    <w:abstractNumId w:val="6"/>
  </w:num>
  <w:num w:numId="10" w16cid:durableId="1559824323">
    <w:abstractNumId w:val="16"/>
  </w:num>
  <w:num w:numId="11" w16cid:durableId="1233933221">
    <w:abstractNumId w:val="0"/>
  </w:num>
  <w:num w:numId="12" w16cid:durableId="1615021635">
    <w:abstractNumId w:val="29"/>
  </w:num>
  <w:num w:numId="13" w16cid:durableId="2012102314">
    <w:abstractNumId w:val="4"/>
  </w:num>
  <w:num w:numId="14" w16cid:durableId="1501265792">
    <w:abstractNumId w:val="9"/>
  </w:num>
  <w:num w:numId="15" w16cid:durableId="153182030">
    <w:abstractNumId w:val="18"/>
  </w:num>
  <w:num w:numId="16" w16cid:durableId="106121216">
    <w:abstractNumId w:val="27"/>
  </w:num>
  <w:num w:numId="17" w16cid:durableId="1924752690">
    <w:abstractNumId w:val="23"/>
  </w:num>
  <w:num w:numId="18" w16cid:durableId="1932011064">
    <w:abstractNumId w:val="17"/>
  </w:num>
  <w:num w:numId="19" w16cid:durableId="180558854">
    <w:abstractNumId w:val="19"/>
  </w:num>
  <w:num w:numId="20" w16cid:durableId="1601179700">
    <w:abstractNumId w:val="21"/>
  </w:num>
  <w:num w:numId="21" w16cid:durableId="1287857425">
    <w:abstractNumId w:val="8"/>
  </w:num>
  <w:num w:numId="22" w16cid:durableId="606812704">
    <w:abstractNumId w:val="13"/>
  </w:num>
  <w:num w:numId="23" w16cid:durableId="1150169649">
    <w:abstractNumId w:val="11"/>
  </w:num>
  <w:num w:numId="24" w16cid:durableId="1106267396">
    <w:abstractNumId w:val="10"/>
  </w:num>
  <w:num w:numId="25" w16cid:durableId="1572151822">
    <w:abstractNumId w:val="26"/>
  </w:num>
  <w:num w:numId="26" w16cid:durableId="859780629">
    <w:abstractNumId w:val="7"/>
  </w:num>
  <w:num w:numId="27" w16cid:durableId="1780292977">
    <w:abstractNumId w:val="25"/>
  </w:num>
  <w:num w:numId="28" w16cid:durableId="596838474">
    <w:abstractNumId w:val="12"/>
  </w:num>
  <w:num w:numId="29" w16cid:durableId="1859655601">
    <w:abstractNumId w:val="3"/>
  </w:num>
  <w:num w:numId="30" w16cid:durableId="16011840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B9"/>
    <w:rsid w:val="0000101B"/>
    <w:rsid w:val="000053AF"/>
    <w:rsid w:val="00011465"/>
    <w:rsid w:val="00031AE6"/>
    <w:rsid w:val="00036AA1"/>
    <w:rsid w:val="00037652"/>
    <w:rsid w:val="00060EC8"/>
    <w:rsid w:val="00063E75"/>
    <w:rsid w:val="0007521B"/>
    <w:rsid w:val="000C5175"/>
    <w:rsid w:val="000D7F61"/>
    <w:rsid w:val="000F3869"/>
    <w:rsid w:val="0012076F"/>
    <w:rsid w:val="00142C61"/>
    <w:rsid w:val="00156C87"/>
    <w:rsid w:val="001626C5"/>
    <w:rsid w:val="00173328"/>
    <w:rsid w:val="0017760D"/>
    <w:rsid w:val="00194198"/>
    <w:rsid w:val="001E2C73"/>
    <w:rsid w:val="001E6F4C"/>
    <w:rsid w:val="00214745"/>
    <w:rsid w:val="00236DFD"/>
    <w:rsid w:val="00254D85"/>
    <w:rsid w:val="00264489"/>
    <w:rsid w:val="002764CA"/>
    <w:rsid w:val="002B2A68"/>
    <w:rsid w:val="002F1DA5"/>
    <w:rsid w:val="003120B9"/>
    <w:rsid w:val="003216A2"/>
    <w:rsid w:val="00373D93"/>
    <w:rsid w:val="00380AAE"/>
    <w:rsid w:val="00384CE0"/>
    <w:rsid w:val="003A1789"/>
    <w:rsid w:val="003C28FA"/>
    <w:rsid w:val="003E2E65"/>
    <w:rsid w:val="003E4373"/>
    <w:rsid w:val="00411DB5"/>
    <w:rsid w:val="00413F9D"/>
    <w:rsid w:val="00414200"/>
    <w:rsid w:val="00416679"/>
    <w:rsid w:val="0042186D"/>
    <w:rsid w:val="00495D5C"/>
    <w:rsid w:val="004C0B6E"/>
    <w:rsid w:val="004F698C"/>
    <w:rsid w:val="00502B88"/>
    <w:rsid w:val="0051093D"/>
    <w:rsid w:val="00515E01"/>
    <w:rsid w:val="00520988"/>
    <w:rsid w:val="00566D73"/>
    <w:rsid w:val="00577741"/>
    <w:rsid w:val="005A1C70"/>
    <w:rsid w:val="005B4045"/>
    <w:rsid w:val="005C00FF"/>
    <w:rsid w:val="005C0F96"/>
    <w:rsid w:val="005E6D38"/>
    <w:rsid w:val="00612366"/>
    <w:rsid w:val="00633692"/>
    <w:rsid w:val="0063511D"/>
    <w:rsid w:val="00663FB0"/>
    <w:rsid w:val="00673DB9"/>
    <w:rsid w:val="006B43FA"/>
    <w:rsid w:val="006C5099"/>
    <w:rsid w:val="006D12A0"/>
    <w:rsid w:val="006E23D8"/>
    <w:rsid w:val="006F6CA2"/>
    <w:rsid w:val="007073F5"/>
    <w:rsid w:val="00732BF7"/>
    <w:rsid w:val="00773A56"/>
    <w:rsid w:val="007742A4"/>
    <w:rsid w:val="00795AF0"/>
    <w:rsid w:val="007C155E"/>
    <w:rsid w:val="007D7551"/>
    <w:rsid w:val="007E74F2"/>
    <w:rsid w:val="007F0CA4"/>
    <w:rsid w:val="008179FA"/>
    <w:rsid w:val="00863234"/>
    <w:rsid w:val="00876FDA"/>
    <w:rsid w:val="00892F8A"/>
    <w:rsid w:val="008B795B"/>
    <w:rsid w:val="008D79CC"/>
    <w:rsid w:val="00902F8D"/>
    <w:rsid w:val="00910B21"/>
    <w:rsid w:val="00942A7A"/>
    <w:rsid w:val="009461AB"/>
    <w:rsid w:val="009C5996"/>
    <w:rsid w:val="00A07315"/>
    <w:rsid w:val="00A61622"/>
    <w:rsid w:val="00A644E4"/>
    <w:rsid w:val="00A74689"/>
    <w:rsid w:val="00A82B4C"/>
    <w:rsid w:val="00A86E66"/>
    <w:rsid w:val="00AC64E1"/>
    <w:rsid w:val="00AC6A7B"/>
    <w:rsid w:val="00AD76D7"/>
    <w:rsid w:val="00AE0BBB"/>
    <w:rsid w:val="00AF1F61"/>
    <w:rsid w:val="00B14625"/>
    <w:rsid w:val="00B41534"/>
    <w:rsid w:val="00B711FA"/>
    <w:rsid w:val="00B81D92"/>
    <w:rsid w:val="00BC00AD"/>
    <w:rsid w:val="00BF52D0"/>
    <w:rsid w:val="00C16137"/>
    <w:rsid w:val="00C44B1B"/>
    <w:rsid w:val="00C45201"/>
    <w:rsid w:val="00C60D03"/>
    <w:rsid w:val="00C621D2"/>
    <w:rsid w:val="00C67BAB"/>
    <w:rsid w:val="00C83974"/>
    <w:rsid w:val="00C85FCC"/>
    <w:rsid w:val="00CA4E29"/>
    <w:rsid w:val="00CA6660"/>
    <w:rsid w:val="00CD78DE"/>
    <w:rsid w:val="00D0714E"/>
    <w:rsid w:val="00D3348E"/>
    <w:rsid w:val="00D34E94"/>
    <w:rsid w:val="00D35A14"/>
    <w:rsid w:val="00D66ED6"/>
    <w:rsid w:val="00D672A4"/>
    <w:rsid w:val="00D76565"/>
    <w:rsid w:val="00D774A1"/>
    <w:rsid w:val="00DA23D3"/>
    <w:rsid w:val="00DA3F83"/>
    <w:rsid w:val="00E86EF5"/>
    <w:rsid w:val="00EA1E2B"/>
    <w:rsid w:val="00EA2EEC"/>
    <w:rsid w:val="00EB3728"/>
    <w:rsid w:val="00EB6B6D"/>
    <w:rsid w:val="00EC48D2"/>
    <w:rsid w:val="00ED2707"/>
    <w:rsid w:val="00ED3ADC"/>
    <w:rsid w:val="00F052DB"/>
    <w:rsid w:val="00F3039B"/>
    <w:rsid w:val="00F76052"/>
    <w:rsid w:val="00F91380"/>
    <w:rsid w:val="00FA430E"/>
    <w:rsid w:val="00FC2904"/>
    <w:rsid w:val="00FD4E54"/>
    <w:rsid w:val="00FE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A107A"/>
  <w15:docId w15:val="{9C4CE0AB-EA6B-420B-BC74-953E1333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A4"/>
  </w:style>
  <w:style w:type="paragraph" w:styleId="Heading1">
    <w:name w:val="heading 1"/>
    <w:basedOn w:val="Normal"/>
    <w:next w:val="Normal"/>
    <w:link w:val="Heading1Char"/>
    <w:uiPriority w:val="9"/>
    <w:qFormat/>
    <w:rsid w:val="003120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B9"/>
    <w:pPr>
      <w:ind w:left="720"/>
      <w:contextualSpacing/>
    </w:pPr>
  </w:style>
  <w:style w:type="character" w:customStyle="1" w:styleId="Heading1Char">
    <w:name w:val="Heading 1 Char"/>
    <w:basedOn w:val="DefaultParagraphFont"/>
    <w:link w:val="Heading1"/>
    <w:uiPriority w:val="9"/>
    <w:rsid w:val="003120B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120B9"/>
  </w:style>
  <w:style w:type="table" w:styleId="TableGrid">
    <w:name w:val="Table Grid"/>
    <w:basedOn w:val="TableNormal"/>
    <w:uiPriority w:val="39"/>
    <w:rsid w:val="00892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74A1"/>
    <w:rPr>
      <w:sz w:val="16"/>
      <w:szCs w:val="16"/>
    </w:rPr>
  </w:style>
  <w:style w:type="paragraph" w:styleId="CommentText">
    <w:name w:val="annotation text"/>
    <w:basedOn w:val="Normal"/>
    <w:link w:val="CommentTextChar"/>
    <w:uiPriority w:val="99"/>
    <w:unhideWhenUsed/>
    <w:rsid w:val="00D774A1"/>
    <w:rPr>
      <w:sz w:val="20"/>
      <w:szCs w:val="20"/>
    </w:rPr>
  </w:style>
  <w:style w:type="character" w:customStyle="1" w:styleId="CommentTextChar">
    <w:name w:val="Comment Text Char"/>
    <w:basedOn w:val="DefaultParagraphFont"/>
    <w:link w:val="CommentText"/>
    <w:uiPriority w:val="99"/>
    <w:rsid w:val="00D774A1"/>
    <w:rPr>
      <w:sz w:val="20"/>
      <w:szCs w:val="20"/>
    </w:rPr>
  </w:style>
  <w:style w:type="paragraph" w:styleId="CommentSubject">
    <w:name w:val="annotation subject"/>
    <w:basedOn w:val="CommentText"/>
    <w:next w:val="CommentText"/>
    <w:link w:val="CommentSubjectChar"/>
    <w:uiPriority w:val="99"/>
    <w:semiHidden/>
    <w:unhideWhenUsed/>
    <w:rsid w:val="00D774A1"/>
    <w:rPr>
      <w:b/>
      <w:bCs/>
    </w:rPr>
  </w:style>
  <w:style w:type="character" w:customStyle="1" w:styleId="CommentSubjectChar">
    <w:name w:val="Comment Subject Char"/>
    <w:basedOn w:val="CommentTextChar"/>
    <w:link w:val="CommentSubject"/>
    <w:uiPriority w:val="99"/>
    <w:semiHidden/>
    <w:rsid w:val="00D774A1"/>
    <w:rPr>
      <w:b/>
      <w:bCs/>
      <w:sz w:val="20"/>
      <w:szCs w:val="20"/>
    </w:rPr>
  </w:style>
  <w:style w:type="paragraph" w:styleId="Revision">
    <w:name w:val="Revision"/>
    <w:hidden/>
    <w:uiPriority w:val="99"/>
    <w:semiHidden/>
    <w:rsid w:val="00B7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DFCB2B97BB734CA637705ECFDF8FE5" ma:contentTypeVersion="18" ma:contentTypeDescription="Create a new document." ma:contentTypeScope="" ma:versionID="593b88b0850623732d93609436c028fc">
  <xsd:schema xmlns:xsd="http://www.w3.org/2001/XMLSchema" xmlns:xs="http://www.w3.org/2001/XMLSchema" xmlns:p="http://schemas.microsoft.com/office/2006/metadata/properties" xmlns:ns1="http://schemas.microsoft.com/sharepoint/v3" xmlns:ns2="38a8fa0a-7175-4f53-b676-0cb1f50aeb5e" xmlns:ns3="cb42e6df-be37-43c6-b099-b13a44fb71bb" targetNamespace="http://schemas.microsoft.com/office/2006/metadata/properties" ma:root="true" ma:fieldsID="cf7ecbbc2c72ff8f8ce0ccfad43c25f9" ns1:_="" ns2:_="" ns3:_="">
    <xsd:import namespace="http://schemas.microsoft.com/sharepoint/v3"/>
    <xsd:import namespace="38a8fa0a-7175-4f53-b676-0cb1f50aeb5e"/>
    <xsd:import namespace="cb42e6df-be37-43c6-b099-b13a44fb71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a8fa0a-7175-4f53-b676-0cb1f50ae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e6a98a9-4721-402f-9b0e-578e6c4977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42e6df-be37-43c6-b099-b13a44fb71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38784e2-a4b8-468b-91b4-0bc3af1b124b}" ma:internalName="TaxCatchAll" ma:showField="CatchAllData" ma:web="cb42e6df-be37-43c6-b099-b13a44fb71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38a8fa0a-7175-4f53-b676-0cb1f50aeb5e">
      <Terms xmlns="http://schemas.microsoft.com/office/infopath/2007/PartnerControls"/>
    </lcf76f155ced4ddcb4097134ff3c332f>
    <TaxCatchAll xmlns="cb42e6df-be37-43c6-b099-b13a44fb71bb" xsi:nil="true"/>
  </documentManagement>
</p:properties>
</file>

<file path=customXml/itemProps1.xml><?xml version="1.0" encoding="utf-8"?>
<ds:datastoreItem xmlns:ds="http://schemas.openxmlformats.org/officeDocument/2006/customXml" ds:itemID="{94239155-1DFB-435D-918A-F67EB4316E40}">
  <ds:schemaRefs>
    <ds:schemaRef ds:uri="http://schemas.microsoft.com/sharepoint/v3/contenttype/forms"/>
  </ds:schemaRefs>
</ds:datastoreItem>
</file>

<file path=customXml/itemProps2.xml><?xml version="1.0" encoding="utf-8"?>
<ds:datastoreItem xmlns:ds="http://schemas.openxmlformats.org/officeDocument/2006/customXml" ds:itemID="{9BAB9933-8222-4479-ADB8-362E8997B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a8fa0a-7175-4f53-b676-0cb1f50aeb5e"/>
    <ds:schemaRef ds:uri="cb42e6df-be37-43c6-b099-b13a44fb7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FD6C52-A935-4C25-8C90-28E537F8F446}">
  <ds:schemaRefs>
    <ds:schemaRef ds:uri="http://schemas.microsoft.com/office/2006/metadata/properties"/>
    <ds:schemaRef ds:uri="http://schemas.microsoft.com/office/infopath/2007/PartnerControls"/>
    <ds:schemaRef ds:uri="http://schemas.microsoft.com/sharepoint/v3"/>
    <ds:schemaRef ds:uri="38a8fa0a-7175-4f53-b676-0cb1f50aeb5e"/>
    <ds:schemaRef ds:uri="cb42e6df-be37-43c6-b099-b13a44fb71bb"/>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1546</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Carnahan, Lisa J. (Fed)</dc:creator>
  <cp:keywords/>
  <dc:description/>
  <cp:lastModifiedBy>Roller, Lauren (Fed)</cp:lastModifiedBy>
  <cp:revision>4</cp:revision>
  <dcterms:created xsi:type="dcterms:W3CDTF">2024-05-02T11:55:00Z</dcterms:created>
  <dcterms:modified xsi:type="dcterms:W3CDTF">2024-05-02T14:31:00Z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0x010100A6DFCB2B97BB734CA637705ECFDF8FE5</vt:lpwstr>
  </property>
  <property fmtid="{D5CDD505-2E9C-101B-9397-08002B2CF9AE}" pid="3" name="MediaServiceImageTags">
    <vt:lpwstr/>
  </property>
  <property fmtid="{D5CDD505-2E9C-101B-9397-08002B2CF9AE}" pid="4" name="GrammarlyDocumentId">
    <vt:lpwstr>fca3cf6cc7da446c18c637c3f0778a207efc6a481250d9be78320457487ebcba</vt:lpwstr>
  </property>
</Properties>
</file>