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66A8" w14:textId="77777777" w:rsidR="00D528B4" w:rsidRPr="000C3673" w:rsidRDefault="00D528B4" w:rsidP="00D528B4">
      <w:pPr>
        <w:pStyle w:val="Heading2"/>
        <w:spacing w:line="240" w:lineRule="auto"/>
        <w:rPr>
          <w:rFonts w:cs="Times New Roman"/>
          <w:szCs w:val="22"/>
        </w:rPr>
      </w:pPr>
      <w:bookmarkStart w:id="0" w:name="_Toc135226450"/>
      <w:r w:rsidRPr="000C3673">
        <w:rPr>
          <w:rFonts w:cs="Times New Roman"/>
          <w:szCs w:val="22"/>
        </w:rPr>
        <w:t>STATEMENT OF WORK</w:t>
      </w:r>
      <w:bookmarkEnd w:id="0"/>
    </w:p>
    <w:p w14:paraId="09F0F614" w14:textId="77777777" w:rsidR="00D528B4" w:rsidRPr="000C3673" w:rsidRDefault="00D528B4" w:rsidP="00D528B4">
      <w:pPr>
        <w:pStyle w:val="Heading2"/>
        <w:spacing w:line="240" w:lineRule="auto"/>
        <w:rPr>
          <w:rFonts w:cs="Times New Roman"/>
          <w:szCs w:val="22"/>
        </w:rPr>
      </w:pPr>
    </w:p>
    <w:p w14:paraId="7C1D15D5" w14:textId="77777777" w:rsidR="00D528B4" w:rsidRPr="000C3673" w:rsidRDefault="00D528B4" w:rsidP="00D528B4">
      <w:pPr>
        <w:pStyle w:val="Heading2"/>
        <w:spacing w:line="240" w:lineRule="auto"/>
        <w:rPr>
          <w:rFonts w:cs="Times New Roman"/>
          <w:szCs w:val="22"/>
        </w:rPr>
      </w:pPr>
      <w:r w:rsidRPr="000C3673">
        <w:rPr>
          <w:rFonts w:cs="Times New Roman"/>
          <w:szCs w:val="22"/>
        </w:rPr>
        <w:t>Title</w:t>
      </w:r>
    </w:p>
    <w:p w14:paraId="02DB91E8" w14:textId="6FEC6E6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Novel Exoskeleton Controllers Design &amp; Development and Advanced Rehabilitation Robot for RTT Use and Research </w:t>
      </w:r>
      <w:r>
        <w:rPr>
          <w:rStyle w:val="ui-provider"/>
          <w:rFonts w:ascii="Times New Roman" w:hAnsi="Times New Roman" w:cs="Times New Roman"/>
        </w:rPr>
        <w:t xml:space="preserve">at </w:t>
      </w:r>
      <w:r w:rsidRPr="000C3673">
        <w:rPr>
          <w:rFonts w:ascii="Times New Roman" w:hAnsi="Times New Roman" w:cs="Times New Roman"/>
        </w:rPr>
        <w:t>Rehabilitation Research &amp; Development Services</w:t>
      </w:r>
      <w:r>
        <w:rPr>
          <w:rStyle w:val="ui-provider"/>
          <w:rFonts w:ascii="Times New Roman" w:hAnsi="Times New Roman" w:cs="Times New Roman"/>
        </w:rPr>
        <w:t xml:space="preserve"> </w:t>
      </w:r>
      <w:r w:rsidRPr="000C3673">
        <w:rPr>
          <w:rFonts w:ascii="Times New Roman" w:hAnsi="Times New Roman" w:cs="Times New Roman"/>
        </w:rPr>
        <w:t xml:space="preserve">Center for Limb Loss and </w:t>
      </w:r>
      <w:proofErr w:type="spellStart"/>
      <w:r w:rsidRPr="000C3673">
        <w:rPr>
          <w:rFonts w:ascii="Times New Roman" w:hAnsi="Times New Roman" w:cs="Times New Roman"/>
        </w:rPr>
        <w:t>MoBility</w:t>
      </w:r>
      <w:proofErr w:type="spellEnd"/>
      <w:r w:rsidRPr="000C3673">
        <w:rPr>
          <w:rFonts w:ascii="Times New Roman" w:hAnsi="Times New Roman" w:cs="Times New Roman"/>
        </w:rPr>
        <w:t xml:space="preserve"> (</w:t>
      </w:r>
      <w:proofErr w:type="spellStart"/>
      <w:r w:rsidRPr="000C3673">
        <w:rPr>
          <w:rFonts w:ascii="Times New Roman" w:hAnsi="Times New Roman" w:cs="Times New Roman"/>
        </w:rPr>
        <w:t>CLiMB</w:t>
      </w:r>
      <w:proofErr w:type="spellEnd"/>
      <w:r w:rsidRPr="000C3673">
        <w:rPr>
          <w:rFonts w:ascii="Times New Roman" w:hAnsi="Times New Roman" w:cs="Times New Roman"/>
        </w:rPr>
        <w:t>) of</w:t>
      </w:r>
      <w:r>
        <w:rPr>
          <w:rFonts w:ascii="Times New Roman" w:hAnsi="Times New Roman" w:cs="Times New Roman"/>
        </w:rPr>
        <w:t xml:space="preserve"> </w:t>
      </w:r>
      <w:r w:rsidRPr="000C3673">
        <w:rPr>
          <w:rFonts w:ascii="Times New Roman" w:hAnsi="Times New Roman" w:cs="Times New Roman"/>
        </w:rPr>
        <w:t>VA Puget Sound Health Care System</w:t>
      </w:r>
      <w:r>
        <w:rPr>
          <w:rFonts w:ascii="Times New Roman" w:hAnsi="Times New Roman" w:cs="Times New Roman"/>
        </w:rPr>
        <w:t>.</w:t>
      </w:r>
    </w:p>
    <w:p w14:paraId="3C7918C5" w14:textId="77777777" w:rsidR="00D528B4" w:rsidRPr="000C3673" w:rsidRDefault="00D528B4" w:rsidP="00D528B4">
      <w:pPr>
        <w:pStyle w:val="Heading2"/>
        <w:spacing w:line="240" w:lineRule="auto"/>
        <w:rPr>
          <w:rFonts w:cs="Times New Roman"/>
          <w:szCs w:val="22"/>
        </w:rPr>
      </w:pPr>
      <w:r w:rsidRPr="000C3673">
        <w:rPr>
          <w:rFonts w:cs="Times New Roman"/>
          <w:szCs w:val="22"/>
        </w:rPr>
        <w:t>Background</w:t>
      </w:r>
    </w:p>
    <w:p w14:paraId="0CB80CD9" w14:textId="77777777" w:rsidR="00D528B4" w:rsidRPr="000C3673" w:rsidRDefault="00D528B4" w:rsidP="00D528B4">
      <w:pPr>
        <w:spacing w:line="240" w:lineRule="auto"/>
        <w:ind w:firstLine="720"/>
        <w:rPr>
          <w:rFonts w:ascii="Times New Roman" w:hAnsi="Times New Roman" w:cs="Times New Roman"/>
        </w:rPr>
      </w:pPr>
      <w:proofErr w:type="spellStart"/>
      <w:r w:rsidRPr="000C3673">
        <w:rPr>
          <w:rFonts w:ascii="Times New Roman" w:hAnsi="Times New Roman" w:cs="Times New Roman"/>
        </w:rPr>
        <w:t>CLiMB</w:t>
      </w:r>
      <w:proofErr w:type="spellEnd"/>
      <w:r w:rsidRPr="000C3673">
        <w:rPr>
          <w:rFonts w:ascii="Times New Roman" w:hAnsi="Times New Roman" w:cs="Times New Roman"/>
        </w:rPr>
        <w:t xml:space="preserve"> seeks to advance rehabilitation for Veterans Having survived Stroke through Robot-Mediated Repetitive Task Training (RTT) in acute and sub-acute stages of recovery. Stroke causes significant long-term disability. The incidence of stroke in the Veteran population is very high, with approximately six-thousand VA admissions for Acute Ischemic Stroke in 2014. Developing efficacious rehabilitation programs for Veterans is a high priority. For th</w:t>
      </w:r>
      <w:r>
        <w:rPr>
          <w:rFonts w:ascii="Times New Roman" w:hAnsi="Times New Roman" w:cs="Times New Roman"/>
        </w:rPr>
        <w:t xml:space="preserve">is contract and </w:t>
      </w:r>
      <w:r w:rsidRPr="000C3673">
        <w:rPr>
          <w:rFonts w:ascii="Times New Roman" w:hAnsi="Times New Roman" w:cs="Times New Roman"/>
        </w:rPr>
        <w:t>related project</w:t>
      </w:r>
      <w:r>
        <w:rPr>
          <w:rFonts w:ascii="Times New Roman" w:hAnsi="Times New Roman" w:cs="Times New Roman"/>
        </w:rPr>
        <w:t xml:space="preserve">, </w:t>
      </w:r>
      <w:r w:rsidRPr="000C3673">
        <w:rPr>
          <w:rFonts w:ascii="Times New Roman" w:hAnsi="Times New Roman" w:cs="Times New Roman"/>
        </w:rPr>
        <w:t xml:space="preserve">the goal is to improve upper extremity functional performance which has the potential to impact Veterans’ Activities of Daily Living (ADL) and in turn, improve their vocation, recreation, and overall quality of life. </w:t>
      </w:r>
    </w:p>
    <w:p w14:paraId="0BD18BB2" w14:textId="77777777" w:rsidR="00D528B4" w:rsidRPr="000C3673" w:rsidRDefault="00D528B4" w:rsidP="00D528B4">
      <w:pPr>
        <w:spacing w:line="240" w:lineRule="auto"/>
        <w:ind w:firstLine="720"/>
        <w:rPr>
          <w:rFonts w:ascii="Times New Roman" w:hAnsi="Times New Roman" w:cs="Times New Roman"/>
        </w:rPr>
      </w:pPr>
      <w:r w:rsidRPr="000C3673">
        <w:rPr>
          <w:rFonts w:ascii="Times New Roman" w:hAnsi="Times New Roman" w:cs="Times New Roman"/>
        </w:rPr>
        <w:t xml:space="preserve">Previous research indicates that to significantly affect Stroke Recovery, it is pertinent to initiate RTT in the acute and sub-acute stages of Stroke Recovery to maintain healthy joint coordination while keeping patients both positively engaged and challenged. Repetitive Task Training is more effective than simple joint movements in improving upper extremity (arm) function. Non-robot mediated RTT can be tedious for the clinician and patient, as it can take many repetitions for ultimate results.  </w:t>
      </w:r>
    </w:p>
    <w:p w14:paraId="00E8DB3F" w14:textId="77777777" w:rsidR="00D528B4" w:rsidRPr="000C3673" w:rsidRDefault="00D528B4" w:rsidP="00D528B4">
      <w:pPr>
        <w:spacing w:line="240" w:lineRule="auto"/>
        <w:ind w:firstLine="720"/>
        <w:rPr>
          <w:rFonts w:ascii="Times New Roman" w:hAnsi="Times New Roman" w:cs="Times New Roman"/>
        </w:rPr>
      </w:pPr>
      <w:r w:rsidRPr="000C3673">
        <w:rPr>
          <w:rFonts w:ascii="Times New Roman" w:hAnsi="Times New Roman" w:cs="Times New Roman"/>
        </w:rPr>
        <w:t xml:space="preserve">The VA seeks to advance their current healthcare services for Veteran stroke patients, by incorporating Robot-Mediated Repetitive Task Training, via the Harmony SHR which is a bilateral upper extremity exoskeleton Advanced Rehabilitation Robot. The University of Texas at Austin will provide one of these for the term of the contract, for use by VA Clinicians, Principal Investigators, and their Assistants and Students that will aid in the ease, effectiveness, and overall experience of post stroke rehabilitation therapy for their patients. </w:t>
      </w:r>
      <w:proofErr w:type="gramStart"/>
      <w:r w:rsidRPr="000C3673">
        <w:rPr>
          <w:rFonts w:ascii="Times New Roman" w:hAnsi="Times New Roman" w:cs="Times New Roman"/>
        </w:rPr>
        <w:t>The Harmony SHR,</w:t>
      </w:r>
      <w:proofErr w:type="gramEnd"/>
      <w:r w:rsidRPr="000C3673">
        <w:rPr>
          <w:rFonts w:ascii="Times New Roman" w:hAnsi="Times New Roman" w:cs="Times New Roman"/>
        </w:rPr>
        <w:t xml:space="preserve"> has the ability to deliver bi-manual three-dimensional (3D) arm therapy, as treatment for early stroke recovery stages. Previously, available treatment options in the field have lacked the proper RTT tools that deliver and maintain joint coordination during 3D arm movement, while ensuring the assistance commensurate with patients’ abilities. Training to use The Harmony SHR will be provided by Dr. Deshpande who will also be available in the event the need for troubleshooting should arise.</w:t>
      </w:r>
    </w:p>
    <w:p w14:paraId="002FC07B" w14:textId="77777777" w:rsidR="00D528B4" w:rsidRPr="000C3673" w:rsidRDefault="00D528B4" w:rsidP="00D528B4">
      <w:pPr>
        <w:spacing w:line="240" w:lineRule="auto"/>
        <w:rPr>
          <w:rFonts w:ascii="Times New Roman" w:hAnsi="Times New Roman" w:cs="Times New Roman"/>
          <w:b/>
          <w:bCs/>
        </w:rPr>
      </w:pPr>
      <w:r w:rsidRPr="000C3673">
        <w:rPr>
          <w:rFonts w:ascii="Times New Roman" w:hAnsi="Times New Roman" w:cs="Times New Roman"/>
          <w:b/>
          <w:bCs/>
        </w:rPr>
        <w:t>Objective</w:t>
      </w:r>
    </w:p>
    <w:p w14:paraId="42F7D1D4" w14:textId="77777777" w:rsidR="00D528B4" w:rsidRPr="000C3673" w:rsidRDefault="00D528B4" w:rsidP="00D528B4">
      <w:pPr>
        <w:spacing w:line="240" w:lineRule="auto"/>
        <w:ind w:firstLine="720"/>
        <w:rPr>
          <w:rFonts w:ascii="Times New Roman" w:hAnsi="Times New Roman" w:cs="Times New Roman"/>
        </w:rPr>
      </w:pPr>
      <w:r w:rsidRPr="000C3673">
        <w:rPr>
          <w:rFonts w:ascii="Times New Roman" w:hAnsi="Times New Roman" w:cs="Times New Roman"/>
        </w:rPr>
        <w:t>The Contractor shall work with VA to develop Novel Controllers that use promising neurological basis for training to facilitate RTT while ensuring correct movement patterns in acute and sub-acute stage stroke patients. Specifically, (1) a Synergy Avoidance (SA) Novel Controller that will apply joint torques to push the patients away from the maladaptive joint coordination (only interfering with the movements once the subject initiates such a maladaptive movement strategy); and (2) a Task Assistance (TA) Novel Controller that will apply assistive joint torques to directly help stroke patients achieve 3D RTT activities with correct coordination at a high intensity (repetitions per session). These two Novel Controllers will be developed by Dr. Deshpande at the laboratory in the Department of Mechanical Engineering at University of Texas at Austin. This is the primary task of the contract, to develop the SA and TA software, install the software into the Harmony SHR’s Computer, and provide the Harmony (with training), to the VA.</w:t>
      </w:r>
    </w:p>
    <w:p w14:paraId="38397842" w14:textId="77777777" w:rsidR="00D528B4" w:rsidRPr="000C3673" w:rsidRDefault="00D528B4" w:rsidP="00D528B4">
      <w:pPr>
        <w:spacing w:line="240" w:lineRule="auto"/>
        <w:rPr>
          <w:rFonts w:ascii="Times New Roman" w:hAnsi="Times New Roman" w:cs="Times New Roman"/>
          <w:b/>
          <w:bCs/>
        </w:rPr>
      </w:pPr>
    </w:p>
    <w:p w14:paraId="0FC75FEF" w14:textId="77777777" w:rsidR="00D528B4" w:rsidRPr="000C3673" w:rsidRDefault="00D528B4" w:rsidP="00D528B4">
      <w:pPr>
        <w:spacing w:line="240" w:lineRule="auto"/>
        <w:ind w:firstLine="720"/>
        <w:rPr>
          <w:rFonts w:ascii="Times New Roman" w:hAnsi="Times New Roman" w:cs="Times New Roman"/>
          <w:bCs/>
        </w:rPr>
      </w:pPr>
      <w:r w:rsidRPr="000C3673">
        <w:rPr>
          <w:rFonts w:ascii="Times New Roman" w:hAnsi="Times New Roman" w:cs="Times New Roman"/>
        </w:rPr>
        <w:t xml:space="preserve">New rehabilitation programs that improve upper extremity functional performance have the potential to impact Veterans’ Activities of Daily Living (ADL) and improve their vocation, recreation, and overall quality of life. </w:t>
      </w:r>
      <w:r w:rsidRPr="000C3673">
        <w:rPr>
          <w:rFonts w:ascii="Times New Roman" w:hAnsi="Times New Roman" w:cs="Times New Roman"/>
          <w:bCs/>
        </w:rPr>
        <w:t xml:space="preserve">The development of the SA and TA Controllers constitutes a novel contribution from a robotics perspective since SA and TA Controllers have not yet been fully addressed. The SA </w:t>
      </w:r>
      <w:r w:rsidRPr="000C3673">
        <w:rPr>
          <w:rFonts w:ascii="Times New Roman" w:hAnsi="Times New Roman" w:cs="Times New Roman"/>
          <w:bCs/>
        </w:rPr>
        <w:lastRenderedPageBreak/>
        <w:t>Controller has the potential to shift the way in which robotic and non-robotic therapy is delivered, to target the underlying neural maladaptive strategies of Stroke Rehabilitation. This project may serve as a key ingredient to uncovering an understanding of neuro-recovery and for delivering previously unavailable treatments to Veterans.</w:t>
      </w:r>
    </w:p>
    <w:p w14:paraId="6EB81323" w14:textId="77777777" w:rsidR="00D528B4" w:rsidRDefault="00D528B4" w:rsidP="00D528B4">
      <w:pPr>
        <w:pStyle w:val="Heading2"/>
        <w:spacing w:line="240" w:lineRule="auto"/>
        <w:rPr>
          <w:rFonts w:cs="Times New Roman"/>
          <w:szCs w:val="22"/>
        </w:rPr>
      </w:pPr>
      <w:r w:rsidRPr="000C3673">
        <w:rPr>
          <w:rFonts w:cs="Times New Roman"/>
          <w:szCs w:val="22"/>
        </w:rPr>
        <w:t>Scope</w:t>
      </w:r>
    </w:p>
    <w:p w14:paraId="26C31236" w14:textId="77777777" w:rsidR="00D528B4" w:rsidRPr="000C3673" w:rsidRDefault="00D528B4" w:rsidP="00D528B4">
      <w:pPr>
        <w:spacing w:line="240" w:lineRule="auto"/>
        <w:ind w:firstLine="720"/>
        <w:rPr>
          <w:rFonts w:ascii="Times New Roman" w:hAnsi="Times New Roman" w:cs="Times New Roman"/>
        </w:rPr>
      </w:pPr>
      <w:r w:rsidRPr="000C3673">
        <w:rPr>
          <w:rFonts w:ascii="Times New Roman" w:hAnsi="Times New Roman" w:cs="Times New Roman"/>
        </w:rPr>
        <w:t xml:space="preserve">The general scope is that the Contractor, University of Texas at Austin be responsible to develop for VA Puget Sound Health Care System the novel exoskeleton controller design, deliver the Harmony and ensure functional use, </w:t>
      </w:r>
      <w:proofErr w:type="gramStart"/>
      <w:r w:rsidRPr="000C3673">
        <w:rPr>
          <w:rFonts w:ascii="Times New Roman" w:hAnsi="Times New Roman" w:cs="Times New Roman"/>
        </w:rPr>
        <w:t>build</w:t>
      </w:r>
      <w:proofErr w:type="gramEnd"/>
      <w:r w:rsidRPr="000C3673">
        <w:rPr>
          <w:rFonts w:ascii="Times New Roman" w:hAnsi="Times New Roman" w:cs="Times New Roman"/>
        </w:rPr>
        <w:t xml:space="preserve"> and execute protocols for stroke therapy and data analysis, and work with the VA Research Team to disseminate the research. In “Tasks” below, and in accordance with the Item Schedule of this contract, the Contractor is to perform for the base year with one optional year, these tasks.</w:t>
      </w:r>
    </w:p>
    <w:p w14:paraId="249E7C0F" w14:textId="77777777" w:rsidR="00D528B4" w:rsidRPr="000C3673" w:rsidRDefault="00D528B4" w:rsidP="00D528B4">
      <w:pPr>
        <w:spacing w:line="240" w:lineRule="auto"/>
        <w:rPr>
          <w:rFonts w:ascii="Times New Roman" w:hAnsi="Times New Roman" w:cs="Times New Roman"/>
          <w:b/>
          <w:bCs/>
        </w:rPr>
      </w:pPr>
      <w:r w:rsidRPr="000C3673">
        <w:rPr>
          <w:rFonts w:ascii="Times New Roman" w:hAnsi="Times New Roman" w:cs="Times New Roman"/>
          <w:b/>
          <w:bCs/>
        </w:rPr>
        <w:t>Tasks</w:t>
      </w:r>
    </w:p>
    <w:p w14:paraId="6F0A0823" w14:textId="77777777" w:rsidR="00D528B4" w:rsidRPr="00A069F0" w:rsidRDefault="00D528B4" w:rsidP="00D528B4">
      <w:pPr>
        <w:spacing w:line="240" w:lineRule="auto"/>
        <w:rPr>
          <w:rFonts w:ascii="Times New Roman" w:hAnsi="Times New Roman" w:cs="Times New Roman"/>
        </w:rPr>
      </w:pPr>
      <w:r w:rsidRPr="000C3673">
        <w:rPr>
          <w:rFonts w:ascii="Times New Roman" w:hAnsi="Times New Roman" w:cs="Times New Roman"/>
        </w:rPr>
        <w:t>Base Year (May 15</w:t>
      </w:r>
      <w:r w:rsidRPr="000C3673">
        <w:rPr>
          <w:rFonts w:ascii="Times New Roman" w:hAnsi="Times New Roman" w:cs="Times New Roman"/>
          <w:vertAlign w:val="superscript"/>
        </w:rPr>
        <w:t>th</w:t>
      </w:r>
      <w:r w:rsidRPr="000C3673">
        <w:rPr>
          <w:rFonts w:ascii="Times New Roman" w:hAnsi="Times New Roman" w:cs="Times New Roman"/>
        </w:rPr>
        <w:t xml:space="preserve">, </w:t>
      </w:r>
      <w:proofErr w:type="gramStart"/>
      <w:r w:rsidRPr="000C3673">
        <w:rPr>
          <w:rFonts w:ascii="Times New Roman" w:hAnsi="Times New Roman" w:cs="Times New Roman"/>
        </w:rPr>
        <w:t>2024</w:t>
      </w:r>
      <w:proofErr w:type="gramEnd"/>
      <w:r w:rsidRPr="000C3673">
        <w:rPr>
          <w:rFonts w:ascii="Times New Roman" w:hAnsi="Times New Roman" w:cs="Times New Roman"/>
        </w:rPr>
        <w:t xml:space="preserve"> to May 14</w:t>
      </w:r>
      <w:r w:rsidRPr="000C3673">
        <w:rPr>
          <w:rFonts w:ascii="Times New Roman" w:hAnsi="Times New Roman" w:cs="Times New Roman"/>
          <w:vertAlign w:val="superscript"/>
        </w:rPr>
        <w:t>th</w:t>
      </w:r>
      <w:r w:rsidRPr="000C3673">
        <w:rPr>
          <w:rFonts w:ascii="Times New Roman" w:hAnsi="Times New Roman" w:cs="Times New Roman"/>
        </w:rPr>
        <w:t>, 2025)</w:t>
      </w:r>
    </w:p>
    <w:p w14:paraId="6EE72BDC"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1: The Contractor shall develop (at laboratory in the Department of Mechanical Engineering at University of Texas at Austin), install, and ensure working order of a Synergy Avoidance (SA) Novel Controller within Harmony SHR Computer System.</w:t>
      </w:r>
    </w:p>
    <w:p w14:paraId="358A8E95"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2: The Contractor shall develop (at laboratory in the Department of Mechanical Engineering at University of Texas at Austin), install and ensure working order of a Task Assistance (TA) Novel Controller within Harmony SHR Computer System.</w:t>
      </w:r>
    </w:p>
    <w:p w14:paraId="1F8CC71E"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3: The Contractor shall deliver (with Novel Controllers), install, and ensure working order of Harmony SHR at VA Puget Sound Health Care System. The estimated delivery is by May 30th, 2024, or 15 days after contract award.</w:t>
      </w:r>
    </w:p>
    <w:p w14:paraId="76BF8D55" w14:textId="77777777" w:rsidR="00D528B4" w:rsidRPr="000C3673" w:rsidRDefault="00D528B4" w:rsidP="00D528B4">
      <w:pPr>
        <w:spacing w:line="240" w:lineRule="auto"/>
        <w:rPr>
          <w:rFonts w:ascii="Times New Roman" w:hAnsi="Times New Roman" w:cs="Times New Roman"/>
          <w:color w:val="FF0000"/>
        </w:rPr>
      </w:pPr>
      <w:r w:rsidRPr="000C3673">
        <w:rPr>
          <w:rFonts w:ascii="Times New Roman" w:hAnsi="Times New Roman" w:cs="Times New Roman"/>
        </w:rPr>
        <w:t xml:space="preserve">4: Aid in Harmony SHR set up and train the VA </w:t>
      </w:r>
      <w:proofErr w:type="spellStart"/>
      <w:r w:rsidRPr="000C3673">
        <w:rPr>
          <w:rFonts w:ascii="Times New Roman" w:hAnsi="Times New Roman" w:cs="Times New Roman"/>
        </w:rPr>
        <w:t>CliMB</w:t>
      </w:r>
      <w:proofErr w:type="spellEnd"/>
      <w:r w:rsidRPr="000C3673">
        <w:rPr>
          <w:rFonts w:ascii="Times New Roman" w:hAnsi="Times New Roman" w:cs="Times New Roman"/>
        </w:rPr>
        <w:t xml:space="preserve"> Research Staff on use of Harmony SHR, to include as needed availability and any troubleshooting for Harmony SHR exoskeleton or its software by June 15th, or 15 days after delivery).</w:t>
      </w:r>
    </w:p>
    <w:p w14:paraId="2D9DE200"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5: Collaborate on data analysis and dissemination with </w:t>
      </w:r>
      <w:proofErr w:type="spellStart"/>
      <w:r w:rsidRPr="000C3673">
        <w:rPr>
          <w:rFonts w:ascii="Times New Roman" w:hAnsi="Times New Roman" w:cs="Times New Roman"/>
        </w:rPr>
        <w:t>CLiMB</w:t>
      </w:r>
      <w:proofErr w:type="spellEnd"/>
      <w:r w:rsidRPr="000C3673">
        <w:rPr>
          <w:rFonts w:ascii="Times New Roman" w:hAnsi="Times New Roman" w:cs="Times New Roman"/>
        </w:rPr>
        <w:t xml:space="preserve"> Research Staff.</w:t>
      </w:r>
    </w:p>
    <w:p w14:paraId="1CF3F80A"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6: Dr. Deshpande (Contractor) shall mentor and supervise project-specific VA </w:t>
      </w:r>
      <w:proofErr w:type="spellStart"/>
      <w:r w:rsidRPr="000C3673">
        <w:rPr>
          <w:rFonts w:ascii="Times New Roman" w:hAnsi="Times New Roman" w:cs="Times New Roman"/>
        </w:rPr>
        <w:t>CLiMB</w:t>
      </w:r>
      <w:proofErr w:type="spellEnd"/>
      <w:r w:rsidRPr="000C3673">
        <w:rPr>
          <w:rFonts w:ascii="Times New Roman" w:hAnsi="Times New Roman" w:cs="Times New Roman"/>
        </w:rPr>
        <w:t xml:space="preserve"> Research Assistants.</w:t>
      </w:r>
    </w:p>
    <w:p w14:paraId="567F4989"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Option Year 1 (May 15</w:t>
      </w:r>
      <w:r w:rsidRPr="000C3673">
        <w:rPr>
          <w:rFonts w:ascii="Times New Roman" w:hAnsi="Times New Roman" w:cs="Times New Roman"/>
          <w:vertAlign w:val="superscript"/>
        </w:rPr>
        <w:t>th</w:t>
      </w:r>
      <w:r w:rsidRPr="000C3673">
        <w:rPr>
          <w:rFonts w:ascii="Times New Roman" w:hAnsi="Times New Roman" w:cs="Times New Roman"/>
        </w:rPr>
        <w:t xml:space="preserve">, </w:t>
      </w:r>
      <w:proofErr w:type="gramStart"/>
      <w:r w:rsidRPr="000C3673">
        <w:rPr>
          <w:rFonts w:ascii="Times New Roman" w:hAnsi="Times New Roman" w:cs="Times New Roman"/>
        </w:rPr>
        <w:t>2025</w:t>
      </w:r>
      <w:proofErr w:type="gramEnd"/>
      <w:r w:rsidRPr="000C3673">
        <w:rPr>
          <w:rFonts w:ascii="Times New Roman" w:hAnsi="Times New Roman" w:cs="Times New Roman"/>
        </w:rPr>
        <w:t xml:space="preserve"> to May 14</w:t>
      </w:r>
      <w:r w:rsidRPr="000C3673">
        <w:rPr>
          <w:rFonts w:ascii="Times New Roman" w:hAnsi="Times New Roman" w:cs="Times New Roman"/>
          <w:vertAlign w:val="superscript"/>
        </w:rPr>
        <w:t>th</w:t>
      </w:r>
      <w:r w:rsidRPr="000C3673">
        <w:rPr>
          <w:rFonts w:ascii="Times New Roman" w:hAnsi="Times New Roman" w:cs="Times New Roman"/>
        </w:rPr>
        <w:t>, 2026)</w:t>
      </w:r>
    </w:p>
    <w:p w14:paraId="6C34E58F"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1: Provide as needed availability and any troubleshooting for Harmony SHR exoskeleton or its software.</w:t>
      </w:r>
    </w:p>
    <w:p w14:paraId="44578228"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2: Collaborate on data analysis and dissemination with </w:t>
      </w:r>
      <w:proofErr w:type="spellStart"/>
      <w:r w:rsidRPr="000C3673">
        <w:rPr>
          <w:rFonts w:ascii="Times New Roman" w:hAnsi="Times New Roman" w:cs="Times New Roman"/>
        </w:rPr>
        <w:t>CLiMB</w:t>
      </w:r>
      <w:proofErr w:type="spellEnd"/>
      <w:r w:rsidRPr="000C3673">
        <w:rPr>
          <w:rFonts w:ascii="Times New Roman" w:hAnsi="Times New Roman" w:cs="Times New Roman"/>
        </w:rPr>
        <w:t xml:space="preserve"> Research Staff.</w:t>
      </w:r>
    </w:p>
    <w:p w14:paraId="6C28FEE3"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3: Dr. Deshpande (Contractor) shall mentor and supervise project-specific VA </w:t>
      </w:r>
      <w:proofErr w:type="spellStart"/>
      <w:r w:rsidRPr="000C3673">
        <w:rPr>
          <w:rFonts w:ascii="Times New Roman" w:hAnsi="Times New Roman" w:cs="Times New Roman"/>
        </w:rPr>
        <w:t>CLiMB</w:t>
      </w:r>
      <w:proofErr w:type="spellEnd"/>
      <w:r w:rsidRPr="000C3673">
        <w:rPr>
          <w:rFonts w:ascii="Times New Roman" w:hAnsi="Times New Roman" w:cs="Times New Roman"/>
        </w:rPr>
        <w:t xml:space="preserve"> Research Assistants.</w:t>
      </w:r>
    </w:p>
    <w:p w14:paraId="7BC739CE" w14:textId="77777777" w:rsidR="00D528B4" w:rsidRPr="000C3673" w:rsidRDefault="00D528B4" w:rsidP="00D528B4">
      <w:pPr>
        <w:pStyle w:val="Heading2"/>
        <w:spacing w:line="240" w:lineRule="auto"/>
        <w:rPr>
          <w:rFonts w:cs="Times New Roman"/>
          <w:szCs w:val="22"/>
        </w:rPr>
      </w:pPr>
      <w:r w:rsidRPr="000C3673">
        <w:rPr>
          <w:rFonts w:cs="Times New Roman"/>
          <w:szCs w:val="22"/>
        </w:rPr>
        <w:t>Security Requirements.</w:t>
      </w:r>
    </w:p>
    <w:p w14:paraId="2501910B" w14:textId="77777777" w:rsidR="00D528B4" w:rsidRDefault="00D528B4" w:rsidP="00D528B4">
      <w:pPr>
        <w:spacing w:line="240" w:lineRule="auto"/>
        <w:rPr>
          <w:rFonts w:ascii="Times New Roman" w:hAnsi="Times New Roman" w:cs="Times New Roman"/>
        </w:rPr>
      </w:pPr>
      <w:r w:rsidRPr="000C3673">
        <w:rPr>
          <w:rFonts w:ascii="Times New Roman" w:hAnsi="Times New Roman" w:cs="Times New Roman"/>
        </w:rPr>
        <w:t>The contractor employees shall not have access to VA sensitive or computer information and will not require routine access to VA Facilities.  The contractor employees shall require intermittent access only and will be escorted by VA employees while at VA Facilities. No background investigation is required.</w:t>
      </w:r>
    </w:p>
    <w:p w14:paraId="48261A8D" w14:textId="77777777" w:rsidR="00D528B4" w:rsidRPr="000C3673" w:rsidRDefault="00D528B4" w:rsidP="00D528B4">
      <w:pPr>
        <w:spacing w:line="240" w:lineRule="auto"/>
        <w:rPr>
          <w:rFonts w:ascii="Times New Roman" w:hAnsi="Times New Roman" w:cs="Times New Roman"/>
        </w:rPr>
      </w:pPr>
    </w:p>
    <w:p w14:paraId="78D57EF7" w14:textId="77777777" w:rsidR="00D528B4" w:rsidRPr="000C3673" w:rsidRDefault="00D528B4" w:rsidP="00D528B4">
      <w:pPr>
        <w:pStyle w:val="Heading2"/>
        <w:spacing w:line="240" w:lineRule="auto"/>
        <w:rPr>
          <w:rFonts w:cs="Times New Roman"/>
          <w:szCs w:val="22"/>
        </w:rPr>
      </w:pPr>
      <w:r w:rsidRPr="000C3673">
        <w:rPr>
          <w:rFonts w:cs="Times New Roman"/>
          <w:szCs w:val="22"/>
        </w:rPr>
        <w:t xml:space="preserve">Government-Furnished Equipment (GFE)/Government-Furnished Information (GFI).  </w:t>
      </w:r>
    </w:p>
    <w:p w14:paraId="3174D194"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There will be no GFE as part of this work. The VAPSHCS Center for Limb Loss and </w:t>
      </w:r>
      <w:proofErr w:type="spellStart"/>
      <w:r w:rsidRPr="000C3673">
        <w:rPr>
          <w:rFonts w:ascii="Times New Roman" w:hAnsi="Times New Roman" w:cs="Times New Roman"/>
        </w:rPr>
        <w:t>MoBility</w:t>
      </w:r>
      <w:proofErr w:type="spellEnd"/>
      <w:r w:rsidRPr="000C3673">
        <w:rPr>
          <w:rFonts w:ascii="Times New Roman" w:hAnsi="Times New Roman" w:cs="Times New Roman"/>
        </w:rPr>
        <w:t xml:space="preserve"> shall provide performance data without identifiers (i.e., GFI) to enable Task</w:t>
      </w:r>
      <w:r>
        <w:rPr>
          <w:rFonts w:ascii="Times New Roman" w:hAnsi="Times New Roman" w:cs="Times New Roman"/>
        </w:rPr>
        <w:t>s.</w:t>
      </w:r>
    </w:p>
    <w:p w14:paraId="6998DA61" w14:textId="77777777" w:rsidR="00D528B4" w:rsidRPr="000C3673" w:rsidRDefault="00D528B4" w:rsidP="00D528B4">
      <w:pPr>
        <w:pStyle w:val="Heading2"/>
        <w:spacing w:line="240" w:lineRule="auto"/>
        <w:rPr>
          <w:rFonts w:cs="Times New Roman"/>
          <w:szCs w:val="22"/>
        </w:rPr>
      </w:pPr>
      <w:r w:rsidRPr="000C3673">
        <w:rPr>
          <w:rFonts w:cs="Times New Roman"/>
          <w:szCs w:val="22"/>
        </w:rPr>
        <w:lastRenderedPageBreak/>
        <w:t xml:space="preserve">Other Pertinent Information or Special Considerations. </w:t>
      </w:r>
    </w:p>
    <w:p w14:paraId="27FE9D3F"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Special considerations necessary to accomplish the contract include significant experience directing extramural research projects funded by National Institutes of Health, Department of Veterans Affairs, or the National Science Foundation, to develop musculoskeletal models and human movement simulations. Relevant research projects include work to gain insight into the biomechanics and neuromotor control of human movement.</w:t>
      </w:r>
    </w:p>
    <w:p w14:paraId="6DE343D7" w14:textId="77777777" w:rsidR="00D528B4" w:rsidRPr="00A069F0" w:rsidRDefault="00D528B4" w:rsidP="00D528B4">
      <w:pPr>
        <w:tabs>
          <w:tab w:val="left" w:pos="270"/>
        </w:tabs>
        <w:spacing w:line="240" w:lineRule="auto"/>
        <w:rPr>
          <w:rFonts w:ascii="Times New Roman" w:hAnsi="Times New Roman" w:cs="Times New Roman"/>
        </w:rPr>
      </w:pPr>
      <w:r w:rsidRPr="000C3673">
        <w:rPr>
          <w:rFonts w:ascii="Times New Roman" w:hAnsi="Times New Roman" w:cs="Times New Roman"/>
        </w:rPr>
        <w:tab/>
        <w:t xml:space="preserve">a.  </w:t>
      </w:r>
      <w:r w:rsidRPr="000C3673">
        <w:rPr>
          <w:rFonts w:ascii="Times New Roman" w:hAnsi="Times New Roman" w:cs="Times New Roman"/>
          <w:u w:val="single"/>
        </w:rPr>
        <w:t>Identification of Possible Follow-on Work</w:t>
      </w:r>
      <w:r w:rsidRPr="000C3673">
        <w:rPr>
          <w:rFonts w:ascii="Times New Roman" w:hAnsi="Times New Roman" w:cs="Times New Roman"/>
        </w:rPr>
        <w:t>: Not applicable.</w:t>
      </w:r>
    </w:p>
    <w:p w14:paraId="42AE73A9" w14:textId="77777777" w:rsidR="00D528B4" w:rsidRPr="000C3673" w:rsidRDefault="00D528B4" w:rsidP="00D528B4">
      <w:pPr>
        <w:tabs>
          <w:tab w:val="left" w:pos="270"/>
        </w:tabs>
        <w:spacing w:line="240" w:lineRule="auto"/>
        <w:rPr>
          <w:rFonts w:ascii="Times New Roman" w:hAnsi="Times New Roman" w:cs="Times New Roman"/>
        </w:rPr>
      </w:pPr>
      <w:r w:rsidRPr="000C3673">
        <w:rPr>
          <w:rFonts w:ascii="Times New Roman" w:hAnsi="Times New Roman" w:cs="Times New Roman"/>
        </w:rPr>
        <w:tab/>
        <w:t xml:space="preserve">b.  </w:t>
      </w:r>
      <w:r w:rsidRPr="000C3673">
        <w:rPr>
          <w:rFonts w:ascii="Times New Roman" w:hAnsi="Times New Roman" w:cs="Times New Roman"/>
          <w:u w:val="single"/>
        </w:rPr>
        <w:t>Identification of Potential Conflicts of Interest (COI)</w:t>
      </w:r>
      <w:r w:rsidRPr="000C3673">
        <w:rPr>
          <w:rFonts w:ascii="Times New Roman" w:hAnsi="Times New Roman" w:cs="Times New Roman"/>
        </w:rPr>
        <w:t>: The customer has determined that no organizational COI or other COIs exist.</w:t>
      </w:r>
    </w:p>
    <w:p w14:paraId="3997EB3E" w14:textId="77777777" w:rsidR="00D528B4" w:rsidRPr="000C3673" w:rsidRDefault="00D528B4" w:rsidP="00D528B4">
      <w:pPr>
        <w:tabs>
          <w:tab w:val="left" w:pos="270"/>
        </w:tabs>
        <w:spacing w:line="240" w:lineRule="auto"/>
        <w:rPr>
          <w:rFonts w:ascii="Times New Roman" w:hAnsi="Times New Roman" w:cs="Times New Roman"/>
        </w:rPr>
      </w:pPr>
      <w:r w:rsidRPr="000C3673">
        <w:rPr>
          <w:rFonts w:ascii="Times New Roman" w:hAnsi="Times New Roman" w:cs="Times New Roman"/>
        </w:rPr>
        <w:tab/>
        <w:t xml:space="preserve">e.  </w:t>
      </w:r>
      <w:r w:rsidRPr="000C3673">
        <w:rPr>
          <w:rFonts w:ascii="Times New Roman" w:hAnsi="Times New Roman" w:cs="Times New Roman"/>
          <w:u w:val="single"/>
        </w:rPr>
        <w:t>Inspection and Acceptance Criteria</w:t>
      </w:r>
      <w:r w:rsidRPr="000C3673">
        <w:rPr>
          <w:rFonts w:ascii="Times New Roman" w:hAnsi="Times New Roman" w:cs="Times New Roman"/>
        </w:rPr>
        <w:t>: The Contracting Officer’s Representative (COR) will be responsible for technical administration of this contract as shall assure proper Government surveillance of the contractor’s performance. As per the Quality Assurance Surveillance Plan associated with this contract, the COR shall contact/meet with the contractor at least semi-annually to assess performance and shall provide a written assessment. Direct observation and analysis of reports shall be used to monitor performance.</w:t>
      </w:r>
    </w:p>
    <w:p w14:paraId="142882FE" w14:textId="77777777" w:rsidR="00D528B4" w:rsidRPr="00A069F0" w:rsidRDefault="00D528B4" w:rsidP="00D528B4">
      <w:pPr>
        <w:pStyle w:val="Heading2"/>
        <w:spacing w:line="240" w:lineRule="auto"/>
        <w:rPr>
          <w:rFonts w:cs="Times New Roman"/>
          <w:szCs w:val="22"/>
        </w:rPr>
      </w:pPr>
      <w:r w:rsidRPr="000C3673">
        <w:rPr>
          <w:rFonts w:cs="Times New Roman"/>
          <w:szCs w:val="22"/>
        </w:rPr>
        <w:t>Risk Control</w:t>
      </w:r>
    </w:p>
    <w:p w14:paraId="7135F91A"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There will be no human subjects research conducted as part of this contract without institutional review board approval.</w:t>
      </w:r>
    </w:p>
    <w:p w14:paraId="3EA24871" w14:textId="77777777" w:rsidR="00D528B4" w:rsidRPr="000C3673" w:rsidRDefault="00D528B4" w:rsidP="00D528B4">
      <w:pPr>
        <w:pStyle w:val="Heading2"/>
        <w:spacing w:line="240" w:lineRule="auto"/>
        <w:rPr>
          <w:rFonts w:cs="Times New Roman"/>
          <w:szCs w:val="22"/>
        </w:rPr>
      </w:pPr>
      <w:r w:rsidRPr="000C3673">
        <w:rPr>
          <w:rFonts w:cs="Times New Roman"/>
          <w:szCs w:val="22"/>
        </w:rPr>
        <w:t>Place of Performance</w:t>
      </w:r>
    </w:p>
    <w:p w14:paraId="72C1E366" w14:textId="77777777" w:rsidR="00D528B4" w:rsidRPr="000C3673" w:rsidRDefault="00D528B4" w:rsidP="00D528B4">
      <w:pPr>
        <w:tabs>
          <w:tab w:val="left" w:pos="270"/>
        </w:tabs>
        <w:spacing w:line="240" w:lineRule="auto"/>
        <w:rPr>
          <w:rFonts w:ascii="Times New Roman" w:hAnsi="Times New Roman" w:cs="Times New Roman"/>
          <w:color w:val="FF0000"/>
        </w:rPr>
      </w:pPr>
      <w:r w:rsidRPr="000C3673">
        <w:rPr>
          <w:rFonts w:ascii="Times New Roman" w:hAnsi="Times New Roman" w:cs="Times New Roman"/>
        </w:rPr>
        <w:t>Work will be performed at the Contractor’s site. Contractor will also deliver the Harmony to VA and appear on site to train VA Researchers. They will provide remote support and troubleshooting within 24 hours. The Contractors may have additional VA site visits for in-person support and troubleshooting within two weeks.</w:t>
      </w:r>
    </w:p>
    <w:p w14:paraId="133DC3C8" w14:textId="77777777" w:rsidR="00D528B4" w:rsidRPr="000C3673" w:rsidRDefault="00D528B4" w:rsidP="00D528B4">
      <w:pPr>
        <w:pStyle w:val="Heading2"/>
        <w:spacing w:line="240" w:lineRule="auto"/>
        <w:rPr>
          <w:rFonts w:cs="Times New Roman"/>
          <w:szCs w:val="22"/>
        </w:rPr>
      </w:pPr>
      <w:r w:rsidRPr="000C3673">
        <w:rPr>
          <w:rFonts w:cs="Times New Roman"/>
          <w:szCs w:val="22"/>
        </w:rPr>
        <w:t>Delivery Schedule</w:t>
      </w:r>
    </w:p>
    <w:p w14:paraId="438C8FB8" w14:textId="77777777" w:rsidR="00D528B4" w:rsidRPr="00CE2502" w:rsidRDefault="00D528B4" w:rsidP="00D528B4">
      <w:pPr>
        <w:spacing w:line="240" w:lineRule="auto"/>
        <w:rPr>
          <w:rFonts w:ascii="Times New Roman" w:hAnsi="Times New Roman" w:cs="Times New Roman"/>
          <w:color w:val="FF0000"/>
        </w:rPr>
      </w:pPr>
      <w:r w:rsidRPr="000C3673">
        <w:rPr>
          <w:rFonts w:ascii="Times New Roman" w:hAnsi="Times New Roman" w:cs="Times New Roman"/>
        </w:rPr>
        <w:t xml:space="preserve">Delivery of reports and documents supporting completion of all Tasks shall be submitted upon completion, but no later than May 2025 (Base Year) and May 2026 (Option Year 1). </w:t>
      </w:r>
    </w:p>
    <w:p w14:paraId="02726B4D" w14:textId="77777777" w:rsidR="00D528B4" w:rsidRPr="000C3673" w:rsidRDefault="00D528B4" w:rsidP="00D528B4">
      <w:pPr>
        <w:pStyle w:val="DocumentTitle"/>
        <w:jc w:val="left"/>
        <w:rPr>
          <w:rFonts w:ascii="Times New Roman" w:hAnsi="Times New Roman"/>
          <w:sz w:val="22"/>
          <w:szCs w:val="22"/>
        </w:rPr>
      </w:pPr>
      <w:bookmarkStart w:id="1" w:name="Appendix_D"/>
    </w:p>
    <w:p w14:paraId="7A8B1A33" w14:textId="77777777" w:rsidR="00D528B4" w:rsidRPr="000C3673" w:rsidRDefault="00D528B4" w:rsidP="00D528B4">
      <w:pPr>
        <w:pStyle w:val="DocumentTitle"/>
        <w:rPr>
          <w:rFonts w:ascii="Times New Roman" w:hAnsi="Times New Roman"/>
          <w:sz w:val="22"/>
          <w:szCs w:val="22"/>
        </w:rPr>
      </w:pPr>
      <w:r w:rsidRPr="000C3673">
        <w:rPr>
          <w:rFonts w:ascii="Times New Roman" w:hAnsi="Times New Roman"/>
          <w:sz w:val="22"/>
          <w:szCs w:val="22"/>
        </w:rPr>
        <w:t xml:space="preserve"> </w:t>
      </w:r>
      <w:bookmarkStart w:id="2" w:name="_Hlk154140676"/>
      <w:r w:rsidRPr="000C3673">
        <w:rPr>
          <w:rFonts w:ascii="Times New Roman" w:hAnsi="Times New Roman"/>
          <w:sz w:val="22"/>
          <w:szCs w:val="22"/>
        </w:rPr>
        <w:t xml:space="preserve">VA INFORMATION AND INFORMATION SYSTEM SECURITY/PRIVACY language </w:t>
      </w:r>
      <w:bookmarkEnd w:id="1"/>
      <w:bookmarkEnd w:id="2"/>
    </w:p>
    <w:p w14:paraId="4578FD55" w14:textId="77777777" w:rsidR="00D528B4" w:rsidRPr="000C3673" w:rsidRDefault="00D528B4" w:rsidP="00D528B4">
      <w:pPr>
        <w:pStyle w:val="DocumentTitle"/>
        <w:rPr>
          <w:rFonts w:ascii="Times New Roman" w:hAnsi="Times New Roman"/>
          <w:sz w:val="22"/>
          <w:szCs w:val="22"/>
        </w:rPr>
      </w:pPr>
    </w:p>
    <w:p w14:paraId="4D9B7886" w14:textId="77777777" w:rsidR="00D528B4" w:rsidRPr="000C3673" w:rsidRDefault="00D528B4" w:rsidP="00D528B4">
      <w:pPr>
        <w:pStyle w:val="ListNumber"/>
        <w:numPr>
          <w:ilvl w:val="0"/>
          <w:numId w:val="5"/>
        </w:numPr>
        <w:rPr>
          <w:sz w:val="22"/>
          <w:szCs w:val="22"/>
        </w:rPr>
      </w:pPr>
      <w:bookmarkStart w:id="3" w:name="_Toc220303660"/>
      <w:r w:rsidRPr="000C3673">
        <w:rPr>
          <w:sz w:val="22"/>
          <w:szCs w:val="22"/>
        </w:rPr>
        <w:t>GENERAL</w:t>
      </w:r>
      <w:bookmarkEnd w:id="3"/>
    </w:p>
    <w:p w14:paraId="606B93EE" w14:textId="77777777" w:rsidR="00D528B4" w:rsidRPr="000C3673" w:rsidRDefault="00D528B4" w:rsidP="00D528B4">
      <w:pPr>
        <w:spacing w:line="240" w:lineRule="auto"/>
        <w:rPr>
          <w:rFonts w:ascii="Times New Roman" w:hAnsi="Times New Roman" w:cs="Times New Roman"/>
        </w:rPr>
      </w:pPr>
    </w:p>
    <w:p w14:paraId="1A16F6D7"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Contractors, contractor personnel, subcontractors, and subcontractor personnel shall be subject to the same Federal laws, regulations, standards, and VA Directives and Handbooks as VA and VA personnel regarding information and information system security.</w:t>
      </w:r>
    </w:p>
    <w:p w14:paraId="7E0866BA" w14:textId="77777777" w:rsidR="00D528B4" w:rsidRPr="000C3673" w:rsidRDefault="00D528B4" w:rsidP="00D528B4">
      <w:pPr>
        <w:spacing w:line="240" w:lineRule="auto"/>
        <w:rPr>
          <w:rFonts w:ascii="Times New Roman" w:hAnsi="Times New Roman" w:cs="Times New Roman"/>
        </w:rPr>
      </w:pPr>
    </w:p>
    <w:p w14:paraId="2359D87F" w14:textId="77777777" w:rsidR="00D528B4" w:rsidRPr="000C3673" w:rsidRDefault="00D528B4" w:rsidP="00D528B4">
      <w:pPr>
        <w:pStyle w:val="ListNumber"/>
        <w:rPr>
          <w:sz w:val="22"/>
          <w:szCs w:val="22"/>
        </w:rPr>
      </w:pPr>
      <w:bookmarkStart w:id="4" w:name="_Toc220303661"/>
      <w:r w:rsidRPr="000C3673">
        <w:rPr>
          <w:sz w:val="22"/>
          <w:szCs w:val="22"/>
        </w:rPr>
        <w:t>ACCESS to VA INFORMATION AND VA INFORMATION SYSTEMS</w:t>
      </w:r>
      <w:bookmarkEnd w:id="4"/>
    </w:p>
    <w:p w14:paraId="48D33B68" w14:textId="77777777" w:rsidR="00D528B4" w:rsidRPr="000C3673" w:rsidRDefault="00D528B4" w:rsidP="00D528B4">
      <w:pPr>
        <w:spacing w:line="240" w:lineRule="auto"/>
        <w:rPr>
          <w:rFonts w:ascii="Times New Roman" w:hAnsi="Times New Roman" w:cs="Times New Roman"/>
        </w:rPr>
      </w:pPr>
    </w:p>
    <w:p w14:paraId="6A9AD241" w14:textId="77777777" w:rsidR="00D528B4" w:rsidRPr="000C3673" w:rsidRDefault="00D528B4" w:rsidP="00D528B4">
      <w:pPr>
        <w:pStyle w:val="ListNumber2"/>
        <w:numPr>
          <w:ilvl w:val="0"/>
          <w:numId w:val="6"/>
        </w:numPr>
        <w:rPr>
          <w:sz w:val="22"/>
          <w:szCs w:val="22"/>
        </w:rPr>
      </w:pPr>
      <w:bookmarkStart w:id="5" w:name="_Toc220303662"/>
      <w:r w:rsidRPr="000C3673">
        <w:rPr>
          <w:sz w:val="22"/>
          <w:szCs w:val="22"/>
        </w:rPr>
        <w:t>A contractor/</w:t>
      </w:r>
      <w:proofErr w:type="spellStart"/>
      <w:r w:rsidRPr="000C3673">
        <w:rPr>
          <w:sz w:val="22"/>
          <w:szCs w:val="22"/>
        </w:rPr>
        <w:t>subcontrator</w:t>
      </w:r>
      <w:proofErr w:type="spellEnd"/>
      <w:r w:rsidRPr="000C3673">
        <w:rPr>
          <w:sz w:val="22"/>
          <w:szCs w:val="22"/>
        </w:rPr>
        <w:t xml:space="preserve"> shall request logical (technical) or physical access to VA information and VA information systems for their employees, subcontractors, and affiliates only to the extent necessary to perform the services specified in the contract, agreement, or task order</w:t>
      </w:r>
      <w:bookmarkEnd w:id="5"/>
      <w:r w:rsidRPr="000C3673">
        <w:rPr>
          <w:sz w:val="22"/>
          <w:szCs w:val="22"/>
        </w:rPr>
        <w:t>.</w:t>
      </w:r>
      <w:r w:rsidRPr="000C3673">
        <w:rPr>
          <w:sz w:val="22"/>
          <w:szCs w:val="22"/>
        </w:rPr>
        <w:br/>
      </w:r>
    </w:p>
    <w:p w14:paraId="508100C6" w14:textId="77777777" w:rsidR="00D528B4" w:rsidRPr="000C3673" w:rsidRDefault="00D528B4" w:rsidP="00D528B4">
      <w:pPr>
        <w:pStyle w:val="ListNumber2"/>
        <w:numPr>
          <w:ilvl w:val="0"/>
          <w:numId w:val="6"/>
        </w:numPr>
        <w:rPr>
          <w:sz w:val="22"/>
          <w:szCs w:val="22"/>
        </w:rPr>
      </w:pPr>
      <w:bookmarkStart w:id="6" w:name="_Toc220303663"/>
      <w:r w:rsidRPr="000C3673">
        <w:rPr>
          <w:sz w:val="22"/>
          <w:szCs w:val="22"/>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w:t>
      </w:r>
      <w:r w:rsidRPr="000C3673">
        <w:rPr>
          <w:sz w:val="22"/>
          <w:szCs w:val="22"/>
        </w:rPr>
        <w:lastRenderedPageBreak/>
        <w:t xml:space="preserve">investigations for contractors must be in accordance with VA Directive and Handbook 0710, </w:t>
      </w:r>
      <w:r w:rsidRPr="000C3673">
        <w:rPr>
          <w:i/>
          <w:sz w:val="22"/>
          <w:szCs w:val="22"/>
        </w:rPr>
        <w:t>Personnel Suitability and Security Program</w:t>
      </w:r>
      <w:r w:rsidRPr="000C3673">
        <w:rPr>
          <w:sz w:val="22"/>
          <w:szCs w:val="22"/>
        </w:rPr>
        <w:t xml:space="preserve">.  </w:t>
      </w:r>
      <w:bookmarkEnd w:id="6"/>
      <w:r w:rsidRPr="000C3673">
        <w:rPr>
          <w:sz w:val="22"/>
          <w:szCs w:val="22"/>
        </w:rPr>
        <w:t>The Office for Operations, Security, and Preparedness is responsible for these policies and procedures.</w:t>
      </w:r>
    </w:p>
    <w:p w14:paraId="00077AC2" w14:textId="77777777" w:rsidR="00D528B4" w:rsidRPr="000C3673" w:rsidRDefault="00D528B4" w:rsidP="00D528B4">
      <w:pPr>
        <w:pStyle w:val="ListNumber2"/>
        <w:numPr>
          <w:ilvl w:val="0"/>
          <w:numId w:val="0"/>
        </w:numPr>
        <w:tabs>
          <w:tab w:val="left" w:pos="720"/>
        </w:tabs>
        <w:ind w:left="360"/>
        <w:rPr>
          <w:sz w:val="22"/>
          <w:szCs w:val="22"/>
        </w:rPr>
      </w:pPr>
    </w:p>
    <w:p w14:paraId="39FD1B40" w14:textId="77777777" w:rsidR="00D528B4" w:rsidRPr="000C3673" w:rsidRDefault="00D528B4" w:rsidP="00D528B4">
      <w:pPr>
        <w:pStyle w:val="ListNumber2"/>
        <w:rPr>
          <w:sz w:val="22"/>
          <w:szCs w:val="22"/>
        </w:rPr>
      </w:pPr>
      <w:bookmarkStart w:id="7" w:name="_Toc220303664"/>
      <w:r w:rsidRPr="000C3673">
        <w:rPr>
          <w:sz w:val="22"/>
          <w:szCs w:val="22"/>
        </w:rPr>
        <w:t xml:space="preserve">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w:t>
      </w:r>
      <w:bookmarkEnd w:id="7"/>
      <w:r w:rsidRPr="000C3673">
        <w:rPr>
          <w:sz w:val="22"/>
          <w:szCs w:val="22"/>
        </w:rPr>
        <w:t>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3E0B37A0" w14:textId="77777777" w:rsidR="00D528B4" w:rsidRPr="000C3673" w:rsidRDefault="00D528B4" w:rsidP="00D528B4">
      <w:pPr>
        <w:pStyle w:val="ListNumber2"/>
        <w:numPr>
          <w:ilvl w:val="0"/>
          <w:numId w:val="0"/>
        </w:numPr>
        <w:tabs>
          <w:tab w:val="left" w:pos="720"/>
        </w:tabs>
        <w:ind w:left="360"/>
        <w:rPr>
          <w:sz w:val="22"/>
          <w:szCs w:val="22"/>
        </w:rPr>
      </w:pPr>
    </w:p>
    <w:p w14:paraId="4F61C047" w14:textId="77777777" w:rsidR="00D528B4" w:rsidRPr="000C3673" w:rsidRDefault="00D528B4" w:rsidP="00D528B4">
      <w:pPr>
        <w:pStyle w:val="ListNumber2"/>
        <w:rPr>
          <w:sz w:val="22"/>
          <w:szCs w:val="22"/>
        </w:rPr>
      </w:pPr>
      <w:r w:rsidRPr="000C3673">
        <w:rPr>
          <w:sz w:val="22"/>
          <w:szCs w:val="22"/>
        </w:rPr>
        <w:t xml:space="preserve">Custom software development and outsourced operations must </w:t>
      </w:r>
      <w:proofErr w:type="gramStart"/>
      <w:r w:rsidRPr="000C3673">
        <w:rPr>
          <w:sz w:val="22"/>
          <w:szCs w:val="22"/>
        </w:rPr>
        <w:t>be located in</w:t>
      </w:r>
      <w:proofErr w:type="gramEnd"/>
      <w:r w:rsidRPr="000C3673">
        <w:rPr>
          <w:sz w:val="22"/>
          <w:szCs w:val="22"/>
        </w:rPr>
        <w:t xml:space="preserve"> the U.S. to the maximum extent practical.  If such services are proposed to be performed abroad and are not disallowed by other VA policy or mandates,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w:t>
      </w:r>
      <w:proofErr w:type="gramStart"/>
      <w:r w:rsidRPr="000C3673">
        <w:rPr>
          <w:sz w:val="22"/>
          <w:szCs w:val="22"/>
        </w:rPr>
        <w:t>factor</w:t>
      </w:r>
      <w:proofErr w:type="gramEnd"/>
    </w:p>
    <w:p w14:paraId="741A44BF" w14:textId="77777777" w:rsidR="00D528B4" w:rsidRPr="000C3673" w:rsidRDefault="00D528B4" w:rsidP="00D528B4">
      <w:pPr>
        <w:pStyle w:val="ListNumber2"/>
        <w:numPr>
          <w:ilvl w:val="0"/>
          <w:numId w:val="0"/>
        </w:numPr>
        <w:rPr>
          <w:sz w:val="22"/>
          <w:szCs w:val="22"/>
        </w:rPr>
      </w:pPr>
    </w:p>
    <w:p w14:paraId="2ECC553D" w14:textId="77777777" w:rsidR="00D528B4" w:rsidRPr="000C3673" w:rsidRDefault="00D528B4" w:rsidP="00D528B4">
      <w:pPr>
        <w:pStyle w:val="ListNumber2"/>
        <w:rPr>
          <w:sz w:val="22"/>
          <w:szCs w:val="22"/>
        </w:rPr>
      </w:pPr>
      <w:r w:rsidRPr="000C3673">
        <w:rPr>
          <w:sz w:val="22"/>
          <w:szCs w:val="22"/>
        </w:rPr>
        <w:t>The contractor or subcontractor must notify the Contracting Officer immediately when an employee working on a VA system or with access to VA information is reassigned or leaves the contractor or subcontractor’s employ.  The Contracting Officer must also be notified immediately by the contractor or subcontractor prior to an unfriendly termination.</w:t>
      </w:r>
    </w:p>
    <w:p w14:paraId="6FEED6C1" w14:textId="77777777" w:rsidR="00D528B4" w:rsidRPr="000C3673" w:rsidRDefault="00D528B4" w:rsidP="00D528B4">
      <w:pPr>
        <w:pStyle w:val="ListNumber2"/>
        <w:numPr>
          <w:ilvl w:val="0"/>
          <w:numId w:val="0"/>
        </w:numPr>
        <w:tabs>
          <w:tab w:val="left" w:pos="720"/>
        </w:tabs>
        <w:ind w:firstLine="360"/>
        <w:rPr>
          <w:sz w:val="22"/>
          <w:szCs w:val="22"/>
        </w:rPr>
      </w:pPr>
    </w:p>
    <w:p w14:paraId="38B1A2E6" w14:textId="77777777" w:rsidR="00D528B4" w:rsidRPr="000C3673" w:rsidRDefault="00D528B4" w:rsidP="00D528B4">
      <w:pPr>
        <w:pStyle w:val="ListNumber2"/>
        <w:numPr>
          <w:ilvl w:val="0"/>
          <w:numId w:val="0"/>
        </w:numPr>
        <w:tabs>
          <w:tab w:val="left" w:pos="720"/>
        </w:tabs>
        <w:ind w:firstLine="360"/>
        <w:rPr>
          <w:sz w:val="22"/>
          <w:szCs w:val="22"/>
        </w:rPr>
      </w:pPr>
    </w:p>
    <w:p w14:paraId="11C323E7" w14:textId="77777777" w:rsidR="00D528B4" w:rsidRPr="000C3673" w:rsidRDefault="00D528B4" w:rsidP="00D528B4">
      <w:pPr>
        <w:pStyle w:val="ListNumber"/>
        <w:rPr>
          <w:sz w:val="22"/>
          <w:szCs w:val="22"/>
        </w:rPr>
      </w:pPr>
      <w:bookmarkStart w:id="8" w:name="_Toc220303665"/>
      <w:r w:rsidRPr="000C3673">
        <w:rPr>
          <w:sz w:val="22"/>
          <w:szCs w:val="22"/>
        </w:rPr>
        <w:t xml:space="preserve">VA INFORMATION CUSTODIAL </w:t>
      </w:r>
      <w:bookmarkEnd w:id="8"/>
      <w:r w:rsidRPr="000C3673">
        <w:rPr>
          <w:sz w:val="22"/>
          <w:szCs w:val="22"/>
        </w:rPr>
        <w:t>Language</w:t>
      </w:r>
    </w:p>
    <w:p w14:paraId="0645204D" w14:textId="77777777" w:rsidR="00D528B4" w:rsidRPr="000C3673" w:rsidRDefault="00D528B4" w:rsidP="00D528B4">
      <w:pPr>
        <w:spacing w:line="240" w:lineRule="auto"/>
        <w:rPr>
          <w:rFonts w:ascii="Times New Roman" w:hAnsi="Times New Roman" w:cs="Times New Roman"/>
        </w:rPr>
      </w:pPr>
    </w:p>
    <w:p w14:paraId="24F4D31C" w14:textId="77777777" w:rsidR="00D528B4" w:rsidRPr="000C3673" w:rsidRDefault="00D528B4" w:rsidP="00D528B4">
      <w:pPr>
        <w:pStyle w:val="ListNumber2"/>
        <w:numPr>
          <w:ilvl w:val="0"/>
          <w:numId w:val="7"/>
        </w:numPr>
        <w:rPr>
          <w:sz w:val="22"/>
          <w:szCs w:val="22"/>
        </w:rPr>
      </w:pPr>
      <w:bookmarkStart w:id="9" w:name="_Toc220303666"/>
      <w:r w:rsidRPr="000C3673">
        <w:rPr>
          <w:sz w:val="22"/>
          <w:szCs w:val="22"/>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the VA.  This clause expressly limits the contractor/subcontractor's rights to use data as described in Rights in Data - General, FAR 52.227-14(d) (1).</w:t>
      </w:r>
      <w:bookmarkEnd w:id="9"/>
    </w:p>
    <w:p w14:paraId="5F53A84B" w14:textId="77777777" w:rsidR="00D528B4" w:rsidRPr="000C3673" w:rsidRDefault="00D528B4" w:rsidP="00D528B4">
      <w:pPr>
        <w:pStyle w:val="ListNumber2"/>
        <w:numPr>
          <w:ilvl w:val="0"/>
          <w:numId w:val="0"/>
        </w:numPr>
        <w:tabs>
          <w:tab w:val="left" w:pos="720"/>
        </w:tabs>
        <w:ind w:left="360"/>
        <w:rPr>
          <w:sz w:val="22"/>
          <w:szCs w:val="22"/>
        </w:rPr>
      </w:pPr>
    </w:p>
    <w:p w14:paraId="276C3E42" w14:textId="77777777" w:rsidR="00D528B4" w:rsidRPr="000C3673" w:rsidRDefault="00D528B4" w:rsidP="00D528B4">
      <w:pPr>
        <w:pStyle w:val="ListNumber2"/>
        <w:rPr>
          <w:sz w:val="22"/>
          <w:szCs w:val="22"/>
        </w:rPr>
      </w:pPr>
      <w:bookmarkStart w:id="10" w:name="_Toc220303668"/>
      <w:r w:rsidRPr="000C3673">
        <w:rPr>
          <w:sz w:val="22"/>
          <w:szCs w:val="22"/>
        </w:rPr>
        <w:t xml:space="preserve">VA information should not be co-mingled, if possible, with any other data on the contractors/subcontractor’s information systems or media storage systems </w:t>
      </w:r>
      <w:proofErr w:type="gramStart"/>
      <w:r w:rsidRPr="000C3673">
        <w:rPr>
          <w:sz w:val="22"/>
          <w:szCs w:val="22"/>
        </w:rPr>
        <w:t>in order to</w:t>
      </w:r>
      <w:proofErr w:type="gramEnd"/>
      <w:r w:rsidRPr="000C3673">
        <w:rPr>
          <w:sz w:val="22"/>
          <w:szCs w:val="22"/>
        </w:rPr>
        <w:t xml:space="preserve"> ensure VA requirements related to data protection and media sanitization can be met.  If co-mingling must be allowed to meet the requirements of the business need, the contractor must ensure that VA’s information is returned to the VA or destroyed in accordance with VA’s sanitization requirements.  VA reserves the right to conduct </w:t>
      </w:r>
      <w:proofErr w:type="spellStart"/>
      <w:r w:rsidRPr="000C3673">
        <w:rPr>
          <w:sz w:val="22"/>
          <w:szCs w:val="22"/>
        </w:rPr>
        <w:t>on site</w:t>
      </w:r>
      <w:proofErr w:type="spellEnd"/>
      <w:r w:rsidRPr="000C3673">
        <w:rPr>
          <w:sz w:val="22"/>
          <w:szCs w:val="22"/>
        </w:rPr>
        <w:t xml:space="preserve"> inspections of contractor and subcontractor IT resources to ensure data security controls, separation of data and job duties, and destruction/media sanitization procedures </w:t>
      </w:r>
      <w:proofErr w:type="gramStart"/>
      <w:r w:rsidRPr="000C3673">
        <w:rPr>
          <w:sz w:val="22"/>
          <w:szCs w:val="22"/>
        </w:rPr>
        <w:t>are in compliance with</w:t>
      </w:r>
      <w:proofErr w:type="gramEnd"/>
      <w:r w:rsidRPr="000C3673">
        <w:rPr>
          <w:sz w:val="22"/>
          <w:szCs w:val="22"/>
        </w:rPr>
        <w:t xml:space="preserve"> VA directive requirements.</w:t>
      </w:r>
      <w:bookmarkEnd w:id="10"/>
      <w:r w:rsidRPr="000C3673">
        <w:rPr>
          <w:sz w:val="22"/>
          <w:szCs w:val="22"/>
        </w:rPr>
        <w:br/>
      </w:r>
    </w:p>
    <w:p w14:paraId="7E9D2ADC" w14:textId="77777777" w:rsidR="00D528B4" w:rsidRPr="000C3673" w:rsidRDefault="00D528B4" w:rsidP="00D528B4">
      <w:pPr>
        <w:pStyle w:val="ListNumber2"/>
        <w:rPr>
          <w:sz w:val="22"/>
          <w:szCs w:val="22"/>
        </w:rPr>
      </w:pPr>
      <w:bookmarkStart w:id="11" w:name="_Toc220303669"/>
      <w:r w:rsidRPr="000C3673">
        <w:rPr>
          <w:sz w:val="22"/>
          <w:szCs w:val="22"/>
        </w:rPr>
        <w:t xml:space="preserve">Prior to termination or completion of this contract, contractor/subcontractor must not destroy information received from VA, or gathered/created by the contractor </w:t>
      </w:r>
      <w:proofErr w:type="gramStart"/>
      <w:r w:rsidRPr="000C3673">
        <w:rPr>
          <w:sz w:val="22"/>
          <w:szCs w:val="22"/>
        </w:rPr>
        <w:t>in the course of</w:t>
      </w:r>
      <w:proofErr w:type="gramEnd"/>
      <w:r w:rsidRPr="000C3673">
        <w:rPr>
          <w:sz w:val="22"/>
          <w:szCs w:val="22"/>
        </w:rPr>
        <w:t xml:space="preserve"> performing this contract without prior written approval by the VA.  Any data destruction done on behalf of VA by a contractor/subcontractor must be done in accordance with National Archives and Records Administration (NARA) requirements as outlined in VA Directive 6300, </w:t>
      </w:r>
      <w:r w:rsidRPr="000C3673">
        <w:rPr>
          <w:i/>
          <w:sz w:val="22"/>
          <w:szCs w:val="22"/>
        </w:rPr>
        <w:t>Records and Information Management</w:t>
      </w:r>
      <w:r w:rsidRPr="000C3673">
        <w:rPr>
          <w:sz w:val="22"/>
          <w:szCs w:val="22"/>
        </w:rPr>
        <w:t xml:space="preserve"> and its Handbook 6300.1 </w:t>
      </w:r>
      <w:r w:rsidRPr="000C3673">
        <w:rPr>
          <w:i/>
          <w:sz w:val="22"/>
          <w:szCs w:val="22"/>
        </w:rPr>
        <w:t>Records Management Procedures</w:t>
      </w:r>
      <w:r w:rsidRPr="000C3673">
        <w:rPr>
          <w:sz w:val="22"/>
          <w:szCs w:val="22"/>
        </w:rPr>
        <w:t xml:space="preserve">, applicable VA Records Control Schedules, and VA </w:t>
      </w:r>
      <w:r w:rsidRPr="000C3673">
        <w:rPr>
          <w:sz w:val="22"/>
          <w:szCs w:val="22"/>
        </w:rPr>
        <w:lastRenderedPageBreak/>
        <w:t xml:space="preserve">Handbook 6500.1, </w:t>
      </w:r>
      <w:r w:rsidRPr="000C3673">
        <w:rPr>
          <w:i/>
          <w:sz w:val="22"/>
          <w:szCs w:val="22"/>
        </w:rPr>
        <w:t>Electronic Media Sanitization</w:t>
      </w:r>
      <w:r w:rsidRPr="000C3673">
        <w:rPr>
          <w:sz w:val="22"/>
          <w:szCs w:val="22"/>
        </w:rPr>
        <w:t>.</w:t>
      </w:r>
      <w:bookmarkEnd w:id="11"/>
      <w:r w:rsidRPr="000C3673">
        <w:rPr>
          <w:sz w:val="22"/>
          <w:szCs w:val="22"/>
        </w:rPr>
        <w:t xml:space="preserve">  Self-certification by the contractor that the data destruction requirements above have been met must be sent to the VA Contracting Officer within 30 days of termination of the contract.</w:t>
      </w:r>
      <w:r w:rsidRPr="000C3673">
        <w:rPr>
          <w:sz w:val="22"/>
          <w:szCs w:val="22"/>
        </w:rPr>
        <w:br/>
      </w:r>
    </w:p>
    <w:p w14:paraId="6E8245A9" w14:textId="77777777" w:rsidR="00D528B4" w:rsidRPr="000C3673" w:rsidRDefault="00D528B4" w:rsidP="00D528B4">
      <w:pPr>
        <w:pStyle w:val="ListNumber2"/>
        <w:rPr>
          <w:sz w:val="22"/>
          <w:szCs w:val="22"/>
        </w:rPr>
      </w:pPr>
      <w:bookmarkStart w:id="12" w:name="_Toc220303670"/>
      <w:r w:rsidRPr="000C3673">
        <w:rPr>
          <w:sz w:val="22"/>
          <w:szCs w:val="22"/>
        </w:rPr>
        <w:t xml:space="preserve">The contractor/subcontractor must receive, gather, store, back up, maintain, use, disclose and dispose of VA information only in compliance with the terms of the contract and applicable Federal and VA information confidentiality and security laws, </w:t>
      </w:r>
      <w:proofErr w:type="gramStart"/>
      <w:r w:rsidRPr="000C3673">
        <w:rPr>
          <w:sz w:val="22"/>
          <w:szCs w:val="22"/>
        </w:rPr>
        <w:t>regulations</w:t>
      </w:r>
      <w:proofErr w:type="gramEnd"/>
      <w:r w:rsidRPr="000C3673">
        <w:rPr>
          <w:sz w:val="22"/>
          <w:szCs w:val="22"/>
        </w:rPr>
        <w:t xml:space="preserve"> and policies.  If Federal or VA information confidentiality and security laws, regulations and policies become applicable to the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w:t>
      </w:r>
      <w:proofErr w:type="gramStart"/>
      <w:r w:rsidRPr="000C3673">
        <w:rPr>
          <w:sz w:val="22"/>
          <w:szCs w:val="22"/>
        </w:rPr>
        <w:t>regulations</w:t>
      </w:r>
      <w:proofErr w:type="gramEnd"/>
      <w:r w:rsidRPr="000C3673">
        <w:rPr>
          <w:sz w:val="22"/>
          <w:szCs w:val="22"/>
        </w:rPr>
        <w:t xml:space="preserve"> and policies in this contract.</w:t>
      </w:r>
      <w:bookmarkEnd w:id="12"/>
      <w:r w:rsidRPr="000C3673">
        <w:rPr>
          <w:sz w:val="22"/>
          <w:szCs w:val="22"/>
        </w:rPr>
        <w:br/>
      </w:r>
    </w:p>
    <w:p w14:paraId="16B75B75" w14:textId="77777777" w:rsidR="00D528B4" w:rsidRPr="000C3673" w:rsidRDefault="00D528B4" w:rsidP="00D528B4">
      <w:pPr>
        <w:pStyle w:val="ListNumber2"/>
        <w:rPr>
          <w:sz w:val="22"/>
          <w:szCs w:val="22"/>
        </w:rPr>
      </w:pPr>
      <w:bookmarkStart w:id="13" w:name="_Toc220303672"/>
      <w:r w:rsidRPr="000C3673">
        <w:rPr>
          <w:sz w:val="22"/>
          <w:szCs w:val="22"/>
        </w:rPr>
        <w:t>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 needs to be restored to an operating state.</w:t>
      </w:r>
      <w:bookmarkEnd w:id="13"/>
      <w:r w:rsidRPr="000C3673">
        <w:rPr>
          <w:sz w:val="22"/>
          <w:szCs w:val="22"/>
        </w:rPr>
        <w:t xml:space="preserve">  If copies are made for restoration purposes, after the restoration is complete, the copies must be appropriately destroyed.</w:t>
      </w:r>
      <w:r w:rsidRPr="000C3673">
        <w:rPr>
          <w:sz w:val="22"/>
          <w:szCs w:val="22"/>
        </w:rPr>
        <w:br/>
      </w:r>
    </w:p>
    <w:p w14:paraId="133C631C" w14:textId="77777777" w:rsidR="00D528B4" w:rsidRPr="000C3673" w:rsidRDefault="00D528B4" w:rsidP="00D528B4">
      <w:pPr>
        <w:pStyle w:val="ListNumber2"/>
        <w:rPr>
          <w:sz w:val="22"/>
          <w:szCs w:val="22"/>
        </w:rPr>
      </w:pPr>
      <w:bookmarkStart w:id="14" w:name="_Toc220303673"/>
      <w:r w:rsidRPr="000C3673">
        <w:rPr>
          <w:sz w:val="22"/>
          <w:szCs w:val="22"/>
        </w:rPr>
        <w:t>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w:t>
      </w:r>
      <w:bookmarkEnd w:id="14"/>
      <w:r w:rsidRPr="000C3673">
        <w:rPr>
          <w:sz w:val="22"/>
          <w:szCs w:val="22"/>
        </w:rPr>
        <w:br/>
      </w:r>
    </w:p>
    <w:p w14:paraId="0EB2E737" w14:textId="77777777" w:rsidR="00D528B4" w:rsidRPr="000C3673" w:rsidRDefault="00D528B4" w:rsidP="00D528B4">
      <w:pPr>
        <w:pStyle w:val="ListNumber2"/>
        <w:rPr>
          <w:sz w:val="22"/>
          <w:szCs w:val="22"/>
        </w:rPr>
      </w:pPr>
      <w:bookmarkStart w:id="15" w:name="_Toc220303674"/>
      <w:r w:rsidRPr="000C3673">
        <w:rPr>
          <w:sz w:val="22"/>
          <w:szCs w:val="22"/>
        </w:rPr>
        <w:t xml:space="preserve">If a VHA contract is terminated for cause, the associated BAA must also be terminated and appropriate actions taken in accordance with VHA Handbook 1600.01, </w:t>
      </w:r>
      <w:r w:rsidRPr="000C3673">
        <w:rPr>
          <w:i/>
          <w:sz w:val="22"/>
          <w:szCs w:val="22"/>
        </w:rPr>
        <w:t>Business Associate Agreements</w:t>
      </w:r>
      <w:r w:rsidRPr="000C3673">
        <w:rPr>
          <w:sz w:val="22"/>
          <w:szCs w:val="22"/>
        </w:rPr>
        <w:t>.</w:t>
      </w:r>
      <w:bookmarkEnd w:id="15"/>
      <w:r w:rsidRPr="000C3673">
        <w:rPr>
          <w:sz w:val="22"/>
          <w:szCs w:val="22"/>
        </w:rPr>
        <w:t xml:space="preserve">  Absent an agreement to use or disclose protected health information, there is no business associate relationship.</w:t>
      </w:r>
      <w:r w:rsidRPr="000C3673">
        <w:rPr>
          <w:sz w:val="22"/>
          <w:szCs w:val="22"/>
        </w:rPr>
        <w:br/>
      </w:r>
    </w:p>
    <w:p w14:paraId="005CEBBF" w14:textId="77777777" w:rsidR="00D528B4" w:rsidRPr="000C3673" w:rsidRDefault="00D528B4" w:rsidP="00D528B4">
      <w:pPr>
        <w:pStyle w:val="ListNumber2"/>
        <w:rPr>
          <w:sz w:val="22"/>
          <w:szCs w:val="22"/>
        </w:rPr>
      </w:pPr>
      <w:bookmarkStart w:id="16" w:name="_Toc220303675"/>
      <w:r w:rsidRPr="000C3673">
        <w:rPr>
          <w:sz w:val="22"/>
          <w:szCs w:val="22"/>
        </w:rPr>
        <w:t>The contractor/subcontractor must store, transport, or transmit VA sensitive information in an encrypted form, using VA-approved encryption tools that are, at a minimum, FIPS 140-2 validated.</w:t>
      </w:r>
      <w:bookmarkEnd w:id="16"/>
      <w:r w:rsidRPr="000C3673">
        <w:rPr>
          <w:sz w:val="22"/>
          <w:szCs w:val="22"/>
        </w:rPr>
        <w:br/>
      </w:r>
    </w:p>
    <w:p w14:paraId="07CCABCC" w14:textId="77777777" w:rsidR="00D528B4" w:rsidRPr="000C3673" w:rsidRDefault="00D528B4" w:rsidP="00D528B4">
      <w:pPr>
        <w:pStyle w:val="ListNumber2"/>
        <w:rPr>
          <w:sz w:val="22"/>
          <w:szCs w:val="22"/>
        </w:rPr>
      </w:pPr>
      <w:bookmarkStart w:id="17" w:name="_Toc220303676"/>
      <w:r w:rsidRPr="000C3673">
        <w:rPr>
          <w:sz w:val="22"/>
          <w:szCs w:val="22"/>
        </w:rPr>
        <w:t xml:space="preserve">The contractor/subcontractor’s firewall and Web services security controls, if applicable, shall meet or exceed VA’s minimum requirements.  </w:t>
      </w:r>
      <w:bookmarkEnd w:id="17"/>
      <w:r w:rsidRPr="000C3673">
        <w:rPr>
          <w:sz w:val="22"/>
          <w:szCs w:val="22"/>
        </w:rPr>
        <w:t>VA Configuration Guidelines are available upon request.</w:t>
      </w:r>
    </w:p>
    <w:p w14:paraId="51E7676F" w14:textId="77777777" w:rsidR="00D528B4" w:rsidRPr="000C3673" w:rsidRDefault="00D528B4" w:rsidP="00D528B4">
      <w:pPr>
        <w:pStyle w:val="ListNumber2"/>
        <w:numPr>
          <w:ilvl w:val="0"/>
          <w:numId w:val="0"/>
        </w:numPr>
        <w:tabs>
          <w:tab w:val="left" w:pos="720"/>
        </w:tabs>
        <w:ind w:left="360"/>
        <w:rPr>
          <w:sz w:val="22"/>
          <w:szCs w:val="22"/>
        </w:rPr>
      </w:pPr>
    </w:p>
    <w:p w14:paraId="3577E9A1" w14:textId="77777777" w:rsidR="00D528B4" w:rsidRPr="000C3673" w:rsidRDefault="00D528B4" w:rsidP="00D528B4">
      <w:pPr>
        <w:pStyle w:val="ListNumber2"/>
        <w:rPr>
          <w:sz w:val="22"/>
          <w:szCs w:val="22"/>
        </w:rPr>
      </w:pPr>
      <w:bookmarkStart w:id="18" w:name="_Toc220303677"/>
      <w:r w:rsidRPr="000C3673">
        <w:rPr>
          <w:sz w:val="22"/>
          <w:szCs w:val="22"/>
        </w:rPr>
        <w:t>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VA’s prior written approval.  The contractor/subcontractor must refer all requests for, demands for production of, or inquiries about, VA information and information systems to the VA contracting officer for response.</w:t>
      </w:r>
      <w:bookmarkEnd w:id="18"/>
      <w:r w:rsidRPr="000C3673">
        <w:rPr>
          <w:sz w:val="22"/>
          <w:szCs w:val="22"/>
        </w:rPr>
        <w:br/>
      </w:r>
    </w:p>
    <w:p w14:paraId="544A87A6" w14:textId="77777777" w:rsidR="00D528B4" w:rsidRPr="000C3673" w:rsidRDefault="00D528B4" w:rsidP="00D528B4">
      <w:pPr>
        <w:pStyle w:val="ListNumber2"/>
        <w:rPr>
          <w:sz w:val="22"/>
          <w:szCs w:val="22"/>
        </w:rPr>
      </w:pPr>
      <w:bookmarkStart w:id="19" w:name="_Toc220303678"/>
      <w:r w:rsidRPr="000C3673">
        <w:rPr>
          <w:sz w:val="22"/>
          <w:szCs w:val="22"/>
        </w:rPr>
        <w:t xml:space="preserve">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w:t>
      </w:r>
      <w:proofErr w:type="gramStart"/>
      <w:r w:rsidRPr="000C3673">
        <w:rPr>
          <w:sz w:val="22"/>
          <w:szCs w:val="22"/>
        </w:rPr>
        <w:t>above mentioned</w:t>
      </w:r>
      <w:proofErr w:type="gramEnd"/>
      <w:r w:rsidRPr="000C3673">
        <w:rPr>
          <w:sz w:val="22"/>
          <w:szCs w:val="22"/>
        </w:rPr>
        <w:t xml:space="preserve"> information, that contractor/subcontractor shall immediately refer such court orders or other requests to the VA contracting officer for response.</w:t>
      </w:r>
      <w:bookmarkEnd w:id="19"/>
    </w:p>
    <w:p w14:paraId="4A42D40E" w14:textId="77777777" w:rsidR="00D528B4" w:rsidRPr="000C3673" w:rsidRDefault="00D528B4" w:rsidP="00D528B4">
      <w:pPr>
        <w:spacing w:line="240" w:lineRule="auto"/>
        <w:rPr>
          <w:rFonts w:ascii="Times New Roman" w:hAnsi="Times New Roman" w:cs="Times New Roman"/>
        </w:rPr>
        <w:sectPr w:rsidR="00D528B4" w:rsidRPr="000C3673" w:rsidSect="00D528B4">
          <w:pgSz w:w="12240" w:h="15840"/>
          <w:pgMar w:top="1440" w:right="1440" w:bottom="1440" w:left="1440" w:header="720" w:footer="720" w:gutter="0"/>
          <w:pgNumType w:start="0"/>
          <w:cols w:space="720"/>
        </w:sectPr>
      </w:pPr>
    </w:p>
    <w:p w14:paraId="00CDF462" w14:textId="77777777" w:rsidR="00D528B4" w:rsidRPr="000C3673" w:rsidRDefault="00D528B4" w:rsidP="00D528B4">
      <w:pPr>
        <w:pStyle w:val="ListNumber2"/>
        <w:rPr>
          <w:sz w:val="22"/>
          <w:szCs w:val="22"/>
        </w:rPr>
      </w:pPr>
      <w:r w:rsidRPr="000C3673">
        <w:rPr>
          <w:sz w:val="22"/>
          <w:szCs w:val="22"/>
        </w:rPr>
        <w:t>For service that involves the storage, generating, transmitting, or exchanging of VA sensitive information but does not require C&amp;A or an MOU-ISA for system interconnection, the contractor/subcontractor must complete a Contractor Security Control Assessment (CSCA) on a yearly basis and provide it to the COTR.</w:t>
      </w:r>
    </w:p>
    <w:p w14:paraId="7824F82A" w14:textId="77777777" w:rsidR="00D528B4" w:rsidRPr="000C3673" w:rsidRDefault="00D528B4" w:rsidP="00D528B4">
      <w:pPr>
        <w:pStyle w:val="ListNumber2"/>
        <w:numPr>
          <w:ilvl w:val="0"/>
          <w:numId w:val="0"/>
        </w:numPr>
        <w:tabs>
          <w:tab w:val="left" w:pos="720"/>
        </w:tabs>
        <w:rPr>
          <w:sz w:val="22"/>
          <w:szCs w:val="22"/>
        </w:rPr>
      </w:pPr>
    </w:p>
    <w:p w14:paraId="3D5155AD" w14:textId="77777777" w:rsidR="00D528B4" w:rsidRPr="000C3673" w:rsidRDefault="00D528B4" w:rsidP="00D528B4">
      <w:pPr>
        <w:pStyle w:val="ListNumber4"/>
        <w:numPr>
          <w:ilvl w:val="0"/>
          <w:numId w:val="0"/>
        </w:numPr>
        <w:tabs>
          <w:tab w:val="left" w:pos="720"/>
        </w:tabs>
        <w:ind w:left="270"/>
        <w:rPr>
          <w:sz w:val="22"/>
          <w:szCs w:val="22"/>
        </w:rPr>
      </w:pPr>
    </w:p>
    <w:p w14:paraId="74509AF2" w14:textId="77777777" w:rsidR="00D528B4" w:rsidRPr="000C3673" w:rsidRDefault="00D528B4" w:rsidP="00D528B4">
      <w:pPr>
        <w:pStyle w:val="ListNumber"/>
        <w:rPr>
          <w:sz w:val="22"/>
          <w:szCs w:val="22"/>
        </w:rPr>
      </w:pPr>
      <w:bookmarkStart w:id="20" w:name="_Toc220303692"/>
      <w:r w:rsidRPr="000C3673">
        <w:rPr>
          <w:sz w:val="22"/>
          <w:szCs w:val="22"/>
        </w:rPr>
        <w:t>SECURITY INCIDENT INVESTIGATION</w:t>
      </w:r>
      <w:bookmarkEnd w:id="20"/>
    </w:p>
    <w:p w14:paraId="53553298" w14:textId="77777777" w:rsidR="00D528B4" w:rsidRPr="000C3673" w:rsidRDefault="00D528B4" w:rsidP="00D528B4">
      <w:pPr>
        <w:spacing w:line="240" w:lineRule="auto"/>
        <w:rPr>
          <w:rFonts w:ascii="Times New Roman" w:hAnsi="Times New Roman" w:cs="Times New Roman"/>
        </w:rPr>
      </w:pPr>
    </w:p>
    <w:p w14:paraId="0682D4A7" w14:textId="77777777" w:rsidR="00D528B4" w:rsidRPr="000C3673" w:rsidRDefault="00D528B4" w:rsidP="00D528B4">
      <w:pPr>
        <w:pStyle w:val="ListNumber2"/>
        <w:numPr>
          <w:ilvl w:val="0"/>
          <w:numId w:val="8"/>
        </w:numPr>
        <w:rPr>
          <w:sz w:val="22"/>
          <w:szCs w:val="22"/>
        </w:rPr>
      </w:pPr>
      <w:bookmarkStart w:id="21" w:name="_Toc220303693"/>
      <w:r w:rsidRPr="000C3673">
        <w:rPr>
          <w:sz w:val="22"/>
          <w:szCs w:val="22"/>
        </w:rPr>
        <w:t>The term “security incident” means an event that has, or could have, resulted in unauthorized access to, loss or damage to VA assets, or sensitive information, or an action that breaches VA security procedures.  The contractor/subcontractor shall immediately notify the COTR and simultaneously, the designated ISO and Privacy Officer for the contract of any known or suspected security/privacy incidents, or any unauthorized disclosure of sensitive information, including that contained in system(s) to which the contractor/subcontractor has access.</w:t>
      </w:r>
      <w:bookmarkEnd w:id="21"/>
    </w:p>
    <w:p w14:paraId="6424BF91" w14:textId="77777777" w:rsidR="00D528B4" w:rsidRPr="000C3673" w:rsidRDefault="00D528B4" w:rsidP="00D528B4">
      <w:pPr>
        <w:pStyle w:val="ListNumber2"/>
        <w:numPr>
          <w:ilvl w:val="0"/>
          <w:numId w:val="0"/>
        </w:numPr>
        <w:tabs>
          <w:tab w:val="left" w:pos="720"/>
        </w:tabs>
        <w:ind w:firstLine="360"/>
        <w:rPr>
          <w:sz w:val="22"/>
          <w:szCs w:val="22"/>
        </w:rPr>
      </w:pPr>
    </w:p>
    <w:p w14:paraId="70D600A7" w14:textId="77777777" w:rsidR="00D528B4" w:rsidRPr="000C3673" w:rsidRDefault="00D528B4" w:rsidP="00D528B4">
      <w:pPr>
        <w:pStyle w:val="ListNumber2"/>
        <w:rPr>
          <w:sz w:val="22"/>
          <w:szCs w:val="22"/>
        </w:rPr>
      </w:pPr>
      <w:bookmarkStart w:id="22" w:name="_Toc220303694"/>
      <w:r w:rsidRPr="000C3673">
        <w:rPr>
          <w:sz w:val="22"/>
          <w:szCs w:val="22"/>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bookmarkEnd w:id="22"/>
    </w:p>
    <w:p w14:paraId="5CE404D9" w14:textId="77777777" w:rsidR="00D528B4" w:rsidRPr="000C3673" w:rsidRDefault="00D528B4" w:rsidP="00D528B4">
      <w:pPr>
        <w:pStyle w:val="ListNumber2"/>
        <w:numPr>
          <w:ilvl w:val="0"/>
          <w:numId w:val="0"/>
        </w:numPr>
        <w:tabs>
          <w:tab w:val="left" w:pos="720"/>
        </w:tabs>
        <w:ind w:firstLine="360"/>
        <w:rPr>
          <w:sz w:val="22"/>
          <w:szCs w:val="22"/>
        </w:rPr>
      </w:pPr>
    </w:p>
    <w:p w14:paraId="329ACE2D" w14:textId="77777777" w:rsidR="00D528B4" w:rsidRPr="000C3673" w:rsidRDefault="00D528B4" w:rsidP="00D528B4">
      <w:pPr>
        <w:pStyle w:val="ListNumber2"/>
        <w:rPr>
          <w:sz w:val="22"/>
          <w:szCs w:val="22"/>
        </w:rPr>
      </w:pPr>
      <w:bookmarkStart w:id="23" w:name="_Toc220303695"/>
      <w:r w:rsidRPr="000C3673">
        <w:rPr>
          <w:sz w:val="22"/>
          <w:szCs w:val="22"/>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77E469EA" w14:textId="77777777" w:rsidR="00D528B4" w:rsidRPr="000C3673" w:rsidRDefault="00D528B4" w:rsidP="00D528B4">
      <w:pPr>
        <w:pStyle w:val="ListNumber2"/>
        <w:numPr>
          <w:ilvl w:val="0"/>
          <w:numId w:val="0"/>
        </w:numPr>
        <w:tabs>
          <w:tab w:val="left" w:pos="720"/>
        </w:tabs>
        <w:ind w:left="360"/>
        <w:rPr>
          <w:sz w:val="22"/>
          <w:szCs w:val="22"/>
        </w:rPr>
      </w:pPr>
    </w:p>
    <w:p w14:paraId="10C0207C" w14:textId="77777777" w:rsidR="00D528B4" w:rsidRPr="000C3673" w:rsidRDefault="00D528B4" w:rsidP="00D528B4">
      <w:pPr>
        <w:pStyle w:val="ListNumber2"/>
        <w:rPr>
          <w:sz w:val="22"/>
          <w:szCs w:val="22"/>
        </w:rPr>
      </w:pPr>
      <w:r w:rsidRPr="000C3673">
        <w:rPr>
          <w:sz w:val="22"/>
          <w:szCs w:val="22"/>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bookmarkEnd w:id="23"/>
    </w:p>
    <w:p w14:paraId="35AAECDF" w14:textId="77777777" w:rsidR="00D528B4" w:rsidRPr="000C3673" w:rsidRDefault="00D528B4" w:rsidP="00D528B4">
      <w:pPr>
        <w:pStyle w:val="ListNumber2"/>
        <w:numPr>
          <w:ilvl w:val="0"/>
          <w:numId w:val="0"/>
        </w:numPr>
        <w:tabs>
          <w:tab w:val="left" w:pos="720"/>
        </w:tabs>
        <w:ind w:left="360"/>
        <w:rPr>
          <w:sz w:val="22"/>
          <w:szCs w:val="22"/>
        </w:rPr>
      </w:pPr>
    </w:p>
    <w:p w14:paraId="794DE6D9" w14:textId="77777777" w:rsidR="00D528B4" w:rsidRPr="000C3673" w:rsidRDefault="00D528B4" w:rsidP="00D528B4">
      <w:pPr>
        <w:pStyle w:val="ListNumber"/>
        <w:rPr>
          <w:sz w:val="22"/>
          <w:szCs w:val="22"/>
        </w:rPr>
      </w:pPr>
      <w:bookmarkStart w:id="24" w:name="_Toc220303697"/>
      <w:r w:rsidRPr="000C3673">
        <w:rPr>
          <w:sz w:val="22"/>
          <w:szCs w:val="22"/>
        </w:rPr>
        <w:t>LIQUIDATED DAMAGES FOR DATA BREACH</w:t>
      </w:r>
    </w:p>
    <w:p w14:paraId="3C9E09BE" w14:textId="77777777" w:rsidR="00D528B4" w:rsidRPr="000C3673" w:rsidRDefault="00D528B4" w:rsidP="00D528B4">
      <w:pPr>
        <w:pStyle w:val="ListNumber"/>
        <w:numPr>
          <w:ilvl w:val="0"/>
          <w:numId w:val="0"/>
        </w:numPr>
        <w:tabs>
          <w:tab w:val="left" w:pos="720"/>
        </w:tabs>
        <w:rPr>
          <w:sz w:val="22"/>
          <w:szCs w:val="22"/>
        </w:rPr>
      </w:pPr>
    </w:p>
    <w:p w14:paraId="15E8A20E" w14:textId="77777777" w:rsidR="00D528B4" w:rsidRPr="000C3673" w:rsidRDefault="00D528B4" w:rsidP="00D528B4">
      <w:pPr>
        <w:pStyle w:val="ListNumber2"/>
        <w:numPr>
          <w:ilvl w:val="0"/>
          <w:numId w:val="9"/>
        </w:numPr>
        <w:rPr>
          <w:sz w:val="22"/>
          <w:szCs w:val="22"/>
        </w:rPr>
      </w:pPr>
      <w:r w:rsidRPr="000C3673">
        <w:rPr>
          <w:sz w:val="22"/>
          <w:szCs w:val="22"/>
        </w:rPr>
        <w:t xml:space="preserve">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 </w:t>
      </w:r>
    </w:p>
    <w:p w14:paraId="189DB95F" w14:textId="77777777" w:rsidR="00D528B4" w:rsidRPr="000C3673" w:rsidRDefault="00D528B4" w:rsidP="00D528B4">
      <w:pPr>
        <w:pStyle w:val="ListNumber2"/>
        <w:numPr>
          <w:ilvl w:val="0"/>
          <w:numId w:val="0"/>
        </w:numPr>
        <w:tabs>
          <w:tab w:val="left" w:pos="720"/>
        </w:tabs>
        <w:ind w:left="360"/>
        <w:rPr>
          <w:sz w:val="22"/>
          <w:szCs w:val="22"/>
        </w:rPr>
      </w:pPr>
    </w:p>
    <w:p w14:paraId="75DD3385" w14:textId="77777777" w:rsidR="00D528B4" w:rsidRPr="000C3673" w:rsidRDefault="00D528B4" w:rsidP="00D528B4">
      <w:pPr>
        <w:pStyle w:val="ListNumber2"/>
        <w:numPr>
          <w:ilvl w:val="0"/>
          <w:numId w:val="9"/>
        </w:numPr>
        <w:rPr>
          <w:sz w:val="22"/>
          <w:szCs w:val="22"/>
        </w:rPr>
      </w:pPr>
      <w:r w:rsidRPr="000C3673">
        <w:rPr>
          <w:sz w:val="22"/>
          <w:szCs w:val="22"/>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420E767E" w14:textId="77777777" w:rsidR="00D528B4" w:rsidRPr="000C3673" w:rsidRDefault="00D528B4" w:rsidP="00D528B4">
      <w:pPr>
        <w:pStyle w:val="ListNumber"/>
        <w:numPr>
          <w:ilvl w:val="0"/>
          <w:numId w:val="0"/>
        </w:numPr>
        <w:tabs>
          <w:tab w:val="left" w:pos="720"/>
        </w:tabs>
        <w:rPr>
          <w:rStyle w:val="documentbody1"/>
          <w:color w:val="000000"/>
          <w:sz w:val="22"/>
          <w:szCs w:val="22"/>
        </w:rPr>
      </w:pPr>
    </w:p>
    <w:p w14:paraId="3FE49F4F" w14:textId="77777777" w:rsidR="00D528B4" w:rsidRPr="000C3673" w:rsidRDefault="00D528B4" w:rsidP="00D528B4">
      <w:pPr>
        <w:pStyle w:val="ListNumber2"/>
        <w:numPr>
          <w:ilvl w:val="0"/>
          <w:numId w:val="9"/>
        </w:numPr>
        <w:rPr>
          <w:sz w:val="22"/>
          <w:szCs w:val="22"/>
        </w:rPr>
      </w:pPr>
      <w:r w:rsidRPr="000C3673">
        <w:rPr>
          <w:sz w:val="22"/>
          <w:szCs w:val="22"/>
        </w:rPr>
        <w:t>Each risk analysis shall address all relevant information concerning the data breach, including the following:</w:t>
      </w:r>
      <w:bookmarkStart w:id="25" w:name="I205673701E2611DD98D890315B4F3B2A"/>
      <w:bookmarkStart w:id="26" w:name="I20538D401E2611DD98D890315B4F3B2A"/>
      <w:bookmarkEnd w:id="25"/>
      <w:bookmarkEnd w:id="26"/>
    </w:p>
    <w:p w14:paraId="40C063E1" w14:textId="77777777" w:rsidR="00D528B4" w:rsidRPr="000C3673" w:rsidRDefault="00D528B4" w:rsidP="00D528B4">
      <w:pPr>
        <w:pStyle w:val="ListParagraph"/>
        <w:rPr>
          <w:sz w:val="22"/>
          <w:szCs w:val="22"/>
        </w:rPr>
      </w:pPr>
    </w:p>
    <w:p w14:paraId="2FC481D6" w14:textId="77777777" w:rsidR="00D528B4" w:rsidRPr="000C3673" w:rsidRDefault="00D528B4" w:rsidP="00D528B4">
      <w:pPr>
        <w:pStyle w:val="ListNumber"/>
        <w:numPr>
          <w:ilvl w:val="0"/>
          <w:numId w:val="10"/>
        </w:numPr>
        <w:tabs>
          <w:tab w:val="left" w:pos="720"/>
        </w:tabs>
        <w:rPr>
          <w:b w:val="0"/>
          <w:caps w:val="0"/>
          <w:sz w:val="22"/>
          <w:szCs w:val="22"/>
        </w:rPr>
      </w:pPr>
      <w:r w:rsidRPr="000C3673">
        <w:rPr>
          <w:b w:val="0"/>
          <w:caps w:val="0"/>
          <w:sz w:val="22"/>
          <w:szCs w:val="22"/>
        </w:rPr>
        <w:t xml:space="preserve">  Nature of the event (loss, theft, unauthorized access</w:t>
      </w:r>
      <w:proofErr w:type="gramStart"/>
      <w:r w:rsidRPr="000C3673">
        <w:rPr>
          <w:b w:val="0"/>
          <w:caps w:val="0"/>
          <w:sz w:val="22"/>
          <w:szCs w:val="22"/>
        </w:rPr>
        <w:t>)</w:t>
      </w:r>
      <w:bookmarkStart w:id="27" w:name="I20570FB01E2611DD98D890315B4F3B2A"/>
      <w:bookmarkStart w:id="28" w:name="I20538D411E2611DD98D890315B4F3B2A"/>
      <w:bookmarkEnd w:id="27"/>
      <w:bookmarkEnd w:id="28"/>
      <w:r w:rsidRPr="000C3673">
        <w:rPr>
          <w:b w:val="0"/>
          <w:caps w:val="0"/>
          <w:sz w:val="22"/>
          <w:szCs w:val="22"/>
        </w:rPr>
        <w:t>;</w:t>
      </w:r>
      <w:proofErr w:type="gramEnd"/>
    </w:p>
    <w:p w14:paraId="20B5B314" w14:textId="77777777" w:rsidR="00D528B4" w:rsidRPr="000C3673" w:rsidRDefault="00D528B4" w:rsidP="00D528B4">
      <w:pPr>
        <w:pStyle w:val="ListNumber"/>
        <w:numPr>
          <w:ilvl w:val="0"/>
          <w:numId w:val="0"/>
        </w:numPr>
        <w:tabs>
          <w:tab w:val="left" w:pos="720"/>
        </w:tabs>
        <w:ind w:left="345"/>
        <w:rPr>
          <w:b w:val="0"/>
          <w:caps w:val="0"/>
          <w:sz w:val="22"/>
          <w:szCs w:val="22"/>
        </w:rPr>
      </w:pPr>
    </w:p>
    <w:p w14:paraId="75A3D2EA" w14:textId="77777777" w:rsidR="00D528B4" w:rsidRPr="000C3673" w:rsidRDefault="00D528B4" w:rsidP="00D528B4">
      <w:pPr>
        <w:pStyle w:val="ListNumber"/>
        <w:numPr>
          <w:ilvl w:val="0"/>
          <w:numId w:val="10"/>
        </w:numPr>
        <w:tabs>
          <w:tab w:val="left" w:pos="720"/>
        </w:tabs>
        <w:ind w:left="0" w:firstLine="345"/>
        <w:rPr>
          <w:b w:val="0"/>
          <w:caps w:val="0"/>
          <w:sz w:val="22"/>
          <w:szCs w:val="22"/>
        </w:rPr>
      </w:pPr>
      <w:r w:rsidRPr="000C3673">
        <w:rPr>
          <w:b w:val="0"/>
          <w:caps w:val="0"/>
          <w:sz w:val="22"/>
          <w:szCs w:val="22"/>
        </w:rPr>
        <w:t xml:space="preserve">  Description of the event, including:</w:t>
      </w:r>
      <w:bookmarkStart w:id="29" w:name="I2057ABF01E2611DD98D890315B4F3B2A"/>
      <w:bookmarkStart w:id="30" w:name="I20538D421E2611DD98D890315B4F3B2A"/>
      <w:bookmarkEnd w:id="29"/>
      <w:bookmarkEnd w:id="30"/>
    </w:p>
    <w:p w14:paraId="28DF543E" w14:textId="77777777" w:rsidR="00D528B4" w:rsidRPr="000C3673" w:rsidRDefault="00D528B4" w:rsidP="00D528B4">
      <w:pPr>
        <w:pStyle w:val="ListParagraph"/>
        <w:rPr>
          <w:b/>
          <w:caps/>
          <w:sz w:val="22"/>
          <w:szCs w:val="22"/>
        </w:rPr>
      </w:pPr>
    </w:p>
    <w:p w14:paraId="1AAFA478" w14:textId="77777777" w:rsidR="00D528B4" w:rsidRPr="000C3673" w:rsidRDefault="00D528B4" w:rsidP="00D528B4">
      <w:pPr>
        <w:pStyle w:val="ListNumber"/>
        <w:numPr>
          <w:ilvl w:val="0"/>
          <w:numId w:val="0"/>
        </w:numPr>
        <w:tabs>
          <w:tab w:val="left" w:pos="720"/>
        </w:tabs>
        <w:ind w:left="345"/>
        <w:rPr>
          <w:b w:val="0"/>
          <w:caps w:val="0"/>
          <w:sz w:val="22"/>
          <w:szCs w:val="22"/>
        </w:rPr>
      </w:pPr>
      <w:r w:rsidRPr="000C3673">
        <w:rPr>
          <w:b w:val="0"/>
          <w:caps w:val="0"/>
          <w:sz w:val="22"/>
          <w:szCs w:val="22"/>
        </w:rPr>
        <w:t xml:space="preserve">     (a)  date of occurrence;</w:t>
      </w:r>
      <w:r w:rsidRPr="000C3673">
        <w:rPr>
          <w:b w:val="0"/>
          <w:caps w:val="0"/>
          <w:sz w:val="22"/>
          <w:szCs w:val="22"/>
        </w:rPr>
        <w:br/>
      </w:r>
      <w:bookmarkStart w:id="31" w:name="I20586F401E2611DD98D890315B4F3B2A"/>
      <w:bookmarkStart w:id="32" w:name="I20538D431E2611DD98D890315B4F3B2A"/>
      <w:bookmarkEnd w:id="31"/>
      <w:bookmarkEnd w:id="32"/>
      <w:r w:rsidRPr="000C3673">
        <w:rPr>
          <w:b w:val="0"/>
          <w:caps w:val="0"/>
          <w:sz w:val="22"/>
          <w:szCs w:val="22"/>
        </w:rPr>
        <w:t xml:space="preserve">           </w:t>
      </w:r>
    </w:p>
    <w:p w14:paraId="5F45502E" w14:textId="77777777" w:rsidR="00D528B4" w:rsidRPr="000C3673" w:rsidRDefault="00D528B4" w:rsidP="00D528B4">
      <w:pPr>
        <w:pStyle w:val="ListNumber"/>
        <w:numPr>
          <w:ilvl w:val="0"/>
          <w:numId w:val="0"/>
        </w:numPr>
        <w:tabs>
          <w:tab w:val="left" w:pos="720"/>
        </w:tabs>
        <w:ind w:firstLine="690"/>
        <w:rPr>
          <w:b w:val="0"/>
          <w:caps w:val="0"/>
          <w:sz w:val="22"/>
          <w:szCs w:val="22"/>
        </w:rPr>
      </w:pPr>
      <w:r w:rsidRPr="000C3673">
        <w:rPr>
          <w:b w:val="0"/>
          <w:caps w:val="0"/>
          <w:sz w:val="22"/>
          <w:szCs w:val="22"/>
        </w:rPr>
        <w:t>(b)  data elements involved, including any PII, such as full name, social security number, date of birth, home address, account number, disability code;</w:t>
      </w:r>
      <w:r w:rsidRPr="000C3673">
        <w:rPr>
          <w:b w:val="0"/>
          <w:caps w:val="0"/>
          <w:sz w:val="22"/>
          <w:szCs w:val="22"/>
        </w:rPr>
        <w:br/>
      </w:r>
      <w:r w:rsidRPr="000C3673">
        <w:rPr>
          <w:b w:val="0"/>
          <w:caps w:val="0"/>
          <w:sz w:val="22"/>
          <w:szCs w:val="22"/>
        </w:rPr>
        <w:br/>
      </w:r>
      <w:bookmarkStart w:id="33" w:name="I20590B801E2611DD98D890315B4F3B2A"/>
      <w:bookmarkStart w:id="34" w:name="I20538D441E2611DD98D890315B4F3B2A"/>
      <w:bookmarkEnd w:id="33"/>
      <w:bookmarkEnd w:id="34"/>
      <w:r w:rsidRPr="000C3673">
        <w:rPr>
          <w:b w:val="0"/>
          <w:caps w:val="0"/>
          <w:sz w:val="22"/>
          <w:szCs w:val="22"/>
        </w:rPr>
        <w:t xml:space="preserve">  </w:t>
      </w:r>
      <w:proofErr w:type="gramStart"/>
      <w:r w:rsidRPr="000C3673">
        <w:rPr>
          <w:b w:val="0"/>
          <w:caps w:val="0"/>
          <w:sz w:val="22"/>
          <w:szCs w:val="22"/>
        </w:rPr>
        <w:t xml:space="preserve">   (</w:t>
      </w:r>
      <w:proofErr w:type="gramEnd"/>
      <w:r w:rsidRPr="000C3673">
        <w:rPr>
          <w:b w:val="0"/>
          <w:caps w:val="0"/>
          <w:sz w:val="22"/>
          <w:szCs w:val="22"/>
        </w:rPr>
        <w:t>3)  Number of individuals affected or potentially affected;</w:t>
      </w:r>
      <w:r w:rsidRPr="000C3673">
        <w:rPr>
          <w:b w:val="0"/>
          <w:caps w:val="0"/>
          <w:sz w:val="22"/>
          <w:szCs w:val="22"/>
        </w:rPr>
        <w:br/>
      </w:r>
      <w:bookmarkStart w:id="35" w:name="I2059A7C01E2611DD98D890315B4F3B2A"/>
      <w:bookmarkStart w:id="36" w:name="I2053B4501E2611DD98D890315B4F3B2A"/>
      <w:bookmarkEnd w:id="35"/>
      <w:bookmarkEnd w:id="36"/>
      <w:r w:rsidRPr="000C3673">
        <w:rPr>
          <w:b w:val="0"/>
          <w:caps w:val="0"/>
          <w:sz w:val="22"/>
          <w:szCs w:val="22"/>
        </w:rPr>
        <w:t xml:space="preserve">      </w:t>
      </w:r>
    </w:p>
    <w:p w14:paraId="0121E495" w14:textId="77777777" w:rsidR="00D528B4" w:rsidRPr="000C3673" w:rsidRDefault="00D528B4" w:rsidP="00D528B4">
      <w:pPr>
        <w:pStyle w:val="ListNumber"/>
        <w:numPr>
          <w:ilvl w:val="0"/>
          <w:numId w:val="0"/>
        </w:numPr>
        <w:tabs>
          <w:tab w:val="left" w:pos="720"/>
        </w:tabs>
        <w:ind w:left="345"/>
        <w:rPr>
          <w:b w:val="0"/>
          <w:caps w:val="0"/>
          <w:sz w:val="22"/>
          <w:szCs w:val="22"/>
        </w:rPr>
      </w:pPr>
      <w:r w:rsidRPr="000C3673">
        <w:rPr>
          <w:b w:val="0"/>
          <w:caps w:val="0"/>
          <w:sz w:val="22"/>
          <w:szCs w:val="22"/>
        </w:rPr>
        <w:t xml:space="preserve">(4)  Names of individuals or groups affected or potentially </w:t>
      </w:r>
      <w:proofErr w:type="gramStart"/>
      <w:r w:rsidRPr="000C3673">
        <w:rPr>
          <w:b w:val="0"/>
          <w:caps w:val="0"/>
          <w:sz w:val="22"/>
          <w:szCs w:val="22"/>
        </w:rPr>
        <w:t>affected;</w:t>
      </w:r>
      <w:proofErr w:type="gramEnd"/>
    </w:p>
    <w:p w14:paraId="0C4AE2E0" w14:textId="77777777" w:rsidR="00D528B4" w:rsidRPr="000C3673" w:rsidRDefault="00D528B4" w:rsidP="00D528B4">
      <w:pPr>
        <w:pStyle w:val="ListNumber"/>
        <w:numPr>
          <w:ilvl w:val="0"/>
          <w:numId w:val="0"/>
        </w:numPr>
        <w:tabs>
          <w:tab w:val="left" w:pos="720"/>
        </w:tabs>
        <w:ind w:left="345"/>
        <w:rPr>
          <w:b w:val="0"/>
          <w:caps w:val="0"/>
          <w:sz w:val="22"/>
          <w:szCs w:val="22"/>
        </w:rPr>
      </w:pPr>
    </w:p>
    <w:p w14:paraId="2FEE6E70" w14:textId="77777777" w:rsidR="00D528B4" w:rsidRPr="000C3673" w:rsidRDefault="00D528B4" w:rsidP="00D528B4">
      <w:pPr>
        <w:pStyle w:val="ListNumber"/>
        <w:numPr>
          <w:ilvl w:val="0"/>
          <w:numId w:val="0"/>
        </w:numPr>
        <w:tabs>
          <w:tab w:val="left" w:pos="720"/>
        </w:tabs>
        <w:ind w:firstLine="345"/>
        <w:rPr>
          <w:b w:val="0"/>
          <w:caps w:val="0"/>
          <w:sz w:val="22"/>
          <w:szCs w:val="22"/>
        </w:rPr>
      </w:pPr>
      <w:bookmarkStart w:id="37" w:name="I205A6B101E2611DD98D890315B4F3B2A"/>
      <w:bookmarkStart w:id="38" w:name="I2053B4511E2611DD98D890315B4F3B2A"/>
      <w:bookmarkEnd w:id="37"/>
      <w:bookmarkEnd w:id="38"/>
      <w:r w:rsidRPr="000C3673">
        <w:rPr>
          <w:b w:val="0"/>
          <w:caps w:val="0"/>
          <w:sz w:val="22"/>
          <w:szCs w:val="22"/>
        </w:rPr>
        <w:t xml:space="preserve">(5)  Ease of logical data access to the lost, stolen or improperly accessed data </w:t>
      </w:r>
      <w:proofErr w:type="gramStart"/>
      <w:r w:rsidRPr="000C3673">
        <w:rPr>
          <w:b w:val="0"/>
          <w:caps w:val="0"/>
          <w:sz w:val="22"/>
          <w:szCs w:val="22"/>
        </w:rPr>
        <w:t>in light of</w:t>
      </w:r>
      <w:proofErr w:type="gramEnd"/>
      <w:r w:rsidRPr="000C3673">
        <w:rPr>
          <w:b w:val="0"/>
          <w:caps w:val="0"/>
          <w:sz w:val="22"/>
          <w:szCs w:val="22"/>
        </w:rPr>
        <w:t xml:space="preserve"> the degree of protection for the data, e.g., unencrypted, plain text;</w:t>
      </w:r>
      <w:r w:rsidRPr="000C3673">
        <w:rPr>
          <w:b w:val="0"/>
          <w:caps w:val="0"/>
          <w:sz w:val="22"/>
          <w:szCs w:val="22"/>
        </w:rPr>
        <w:br/>
      </w:r>
      <w:bookmarkStart w:id="39" w:name="I205B07501E2611DD98D890315B4F3B2A"/>
      <w:bookmarkStart w:id="40" w:name="I2053B4521E2611DD98D890315B4F3B2A"/>
      <w:bookmarkEnd w:id="39"/>
      <w:bookmarkEnd w:id="40"/>
      <w:r w:rsidRPr="000C3673">
        <w:rPr>
          <w:b w:val="0"/>
          <w:caps w:val="0"/>
          <w:sz w:val="22"/>
          <w:szCs w:val="22"/>
        </w:rPr>
        <w:t xml:space="preserve">      </w:t>
      </w:r>
    </w:p>
    <w:p w14:paraId="690F9377" w14:textId="77777777" w:rsidR="00D528B4" w:rsidRPr="000C3673" w:rsidRDefault="00D528B4" w:rsidP="00D528B4">
      <w:pPr>
        <w:pStyle w:val="ListNumber"/>
        <w:numPr>
          <w:ilvl w:val="0"/>
          <w:numId w:val="0"/>
        </w:numPr>
        <w:tabs>
          <w:tab w:val="left" w:pos="720"/>
        </w:tabs>
        <w:ind w:left="345"/>
        <w:rPr>
          <w:b w:val="0"/>
          <w:caps w:val="0"/>
          <w:sz w:val="22"/>
          <w:szCs w:val="22"/>
        </w:rPr>
      </w:pPr>
      <w:r w:rsidRPr="000C3673">
        <w:rPr>
          <w:b w:val="0"/>
          <w:caps w:val="0"/>
          <w:sz w:val="22"/>
          <w:szCs w:val="22"/>
        </w:rPr>
        <w:t xml:space="preserve">(6)  Amount of time the data has been out of VA </w:t>
      </w:r>
      <w:proofErr w:type="gramStart"/>
      <w:r w:rsidRPr="000C3673">
        <w:rPr>
          <w:b w:val="0"/>
          <w:caps w:val="0"/>
          <w:sz w:val="22"/>
          <w:szCs w:val="22"/>
        </w:rPr>
        <w:t>control;</w:t>
      </w:r>
      <w:proofErr w:type="gramEnd"/>
    </w:p>
    <w:p w14:paraId="15993D72" w14:textId="77777777" w:rsidR="00D528B4" w:rsidRPr="000C3673" w:rsidRDefault="00D528B4" w:rsidP="00D528B4">
      <w:pPr>
        <w:pStyle w:val="ListNumber"/>
        <w:numPr>
          <w:ilvl w:val="0"/>
          <w:numId w:val="0"/>
        </w:numPr>
        <w:tabs>
          <w:tab w:val="left" w:pos="720"/>
        </w:tabs>
        <w:ind w:firstLine="345"/>
        <w:rPr>
          <w:b w:val="0"/>
          <w:caps w:val="0"/>
          <w:sz w:val="22"/>
          <w:szCs w:val="22"/>
        </w:rPr>
      </w:pPr>
      <w:r w:rsidRPr="000C3673">
        <w:rPr>
          <w:b w:val="0"/>
          <w:caps w:val="0"/>
          <w:sz w:val="22"/>
          <w:szCs w:val="22"/>
        </w:rPr>
        <w:br/>
      </w:r>
      <w:bookmarkStart w:id="41" w:name="I205BA3901E2611DD98D890315B4F3B2A"/>
      <w:bookmarkStart w:id="42" w:name="I2053B4531E2611DD98D890315B4F3B2A"/>
      <w:bookmarkStart w:id="43" w:name="SP;d4550000b17c3"/>
      <w:bookmarkEnd w:id="41"/>
      <w:bookmarkEnd w:id="42"/>
      <w:bookmarkEnd w:id="43"/>
      <w:r w:rsidRPr="000C3673">
        <w:rPr>
          <w:b w:val="0"/>
          <w:caps w:val="0"/>
          <w:sz w:val="22"/>
          <w:szCs w:val="22"/>
        </w:rPr>
        <w:t xml:space="preserve">      (7)  The likelihood that the sensitive personal information will or has been compromised (made accessible to and usable by unauthorized persons</w:t>
      </w:r>
      <w:proofErr w:type="gramStart"/>
      <w:r w:rsidRPr="000C3673">
        <w:rPr>
          <w:b w:val="0"/>
          <w:caps w:val="0"/>
          <w:sz w:val="22"/>
          <w:szCs w:val="22"/>
        </w:rPr>
        <w:t>);</w:t>
      </w:r>
      <w:bookmarkStart w:id="44" w:name="I205C66E01E2611DD98D890315B4F3B2A"/>
      <w:bookmarkStart w:id="45" w:name="I2053B4541E2611DD98D890315B4F3B2A"/>
      <w:bookmarkStart w:id="46" w:name="SP;200d000029713"/>
      <w:bookmarkEnd w:id="44"/>
      <w:bookmarkEnd w:id="45"/>
      <w:bookmarkEnd w:id="46"/>
      <w:proofErr w:type="gramEnd"/>
    </w:p>
    <w:p w14:paraId="32D70E4A" w14:textId="77777777" w:rsidR="00D528B4" w:rsidRPr="000C3673" w:rsidRDefault="00D528B4" w:rsidP="00D528B4">
      <w:pPr>
        <w:pStyle w:val="ListNumber"/>
        <w:numPr>
          <w:ilvl w:val="0"/>
          <w:numId w:val="0"/>
        </w:numPr>
        <w:tabs>
          <w:tab w:val="left" w:pos="720"/>
        </w:tabs>
        <w:ind w:left="345"/>
        <w:rPr>
          <w:b w:val="0"/>
          <w:caps w:val="0"/>
          <w:sz w:val="22"/>
          <w:szCs w:val="22"/>
        </w:rPr>
      </w:pPr>
      <w:r w:rsidRPr="000C3673">
        <w:rPr>
          <w:b w:val="0"/>
          <w:caps w:val="0"/>
          <w:sz w:val="22"/>
          <w:szCs w:val="22"/>
        </w:rPr>
        <w:t xml:space="preserve">      </w:t>
      </w:r>
    </w:p>
    <w:p w14:paraId="7F4BF87B" w14:textId="77777777" w:rsidR="00D528B4" w:rsidRPr="000C3673" w:rsidRDefault="00D528B4" w:rsidP="00D528B4">
      <w:pPr>
        <w:pStyle w:val="ListNumber"/>
        <w:numPr>
          <w:ilvl w:val="0"/>
          <w:numId w:val="0"/>
        </w:numPr>
        <w:tabs>
          <w:tab w:val="left" w:pos="720"/>
        </w:tabs>
        <w:ind w:left="345"/>
        <w:rPr>
          <w:b w:val="0"/>
          <w:caps w:val="0"/>
          <w:sz w:val="22"/>
          <w:szCs w:val="22"/>
        </w:rPr>
      </w:pPr>
      <w:r w:rsidRPr="000C3673">
        <w:rPr>
          <w:b w:val="0"/>
          <w:caps w:val="0"/>
          <w:sz w:val="22"/>
          <w:szCs w:val="22"/>
        </w:rPr>
        <w:t>(8)  Known misuses of data containing sensitive personal information, if any;</w:t>
      </w:r>
      <w:r w:rsidRPr="000C3673">
        <w:rPr>
          <w:b w:val="0"/>
          <w:caps w:val="0"/>
          <w:sz w:val="22"/>
          <w:szCs w:val="22"/>
        </w:rPr>
        <w:br/>
      </w:r>
      <w:bookmarkStart w:id="47" w:name="I205D03201E2611DD98D890315B4F3B2A"/>
      <w:bookmarkStart w:id="48" w:name="I2053DB601E2611DD98D890315B4F3B2A"/>
      <w:bookmarkStart w:id="49" w:name="SP;4b24000003ba5"/>
      <w:bookmarkEnd w:id="47"/>
      <w:bookmarkEnd w:id="48"/>
      <w:bookmarkEnd w:id="49"/>
      <w:r w:rsidRPr="000C3673">
        <w:rPr>
          <w:b w:val="0"/>
          <w:caps w:val="0"/>
          <w:sz w:val="22"/>
          <w:szCs w:val="22"/>
        </w:rPr>
        <w:t xml:space="preserve">      </w:t>
      </w:r>
    </w:p>
    <w:p w14:paraId="20889174" w14:textId="77777777" w:rsidR="00D528B4" w:rsidRPr="000C3673" w:rsidRDefault="00D528B4" w:rsidP="00D528B4">
      <w:pPr>
        <w:pStyle w:val="ListNumber"/>
        <w:numPr>
          <w:ilvl w:val="0"/>
          <w:numId w:val="0"/>
        </w:numPr>
        <w:tabs>
          <w:tab w:val="left" w:pos="720"/>
        </w:tabs>
        <w:ind w:left="345"/>
        <w:rPr>
          <w:b w:val="0"/>
          <w:caps w:val="0"/>
          <w:sz w:val="22"/>
          <w:szCs w:val="22"/>
        </w:rPr>
      </w:pPr>
      <w:r w:rsidRPr="000C3673">
        <w:rPr>
          <w:b w:val="0"/>
          <w:caps w:val="0"/>
          <w:sz w:val="22"/>
          <w:szCs w:val="22"/>
        </w:rPr>
        <w:t>(9)  Assessment of the potential harm to the affected individuals;</w:t>
      </w:r>
      <w:r w:rsidRPr="000C3673">
        <w:rPr>
          <w:b w:val="0"/>
          <w:caps w:val="0"/>
          <w:sz w:val="22"/>
          <w:szCs w:val="22"/>
        </w:rPr>
        <w:br/>
      </w:r>
      <w:bookmarkStart w:id="50" w:name="I205DC6701E2611DD98D890315B4F3B2A"/>
      <w:bookmarkStart w:id="51" w:name="I2053DB611E2611DD98D890315B4F3B2A"/>
      <w:bookmarkStart w:id="52" w:name="SP;5ba1000067d06"/>
      <w:bookmarkEnd w:id="50"/>
      <w:bookmarkEnd w:id="51"/>
      <w:bookmarkEnd w:id="52"/>
      <w:r w:rsidRPr="000C3673">
        <w:rPr>
          <w:b w:val="0"/>
          <w:caps w:val="0"/>
          <w:sz w:val="22"/>
          <w:szCs w:val="22"/>
        </w:rPr>
        <w:t xml:space="preserve">    </w:t>
      </w:r>
    </w:p>
    <w:p w14:paraId="3240D1E7"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(10)  Data breach analysis as outlined in 6500.2 Handbook, </w:t>
      </w:r>
      <w:r w:rsidRPr="000C3673">
        <w:rPr>
          <w:b w:val="0"/>
          <w:i/>
          <w:caps w:val="0"/>
          <w:sz w:val="22"/>
          <w:szCs w:val="22"/>
        </w:rPr>
        <w:t>Management of Security and Privacy Incidents</w:t>
      </w:r>
      <w:r w:rsidRPr="000C3673">
        <w:rPr>
          <w:b w:val="0"/>
          <w:caps w:val="0"/>
          <w:sz w:val="22"/>
          <w:szCs w:val="22"/>
        </w:rPr>
        <w:t>, as appropriate</w:t>
      </w:r>
      <w:bookmarkStart w:id="53" w:name="I73522AC081A311DDA0D5AACA30EA113D"/>
      <w:bookmarkStart w:id="54" w:name="I2053DB621E2611DD98D890315B4F3B2A"/>
      <w:bookmarkEnd w:id="53"/>
      <w:bookmarkEnd w:id="54"/>
      <w:r w:rsidRPr="000C3673">
        <w:rPr>
          <w:b w:val="0"/>
          <w:caps w:val="0"/>
          <w:sz w:val="22"/>
          <w:szCs w:val="22"/>
        </w:rPr>
        <w:t>; and</w:t>
      </w:r>
      <w:r w:rsidRPr="000C3673">
        <w:rPr>
          <w:b w:val="0"/>
          <w:caps w:val="0"/>
          <w:sz w:val="22"/>
          <w:szCs w:val="22"/>
        </w:rPr>
        <w:br/>
        <w:t xml:space="preserve">    </w:t>
      </w:r>
    </w:p>
    <w:p w14:paraId="7BC15EAF"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(11)  Whether credit protection services may assist record subjects in avoiding or mitigating the results of identity theft based on the sensitive personal information that may have been compromised.</w:t>
      </w:r>
    </w:p>
    <w:p w14:paraId="445A62A0"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w:t>
      </w:r>
    </w:p>
    <w:p w14:paraId="5A866220" w14:textId="77777777" w:rsidR="00D528B4" w:rsidRPr="000C3673" w:rsidRDefault="00D528B4" w:rsidP="00D528B4">
      <w:pPr>
        <w:spacing w:line="240" w:lineRule="auto"/>
        <w:rPr>
          <w:rFonts w:ascii="Times New Roman" w:hAnsi="Times New Roman" w:cs="Times New Roman"/>
        </w:rPr>
        <w:sectPr w:rsidR="00D528B4" w:rsidRPr="000C3673" w:rsidSect="00B85935">
          <w:type w:val="continuous"/>
          <w:pgSz w:w="12240" w:h="15840"/>
          <w:pgMar w:top="1440" w:right="1440" w:bottom="1440" w:left="1440" w:header="720" w:footer="720" w:gutter="0"/>
          <w:pgNumType w:start="0"/>
          <w:cols w:space="720"/>
        </w:sectPr>
      </w:pPr>
    </w:p>
    <w:p w14:paraId="706F42D5" w14:textId="77777777" w:rsidR="00D528B4" w:rsidRPr="000C3673" w:rsidRDefault="00D528B4" w:rsidP="00D528B4">
      <w:pPr>
        <w:pStyle w:val="ListNumber"/>
        <w:numPr>
          <w:ilvl w:val="0"/>
          <w:numId w:val="0"/>
        </w:numPr>
        <w:tabs>
          <w:tab w:val="left" w:pos="720"/>
        </w:tabs>
        <w:rPr>
          <w:b w:val="0"/>
          <w:caps w:val="0"/>
          <w:sz w:val="22"/>
          <w:szCs w:val="22"/>
        </w:rPr>
      </w:pPr>
    </w:p>
    <w:p w14:paraId="7763E414" w14:textId="77777777" w:rsidR="00D528B4" w:rsidRPr="000C3673" w:rsidRDefault="00D528B4" w:rsidP="00D528B4">
      <w:pPr>
        <w:pStyle w:val="ListNumber2"/>
        <w:rPr>
          <w:sz w:val="22"/>
          <w:szCs w:val="22"/>
        </w:rPr>
      </w:pPr>
      <w:r w:rsidRPr="000C3673">
        <w:rPr>
          <w:sz w:val="22"/>
          <w:szCs w:val="22"/>
        </w:rPr>
        <w:t>Based on the determinations of the independent risk analysis, the contractor shall be responsible for paying to the VA liquidated damages in the amount of $__37.50____ per affected individual to cover the cost of providing credit protection services to affected individuals consisting of the following:</w:t>
      </w:r>
    </w:p>
    <w:p w14:paraId="4E31D976" w14:textId="77777777" w:rsidR="00D528B4" w:rsidRPr="000C3673" w:rsidRDefault="00D528B4" w:rsidP="00D528B4">
      <w:pPr>
        <w:pStyle w:val="ListNumber"/>
        <w:numPr>
          <w:ilvl w:val="0"/>
          <w:numId w:val="0"/>
        </w:numPr>
        <w:tabs>
          <w:tab w:val="left" w:pos="720"/>
        </w:tabs>
        <w:rPr>
          <w:b w:val="0"/>
          <w:caps w:val="0"/>
          <w:sz w:val="22"/>
          <w:szCs w:val="22"/>
        </w:rPr>
      </w:pPr>
    </w:p>
    <w:p w14:paraId="697069FE"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(1)  </w:t>
      </w:r>
      <w:proofErr w:type="gramStart"/>
      <w:r w:rsidRPr="000C3673">
        <w:rPr>
          <w:b w:val="0"/>
          <w:caps w:val="0"/>
          <w:sz w:val="22"/>
          <w:szCs w:val="22"/>
        </w:rPr>
        <w:t>Notification;</w:t>
      </w:r>
      <w:proofErr w:type="gramEnd"/>
    </w:p>
    <w:p w14:paraId="189F2538"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w:t>
      </w:r>
    </w:p>
    <w:p w14:paraId="2C63970F"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(2)  One year of credit monitoring services consisting of automatic daily monitoring of at least 3 relevant credit bureau reports;</w:t>
      </w:r>
      <w:bookmarkStart w:id="55" w:name="I205254C01E2611DDA782916660215DCD"/>
      <w:bookmarkStart w:id="56" w:name="I20500AD31E2611DDA782916660215DCD"/>
      <w:bookmarkEnd w:id="55"/>
      <w:bookmarkEnd w:id="56"/>
      <w:r w:rsidRPr="000C3673">
        <w:rPr>
          <w:b w:val="0"/>
          <w:caps w:val="0"/>
          <w:sz w:val="22"/>
          <w:szCs w:val="22"/>
        </w:rPr>
        <w:br/>
        <w:t xml:space="preserve">   </w:t>
      </w:r>
    </w:p>
    <w:p w14:paraId="03A6D965"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(3)  Data breach analysis;</w:t>
      </w:r>
      <w:r w:rsidRPr="000C3673">
        <w:rPr>
          <w:b w:val="0"/>
          <w:caps w:val="0"/>
          <w:sz w:val="22"/>
          <w:szCs w:val="22"/>
        </w:rPr>
        <w:br/>
      </w:r>
      <w:bookmarkStart w:id="57" w:name="I2052C9F01E2611DDA782916660215DCD"/>
      <w:bookmarkStart w:id="58" w:name="I20500AD41E2611DDA782916660215DCD"/>
      <w:bookmarkEnd w:id="57"/>
      <w:bookmarkEnd w:id="58"/>
      <w:r w:rsidRPr="000C3673">
        <w:rPr>
          <w:b w:val="0"/>
          <w:caps w:val="0"/>
          <w:sz w:val="22"/>
          <w:szCs w:val="22"/>
        </w:rPr>
        <w:t xml:space="preserve">   </w:t>
      </w:r>
    </w:p>
    <w:p w14:paraId="32EE9AFC"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(4)  Fraud resolution services, including writing dispute letters, initiating fraud alerts and credit freezes, to assist affected individuals to bring matters to resolution; </w:t>
      </w:r>
      <w:r w:rsidRPr="000C3673">
        <w:rPr>
          <w:b w:val="0"/>
          <w:caps w:val="0"/>
          <w:sz w:val="22"/>
          <w:szCs w:val="22"/>
        </w:rPr>
        <w:br/>
      </w:r>
      <w:bookmarkStart w:id="59" w:name="I20533F201E2611DDA782916660215DCD"/>
      <w:bookmarkStart w:id="60" w:name="I20500AD51E2611DDA782916660215DCD"/>
      <w:bookmarkEnd w:id="59"/>
      <w:bookmarkEnd w:id="60"/>
      <w:r w:rsidRPr="000C3673">
        <w:rPr>
          <w:b w:val="0"/>
          <w:caps w:val="0"/>
          <w:sz w:val="22"/>
          <w:szCs w:val="22"/>
        </w:rPr>
        <w:t xml:space="preserve">   </w:t>
      </w:r>
    </w:p>
    <w:p w14:paraId="06BC7E3B" w14:textId="77777777" w:rsidR="00D528B4" w:rsidRPr="000C3673" w:rsidRDefault="00D528B4" w:rsidP="00D528B4">
      <w:pPr>
        <w:pStyle w:val="ListNumber"/>
        <w:numPr>
          <w:ilvl w:val="0"/>
          <w:numId w:val="0"/>
        </w:numPr>
        <w:tabs>
          <w:tab w:val="left" w:pos="720"/>
        </w:tabs>
        <w:rPr>
          <w:b w:val="0"/>
          <w:caps w:val="0"/>
          <w:sz w:val="22"/>
          <w:szCs w:val="22"/>
        </w:rPr>
      </w:pPr>
      <w:r w:rsidRPr="000C3673">
        <w:rPr>
          <w:b w:val="0"/>
          <w:caps w:val="0"/>
          <w:sz w:val="22"/>
          <w:szCs w:val="22"/>
        </w:rPr>
        <w:t xml:space="preserve">   (5)  One year of identity theft insurance with $20,000.00 coverage at $0 deductible; and</w:t>
      </w:r>
    </w:p>
    <w:p w14:paraId="08435842" w14:textId="77777777" w:rsidR="00D528B4" w:rsidRPr="000C3673" w:rsidRDefault="00D528B4" w:rsidP="00D528B4">
      <w:pPr>
        <w:pStyle w:val="ListNumber"/>
        <w:numPr>
          <w:ilvl w:val="0"/>
          <w:numId w:val="0"/>
        </w:numPr>
        <w:tabs>
          <w:tab w:val="left" w:pos="720"/>
        </w:tabs>
        <w:rPr>
          <w:b w:val="0"/>
          <w:caps w:val="0"/>
          <w:sz w:val="22"/>
          <w:szCs w:val="22"/>
        </w:rPr>
      </w:pPr>
    </w:p>
    <w:p w14:paraId="1A9D7FA5" w14:textId="77777777" w:rsidR="00D528B4" w:rsidRPr="000C3673" w:rsidRDefault="00D528B4" w:rsidP="00D528B4">
      <w:pPr>
        <w:pStyle w:val="List"/>
        <w:ind w:left="0" w:firstLine="0"/>
        <w:rPr>
          <w:sz w:val="22"/>
          <w:szCs w:val="22"/>
        </w:rPr>
      </w:pPr>
      <w:r w:rsidRPr="000C3673">
        <w:rPr>
          <w:sz w:val="22"/>
          <w:szCs w:val="22"/>
        </w:rPr>
        <w:lastRenderedPageBreak/>
        <w:t xml:space="preserve">   (6)  Necessary legal expenses the subjects may incur to repair falsified or damaged credit records, histories, or financial affairs.</w:t>
      </w:r>
    </w:p>
    <w:p w14:paraId="2736A21A" w14:textId="77777777" w:rsidR="00D528B4" w:rsidRPr="000C3673" w:rsidRDefault="00D528B4" w:rsidP="00D528B4">
      <w:pPr>
        <w:pStyle w:val="ListNumber"/>
        <w:numPr>
          <w:ilvl w:val="0"/>
          <w:numId w:val="0"/>
        </w:numPr>
        <w:tabs>
          <w:tab w:val="left" w:pos="720"/>
        </w:tabs>
        <w:rPr>
          <w:b w:val="0"/>
          <w:caps w:val="0"/>
          <w:sz w:val="22"/>
          <w:szCs w:val="22"/>
        </w:rPr>
      </w:pPr>
    </w:p>
    <w:p w14:paraId="75F58C05" w14:textId="77777777" w:rsidR="00D528B4" w:rsidRPr="000C3673" w:rsidRDefault="00D528B4" w:rsidP="00D528B4">
      <w:pPr>
        <w:pStyle w:val="ListNumber"/>
        <w:rPr>
          <w:sz w:val="22"/>
          <w:szCs w:val="22"/>
        </w:rPr>
      </w:pPr>
      <w:r w:rsidRPr="000C3673">
        <w:rPr>
          <w:sz w:val="22"/>
          <w:szCs w:val="22"/>
        </w:rPr>
        <w:t>SECURITY CONTROLS COMPLIANCE TESTING</w:t>
      </w:r>
      <w:bookmarkEnd w:id="24"/>
    </w:p>
    <w:p w14:paraId="68098E14" w14:textId="77777777" w:rsidR="00D528B4" w:rsidRPr="000C3673" w:rsidRDefault="00D528B4" w:rsidP="00D528B4">
      <w:pPr>
        <w:spacing w:line="240" w:lineRule="auto"/>
        <w:rPr>
          <w:rFonts w:ascii="Times New Roman" w:hAnsi="Times New Roman" w:cs="Times New Roman"/>
        </w:rPr>
      </w:pPr>
    </w:p>
    <w:p w14:paraId="519C959E" w14:textId="77777777" w:rsidR="00D528B4" w:rsidRPr="000C3673" w:rsidRDefault="00D528B4" w:rsidP="00D528B4">
      <w:pPr>
        <w:spacing w:line="240" w:lineRule="auto"/>
        <w:rPr>
          <w:rFonts w:ascii="Times New Roman" w:hAnsi="Times New Roman" w:cs="Times New Roman"/>
        </w:rPr>
      </w:pPr>
      <w:r w:rsidRPr="000C3673">
        <w:rPr>
          <w:rFonts w:ascii="Times New Roman" w:hAnsi="Times New Roman" w:cs="Times New Roman"/>
        </w:rPr>
        <w:t xml:space="preserve">On a periodic basis, VA, including the Office of Inspector General, reserves the right to evaluate any or </w:t>
      </w:r>
      <w:proofErr w:type="gramStart"/>
      <w:r w:rsidRPr="000C3673">
        <w:rPr>
          <w:rFonts w:ascii="Times New Roman" w:hAnsi="Times New Roman" w:cs="Times New Roman"/>
        </w:rPr>
        <w:t>all of</w:t>
      </w:r>
      <w:proofErr w:type="gramEnd"/>
      <w:r w:rsidRPr="000C3673">
        <w:rPr>
          <w:rFonts w:ascii="Times New Roman" w:hAnsi="Times New Roman" w:cs="Times New Roman"/>
        </w:rPr>
        <w:t xml:space="preserve"> the security controls and privacy practices implemented by the contractor under the clauses contained within the contract.  With 10 working-</w:t>
      </w:r>
      <w:proofErr w:type="spellStart"/>
      <w:r w:rsidRPr="000C3673">
        <w:rPr>
          <w:rFonts w:ascii="Times New Roman" w:hAnsi="Times New Roman" w:cs="Times New Roman"/>
        </w:rPr>
        <w:t>day’s notice</w:t>
      </w:r>
      <w:proofErr w:type="spellEnd"/>
      <w:r w:rsidRPr="000C3673">
        <w:rPr>
          <w:rFonts w:ascii="Times New Roman" w:hAnsi="Times New Roman" w:cs="Times New Roman"/>
        </w:rPr>
        <w:t>,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The government may conduct a security control assessment on shorter notice (to include unannounced assessments) as determined by VA in the event of a security incident or at any other time.</w:t>
      </w:r>
    </w:p>
    <w:p w14:paraId="7F24AE01" w14:textId="77777777" w:rsidR="00D528B4" w:rsidRPr="000C3673" w:rsidRDefault="00D528B4" w:rsidP="00D528B4">
      <w:pPr>
        <w:spacing w:line="240" w:lineRule="auto"/>
        <w:rPr>
          <w:rFonts w:ascii="Times New Roman" w:hAnsi="Times New Roman" w:cs="Times New Roman"/>
        </w:rPr>
      </w:pPr>
    </w:p>
    <w:p w14:paraId="3D3453E0" w14:textId="77777777" w:rsidR="00D528B4" w:rsidRPr="000C3673" w:rsidRDefault="00D528B4" w:rsidP="00D528B4">
      <w:pPr>
        <w:pStyle w:val="ListNumber"/>
        <w:rPr>
          <w:sz w:val="22"/>
          <w:szCs w:val="22"/>
        </w:rPr>
      </w:pPr>
      <w:bookmarkStart w:id="61" w:name="_Toc220303698"/>
      <w:r w:rsidRPr="000C3673">
        <w:rPr>
          <w:sz w:val="22"/>
          <w:szCs w:val="22"/>
        </w:rPr>
        <w:t>TRAINING</w:t>
      </w:r>
      <w:bookmarkEnd w:id="61"/>
    </w:p>
    <w:p w14:paraId="1B82876D" w14:textId="77777777" w:rsidR="00D528B4" w:rsidRPr="000C3673" w:rsidRDefault="00D528B4" w:rsidP="00D528B4">
      <w:pPr>
        <w:spacing w:line="240" w:lineRule="auto"/>
        <w:rPr>
          <w:rFonts w:ascii="Times New Roman" w:hAnsi="Times New Roman" w:cs="Times New Roman"/>
        </w:rPr>
      </w:pPr>
    </w:p>
    <w:p w14:paraId="79922C46" w14:textId="77777777" w:rsidR="00D528B4" w:rsidRPr="000C3673" w:rsidRDefault="00D528B4" w:rsidP="00D528B4">
      <w:pPr>
        <w:pStyle w:val="ListNumber2"/>
        <w:numPr>
          <w:ilvl w:val="0"/>
          <w:numId w:val="11"/>
        </w:numPr>
        <w:rPr>
          <w:sz w:val="22"/>
          <w:szCs w:val="22"/>
        </w:rPr>
      </w:pPr>
      <w:bookmarkStart w:id="62" w:name="_Toc220303699"/>
      <w:r w:rsidRPr="000C3673">
        <w:rPr>
          <w:sz w:val="22"/>
          <w:szCs w:val="22"/>
        </w:rPr>
        <w:t>All contractor employees and subcontractor employees requiring access to VA information and VA information systems shall complete the following before being granted access to VA information and its systems:</w:t>
      </w:r>
      <w:bookmarkEnd w:id="62"/>
    </w:p>
    <w:p w14:paraId="77B964CD" w14:textId="77777777" w:rsidR="00D528B4" w:rsidRPr="000C3673" w:rsidRDefault="00D528B4" w:rsidP="00D528B4">
      <w:pPr>
        <w:pStyle w:val="ListNumber2"/>
        <w:numPr>
          <w:ilvl w:val="0"/>
          <w:numId w:val="0"/>
        </w:numPr>
        <w:tabs>
          <w:tab w:val="left" w:pos="720"/>
        </w:tabs>
        <w:ind w:left="360"/>
        <w:rPr>
          <w:sz w:val="22"/>
          <w:szCs w:val="22"/>
        </w:rPr>
      </w:pPr>
    </w:p>
    <w:p w14:paraId="1E5CF18E" w14:textId="77777777" w:rsidR="00D528B4" w:rsidRPr="000C3673" w:rsidRDefault="00D528B4" w:rsidP="00D528B4">
      <w:pPr>
        <w:pStyle w:val="ListNumber3"/>
        <w:numPr>
          <w:ilvl w:val="0"/>
          <w:numId w:val="12"/>
        </w:numPr>
        <w:rPr>
          <w:sz w:val="22"/>
          <w:szCs w:val="22"/>
        </w:rPr>
      </w:pPr>
      <w:r w:rsidRPr="000C3673">
        <w:rPr>
          <w:sz w:val="22"/>
          <w:szCs w:val="22"/>
        </w:rPr>
        <w:t xml:space="preserve">  Sign and acknowledge (either manually or electronically) understanding of and responsibilities for compliance with </w:t>
      </w:r>
      <w:proofErr w:type="gramStart"/>
      <w:r w:rsidRPr="000C3673">
        <w:rPr>
          <w:sz w:val="22"/>
          <w:szCs w:val="22"/>
        </w:rPr>
        <w:t xml:space="preserve">the  </w:t>
      </w:r>
      <w:r w:rsidRPr="000C3673">
        <w:rPr>
          <w:i/>
          <w:sz w:val="22"/>
          <w:szCs w:val="22"/>
        </w:rPr>
        <w:t>Contractor</w:t>
      </w:r>
      <w:proofErr w:type="gramEnd"/>
      <w:r w:rsidRPr="000C3673">
        <w:rPr>
          <w:i/>
          <w:sz w:val="22"/>
          <w:szCs w:val="22"/>
        </w:rPr>
        <w:t xml:space="preserve"> Rules of Behavior</w:t>
      </w:r>
      <w:r w:rsidRPr="000C3673">
        <w:rPr>
          <w:sz w:val="22"/>
          <w:szCs w:val="22"/>
        </w:rPr>
        <w:t>, Appendix E relating to access to VA information and information systems;</w:t>
      </w:r>
      <w:r w:rsidRPr="000C3673">
        <w:rPr>
          <w:sz w:val="22"/>
          <w:szCs w:val="22"/>
        </w:rPr>
        <w:br/>
      </w:r>
    </w:p>
    <w:p w14:paraId="6EAB8968" w14:textId="77777777" w:rsidR="00D528B4" w:rsidRPr="000C3673" w:rsidRDefault="00D528B4" w:rsidP="00D528B4">
      <w:pPr>
        <w:pStyle w:val="ListNumber3"/>
        <w:numPr>
          <w:ilvl w:val="0"/>
          <w:numId w:val="12"/>
        </w:numPr>
        <w:rPr>
          <w:sz w:val="22"/>
          <w:szCs w:val="22"/>
        </w:rPr>
      </w:pPr>
      <w:r w:rsidRPr="000C3673">
        <w:rPr>
          <w:sz w:val="22"/>
          <w:szCs w:val="22"/>
        </w:rPr>
        <w:t xml:space="preserve">  Successfully complete the </w:t>
      </w:r>
      <w:r w:rsidRPr="000C3673">
        <w:rPr>
          <w:i/>
          <w:sz w:val="22"/>
          <w:szCs w:val="22"/>
        </w:rPr>
        <w:t>VA Cyber Security Awareness and Rules of Behavior</w:t>
      </w:r>
      <w:r w:rsidRPr="000C3673">
        <w:rPr>
          <w:sz w:val="22"/>
          <w:szCs w:val="22"/>
        </w:rPr>
        <w:t xml:space="preserve"> training and annually complete required security training;</w:t>
      </w:r>
      <w:r w:rsidRPr="000C3673">
        <w:rPr>
          <w:sz w:val="22"/>
          <w:szCs w:val="22"/>
        </w:rPr>
        <w:br/>
      </w:r>
    </w:p>
    <w:p w14:paraId="45C35D28" w14:textId="77777777" w:rsidR="00D528B4" w:rsidRPr="000C3673" w:rsidRDefault="00D528B4" w:rsidP="00D528B4">
      <w:pPr>
        <w:pStyle w:val="ListNumber3"/>
        <w:numPr>
          <w:ilvl w:val="0"/>
          <w:numId w:val="12"/>
        </w:numPr>
        <w:rPr>
          <w:sz w:val="22"/>
          <w:szCs w:val="22"/>
        </w:rPr>
      </w:pPr>
      <w:r w:rsidRPr="000C3673">
        <w:rPr>
          <w:sz w:val="22"/>
          <w:szCs w:val="22"/>
        </w:rPr>
        <w:t xml:space="preserve">  Successfully complete the appropriate VA privacy training and annually complete required privacy training; and</w:t>
      </w:r>
      <w:r w:rsidRPr="000C3673">
        <w:rPr>
          <w:sz w:val="22"/>
          <w:szCs w:val="22"/>
        </w:rPr>
        <w:br/>
      </w:r>
    </w:p>
    <w:p w14:paraId="72D9A377" w14:textId="77777777" w:rsidR="00D528B4" w:rsidRPr="000C3673" w:rsidRDefault="00D528B4" w:rsidP="00D528B4">
      <w:pPr>
        <w:pStyle w:val="ListNumber3"/>
        <w:numPr>
          <w:ilvl w:val="0"/>
          <w:numId w:val="12"/>
        </w:numPr>
        <w:rPr>
          <w:sz w:val="22"/>
          <w:szCs w:val="22"/>
        </w:rPr>
      </w:pPr>
      <w:r w:rsidRPr="000C3673">
        <w:rPr>
          <w:sz w:val="22"/>
          <w:szCs w:val="22"/>
        </w:rPr>
        <w:t xml:space="preserve">  Successfully complete any additional cyber security or privacy training, as required for VA personnel with equivalent information system access</w:t>
      </w:r>
      <w:r w:rsidRPr="000C3673">
        <w:rPr>
          <w:i/>
          <w:sz w:val="22"/>
          <w:szCs w:val="22"/>
        </w:rPr>
        <w:t xml:space="preserve"> [to be defined by the VA program official and provided to the contracting officer for inclusion in the solicitation document – e.g., any role-based information security training required in accordance with NIST Special Publication 800-16, Information Technology Security Training Requirements.]</w:t>
      </w:r>
    </w:p>
    <w:p w14:paraId="22610791" w14:textId="77777777" w:rsidR="00D528B4" w:rsidRPr="000C3673" w:rsidRDefault="00D528B4" w:rsidP="00D528B4">
      <w:pPr>
        <w:spacing w:line="240" w:lineRule="auto"/>
        <w:rPr>
          <w:rFonts w:ascii="Times New Roman" w:hAnsi="Times New Roman" w:cs="Times New Roman"/>
        </w:rPr>
      </w:pPr>
    </w:p>
    <w:p w14:paraId="7F6BF88C" w14:textId="77777777" w:rsidR="00D528B4" w:rsidRPr="000C3673" w:rsidRDefault="00D528B4" w:rsidP="00D528B4">
      <w:pPr>
        <w:pStyle w:val="ListNumber2"/>
        <w:rPr>
          <w:sz w:val="22"/>
          <w:szCs w:val="22"/>
        </w:rPr>
      </w:pPr>
      <w:bookmarkStart w:id="63" w:name="_Toc220303700"/>
      <w:r w:rsidRPr="000C3673">
        <w:rPr>
          <w:snapToGrid w:val="0"/>
          <w:color w:val="000000"/>
          <w:sz w:val="22"/>
          <w:szCs w:val="22"/>
        </w:rPr>
        <w:t xml:space="preserve">The contractor shall provide to the contracting officer and/or the COTR a copy of the training certificates and certification of signing the Contractor Rules of Behavior for each applicable employee within 1 week of the initiation of the contract and annually thereafter, as required.  </w:t>
      </w:r>
    </w:p>
    <w:p w14:paraId="6C2B1FDF" w14:textId="77777777" w:rsidR="00D528B4" w:rsidRPr="000C3673" w:rsidRDefault="00D528B4" w:rsidP="00D528B4">
      <w:pPr>
        <w:pStyle w:val="ListNumber2"/>
        <w:numPr>
          <w:ilvl w:val="0"/>
          <w:numId w:val="0"/>
        </w:numPr>
        <w:tabs>
          <w:tab w:val="left" w:pos="720"/>
        </w:tabs>
        <w:ind w:left="360"/>
        <w:rPr>
          <w:sz w:val="22"/>
          <w:szCs w:val="22"/>
        </w:rPr>
      </w:pPr>
    </w:p>
    <w:p w14:paraId="4D72A885" w14:textId="77777777" w:rsidR="00D528B4" w:rsidRPr="000C3673" w:rsidRDefault="00D528B4" w:rsidP="00D528B4">
      <w:pPr>
        <w:pStyle w:val="ListNumber2"/>
        <w:rPr>
          <w:sz w:val="22"/>
          <w:szCs w:val="22"/>
        </w:rPr>
      </w:pPr>
      <w:bookmarkStart w:id="64" w:name="_Toc220303701"/>
      <w:bookmarkEnd w:id="63"/>
      <w:r w:rsidRPr="000C3673">
        <w:rPr>
          <w:sz w:val="22"/>
          <w:szCs w:val="22"/>
        </w:rPr>
        <w:t>Failure to complete the mandatory annual training and sign the Rules of Behavior annually, within the timeframe required, is grounds for suspension or termination of all physical or electronic access privileges and removal from work on the contract until such time as the training and documents are complete.</w:t>
      </w:r>
      <w:bookmarkEnd w:id="64"/>
    </w:p>
    <w:p w14:paraId="42B7CF8E" w14:textId="77777777" w:rsidR="00D528B4" w:rsidRPr="000C3673" w:rsidRDefault="00D528B4" w:rsidP="00D528B4">
      <w:pPr>
        <w:spacing w:line="240" w:lineRule="auto"/>
        <w:rPr>
          <w:rFonts w:ascii="Times New Roman" w:hAnsi="Times New Roman" w:cs="Times New Roman"/>
        </w:rPr>
      </w:pPr>
    </w:p>
    <w:p w14:paraId="40D0D301" w14:textId="77777777" w:rsidR="00D528B4" w:rsidRDefault="00D528B4"/>
    <w:sectPr w:rsidR="00D528B4" w:rsidSect="00B8593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6968B32"/>
    <w:lvl w:ilvl="0">
      <w:start w:val="1"/>
      <w:numFmt w:val="lowerLetter"/>
      <w:pStyle w:val="ListNumber4"/>
      <w:lvlText w:val="(%1)"/>
      <w:lvlJc w:val="left"/>
      <w:pPr>
        <w:tabs>
          <w:tab w:val="num" w:pos="630"/>
        </w:tabs>
        <w:ind w:left="-90" w:firstLine="360"/>
      </w:pPr>
    </w:lvl>
  </w:abstractNum>
  <w:abstractNum w:abstractNumId="1" w15:restartNumberingAfterBreak="0">
    <w:nsid w:val="FFFFFF7E"/>
    <w:multiLevelType w:val="singleLevel"/>
    <w:tmpl w:val="B216AE08"/>
    <w:lvl w:ilvl="0">
      <w:start w:val="1"/>
      <w:numFmt w:val="decimal"/>
      <w:pStyle w:val="ListNumber3"/>
      <w:lvlText w:val="(%1)"/>
      <w:lvlJc w:val="left"/>
      <w:pPr>
        <w:tabs>
          <w:tab w:val="num" w:pos="630"/>
        </w:tabs>
        <w:ind w:left="-90" w:firstLine="360"/>
      </w:pPr>
      <w:rPr>
        <w:rFonts w:ascii="Arial" w:hAnsi="Arial" w:cs="Arial" w:hint="default"/>
        <w:b w:val="0"/>
        <w:i w:val="0"/>
        <w:strike w:val="0"/>
        <w:dstrike w:val="0"/>
        <w:sz w:val="24"/>
        <w:u w:val="none"/>
        <w:effect w:val="none"/>
      </w:rPr>
    </w:lvl>
  </w:abstractNum>
  <w:abstractNum w:abstractNumId="2" w15:restartNumberingAfterBreak="0">
    <w:nsid w:val="FFFFFF7F"/>
    <w:multiLevelType w:val="singleLevel"/>
    <w:tmpl w:val="A3A80F28"/>
    <w:lvl w:ilvl="0">
      <w:start w:val="1"/>
      <w:numFmt w:val="lowerLetter"/>
      <w:pStyle w:val="ListNumber2"/>
      <w:lvlText w:val="%1."/>
      <w:lvlJc w:val="left"/>
      <w:pPr>
        <w:tabs>
          <w:tab w:val="num" w:pos="720"/>
        </w:tabs>
        <w:ind w:left="0" w:firstLine="360"/>
      </w:pPr>
      <w:rPr>
        <w:i w:val="0"/>
      </w:rPr>
    </w:lvl>
  </w:abstractNum>
  <w:abstractNum w:abstractNumId="3" w15:restartNumberingAfterBreak="0">
    <w:nsid w:val="FFFFFF88"/>
    <w:multiLevelType w:val="singleLevel"/>
    <w:tmpl w:val="6442BFDA"/>
    <w:lvl w:ilvl="0">
      <w:start w:val="1"/>
      <w:numFmt w:val="decimal"/>
      <w:pStyle w:val="ListNumber"/>
      <w:lvlText w:val="%1."/>
      <w:lvlJc w:val="left"/>
      <w:pPr>
        <w:tabs>
          <w:tab w:val="num" w:pos="360"/>
        </w:tabs>
        <w:ind w:left="0" w:firstLine="0"/>
      </w:pPr>
    </w:lvl>
  </w:abstractNum>
  <w:abstractNum w:abstractNumId="4" w15:restartNumberingAfterBreak="0">
    <w:nsid w:val="76F26634"/>
    <w:multiLevelType w:val="hybridMultilevel"/>
    <w:tmpl w:val="970E5AC6"/>
    <w:lvl w:ilvl="0" w:tplc="12C42952">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num w:numId="1" w16cid:durableId="136578969">
    <w:abstractNumId w:val="3"/>
    <w:lvlOverride w:ilvl="0">
      <w:startOverride w:val="1"/>
    </w:lvlOverride>
  </w:num>
  <w:num w:numId="2" w16cid:durableId="2123719275">
    <w:abstractNumId w:val="2"/>
    <w:lvlOverride w:ilvl="0">
      <w:startOverride w:val="1"/>
    </w:lvlOverride>
  </w:num>
  <w:num w:numId="3" w16cid:durableId="1444962773">
    <w:abstractNumId w:val="1"/>
    <w:lvlOverride w:ilvl="0">
      <w:startOverride w:val="1"/>
    </w:lvlOverride>
  </w:num>
  <w:num w:numId="4" w16cid:durableId="602108224">
    <w:abstractNumId w:val="0"/>
    <w:lvlOverride w:ilvl="0">
      <w:startOverride w:val="1"/>
    </w:lvlOverride>
  </w:num>
  <w:num w:numId="5" w16cid:durableId="1799032043">
    <w:abstractNumId w:val="3"/>
    <w:lvlOverride w:ilvl="0">
      <w:startOverride w:val="1"/>
    </w:lvlOverride>
  </w:num>
  <w:num w:numId="6" w16cid:durableId="872689469">
    <w:abstractNumId w:val="2"/>
    <w:lvlOverride w:ilvl="0">
      <w:startOverride w:val="1"/>
    </w:lvlOverride>
  </w:num>
  <w:num w:numId="7" w16cid:durableId="1839153122">
    <w:abstractNumId w:val="2"/>
    <w:lvlOverride w:ilvl="0">
      <w:startOverride w:val="1"/>
    </w:lvlOverride>
  </w:num>
  <w:num w:numId="8" w16cid:durableId="1448698312">
    <w:abstractNumId w:val="2"/>
    <w:lvlOverride w:ilvl="0">
      <w:startOverride w:val="1"/>
    </w:lvlOverride>
  </w:num>
  <w:num w:numId="9" w16cid:durableId="202520819">
    <w:abstractNumId w:val="2"/>
    <w:lvlOverride w:ilvl="0">
      <w:startOverride w:val="1"/>
    </w:lvlOverride>
  </w:num>
  <w:num w:numId="10" w16cid:durableId="9128105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0405684">
    <w:abstractNumId w:val="2"/>
    <w:lvlOverride w:ilvl="0">
      <w:startOverride w:val="1"/>
    </w:lvlOverride>
  </w:num>
  <w:num w:numId="12" w16cid:durableId="42913187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B4"/>
    <w:rsid w:val="00D5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8CFE"/>
  <w15:chartTrackingRefBased/>
  <w15:docId w15:val="{6E866107-F26F-4E03-9B19-BFCF49EA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8B4"/>
  </w:style>
  <w:style w:type="paragraph" w:styleId="Heading2">
    <w:name w:val="heading 2"/>
    <w:basedOn w:val="Normal"/>
    <w:next w:val="Normal"/>
    <w:link w:val="Heading2Char"/>
    <w:uiPriority w:val="9"/>
    <w:unhideWhenUsed/>
    <w:qFormat/>
    <w:rsid w:val="00D528B4"/>
    <w:pPr>
      <w:keepNext/>
      <w:keepLines/>
      <w:spacing w:before="40" w:after="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8B4"/>
    <w:rPr>
      <w:rFonts w:ascii="Times New Roman" w:eastAsiaTheme="majorEastAsia" w:hAnsi="Times New Roman" w:cstheme="majorBidi"/>
      <w:b/>
      <w:szCs w:val="26"/>
    </w:rPr>
  </w:style>
  <w:style w:type="paragraph" w:styleId="List">
    <w:name w:val="List"/>
    <w:basedOn w:val="Normal"/>
    <w:semiHidden/>
    <w:unhideWhenUsed/>
    <w:rsid w:val="00D528B4"/>
    <w:pPr>
      <w:spacing w:after="0" w:line="240" w:lineRule="auto"/>
      <w:ind w:left="360" w:hanging="360"/>
    </w:pPr>
    <w:rPr>
      <w:rFonts w:ascii="Times New Roman" w:eastAsia="Times New Roman" w:hAnsi="Times New Roman" w:cs="Times New Roman"/>
      <w:kern w:val="0"/>
      <w:sz w:val="24"/>
      <w:szCs w:val="24"/>
      <w14:ligatures w14:val="none"/>
    </w:rPr>
  </w:style>
  <w:style w:type="paragraph" w:styleId="ListNumber">
    <w:name w:val="List Number"/>
    <w:basedOn w:val="Normal"/>
    <w:semiHidden/>
    <w:unhideWhenUsed/>
    <w:rsid w:val="00D528B4"/>
    <w:pPr>
      <w:numPr>
        <w:numId w:val="1"/>
      </w:numPr>
      <w:spacing w:after="0" w:line="240" w:lineRule="auto"/>
    </w:pPr>
    <w:rPr>
      <w:rFonts w:ascii="Times New Roman" w:eastAsia="Times New Roman" w:hAnsi="Times New Roman" w:cs="Times New Roman"/>
      <w:b/>
      <w:caps/>
      <w:kern w:val="0"/>
      <w:sz w:val="24"/>
      <w:szCs w:val="24"/>
      <w14:ligatures w14:val="none"/>
    </w:rPr>
  </w:style>
  <w:style w:type="paragraph" w:styleId="ListNumber2">
    <w:name w:val="List Number 2"/>
    <w:basedOn w:val="Normal"/>
    <w:unhideWhenUsed/>
    <w:rsid w:val="00D528B4"/>
    <w:pPr>
      <w:numPr>
        <w:numId w:val="2"/>
      </w:numPr>
      <w:spacing w:after="0" w:line="240" w:lineRule="auto"/>
    </w:pPr>
    <w:rPr>
      <w:rFonts w:ascii="Times New Roman" w:eastAsia="Times New Roman" w:hAnsi="Times New Roman" w:cs="Times New Roman"/>
      <w:kern w:val="0"/>
      <w:sz w:val="24"/>
      <w:szCs w:val="24"/>
      <w14:ligatures w14:val="none"/>
    </w:rPr>
  </w:style>
  <w:style w:type="paragraph" w:styleId="ListNumber3">
    <w:name w:val="List Number 3"/>
    <w:basedOn w:val="Normal"/>
    <w:semiHidden/>
    <w:unhideWhenUsed/>
    <w:rsid w:val="00D528B4"/>
    <w:pPr>
      <w:numPr>
        <w:numId w:val="3"/>
      </w:numPr>
      <w:spacing w:after="0" w:line="240" w:lineRule="auto"/>
    </w:pPr>
    <w:rPr>
      <w:rFonts w:ascii="Times New Roman" w:eastAsia="Times New Roman" w:hAnsi="Times New Roman" w:cs="Times New Roman"/>
      <w:kern w:val="0"/>
      <w:sz w:val="24"/>
      <w:szCs w:val="24"/>
      <w14:ligatures w14:val="none"/>
    </w:rPr>
  </w:style>
  <w:style w:type="paragraph" w:styleId="ListNumber4">
    <w:name w:val="List Number 4"/>
    <w:basedOn w:val="Normal"/>
    <w:semiHidden/>
    <w:unhideWhenUsed/>
    <w:rsid w:val="00D528B4"/>
    <w:pPr>
      <w:numPr>
        <w:numId w:val="4"/>
      </w:num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528B4"/>
    <w:pPr>
      <w:spacing w:after="0" w:line="240" w:lineRule="auto"/>
      <w:ind w:left="720"/>
    </w:pPr>
    <w:rPr>
      <w:rFonts w:ascii="Times New Roman" w:eastAsia="Times New Roman" w:hAnsi="Times New Roman" w:cs="Times New Roman"/>
      <w:kern w:val="0"/>
      <w:sz w:val="24"/>
      <w:szCs w:val="24"/>
      <w14:ligatures w14:val="none"/>
    </w:rPr>
  </w:style>
  <w:style w:type="paragraph" w:customStyle="1" w:styleId="DocumentTitle">
    <w:name w:val="Document Title"/>
    <w:basedOn w:val="Normal"/>
    <w:rsid w:val="00D528B4"/>
    <w:pPr>
      <w:spacing w:after="0" w:line="240" w:lineRule="auto"/>
      <w:jc w:val="center"/>
    </w:pPr>
    <w:rPr>
      <w:rFonts w:ascii="Times New Roman Bold" w:eastAsia="Times New Roman" w:hAnsi="Times New Roman Bold" w:cs="Times New Roman"/>
      <w:b/>
      <w:bCs/>
      <w:caps/>
      <w:kern w:val="0"/>
      <w:sz w:val="24"/>
      <w:szCs w:val="20"/>
      <w14:ligatures w14:val="none"/>
    </w:rPr>
  </w:style>
  <w:style w:type="character" w:customStyle="1" w:styleId="documentbody1">
    <w:name w:val="documentbody1"/>
    <w:basedOn w:val="DefaultParagraphFont"/>
    <w:rsid w:val="00D528B4"/>
  </w:style>
  <w:style w:type="character" w:customStyle="1" w:styleId="ui-provider">
    <w:name w:val="ui-provider"/>
    <w:basedOn w:val="DefaultParagraphFont"/>
    <w:rsid w:val="00D5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3853</Words>
  <Characters>21965</Characters>
  <Application>Microsoft Office Word</Application>
  <DocSecurity>0</DocSecurity>
  <Lines>183</Lines>
  <Paragraphs>51</Paragraphs>
  <ScaleCrop>false</ScaleCrop>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Gabrysiak, Karly A.</dc:creator>
  <cp:keywords/>
  <dc:description/>
  <cp:lastModifiedBy>Gabrysiak, Karly A.</cp:lastModifiedBy>
  <cp:revision>1</cp:revision>
  <dcterms:created xsi:type="dcterms:W3CDTF">2024-04-22T20:09:00Z</dcterms:created>
  <dcterms:modified xsi:type="dcterms:W3CDTF">2024-04-22T20:11:00Z</dcterms:modified>
</cp:coreProperties>
</file>